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media/image3.png" ContentType="image/png"/>
  <Override PartName="/word/media/image4.png" ContentType="image/png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rFonts w:ascii="Arial" w:hAnsi="Arial" w:cs="Arial"/>
          <w:b/>
          <w:sz w:val="28"/>
          <w:szCs w:val="28"/>
        </w:rPr>
      </w:pPr>
      <w:r>
        <w:rPr>
          <w:rFonts w:cs="Arial" w:ascii="Arial" w:hAnsi="Arial"/>
          <w:b/>
          <w:sz w:val="28"/>
          <w:szCs w:val="28"/>
        </w:rPr>
      </w:r>
    </w:p>
    <w:p>
      <w:pPr>
        <w:pStyle w:val="Normal"/>
        <w:jc w:val="center"/>
        <w:rPr>
          <w:rFonts w:ascii="Arial" w:hAnsi="Arial" w:cs="Arial"/>
          <w:b/>
          <w:color w:themeColor="accent1" w:val="4F81BD"/>
          <w:sz w:val="56"/>
          <w:szCs w:val="56"/>
        </w:rPr>
      </w:pPr>
      <w:r>
        <w:rPr/>
        <w:drawing>
          <wp:inline distT="0" distB="0" distL="0" distR="0">
            <wp:extent cx="4448175" cy="742950"/>
            <wp:effectExtent l="0" t="0" r="0" b="0"/>
            <wp:docPr id="1" name="Obrázok 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4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8175" cy="742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>
          <w:rFonts w:ascii="Arial" w:hAnsi="Arial" w:cs="Arial"/>
          <w:b/>
          <w:sz w:val="28"/>
          <w:szCs w:val="28"/>
        </w:rPr>
      </w:pPr>
      <w:r>
        <w:rPr>
          <w:rFonts w:cs="Arial" w:ascii="Arial" w:hAnsi="Arial"/>
          <w:b/>
          <w:sz w:val="28"/>
          <w:szCs w:val="28"/>
        </w:rPr>
      </w:r>
    </w:p>
    <w:p>
      <w:pPr>
        <w:pStyle w:val="Normal"/>
        <w:jc w:val="center"/>
        <w:rPr>
          <w:rFonts w:ascii="Arial" w:hAnsi="Arial" w:cs="Arial"/>
          <w:b/>
          <w:sz w:val="36"/>
          <w:szCs w:val="36"/>
        </w:rPr>
      </w:pPr>
      <w:r>
        <w:rPr>
          <w:rFonts w:cs="Arial" w:ascii="Arial" w:hAnsi="Arial"/>
          <w:b/>
          <w:sz w:val="36"/>
          <w:szCs w:val="36"/>
        </w:rPr>
        <w:t>Výročná správa za hospodársky rok 202</w:t>
      </w:r>
      <w:r>
        <w:rPr>
          <w:rFonts w:cs="Arial" w:ascii="Arial" w:hAnsi="Arial"/>
          <w:b/>
          <w:sz w:val="36"/>
          <w:szCs w:val="36"/>
        </w:rPr>
        <w:t>3</w:t>
      </w:r>
    </w:p>
    <w:p>
      <w:pPr>
        <w:pStyle w:val="Normal"/>
        <w:jc w:val="center"/>
        <w:rPr>
          <w:rFonts w:ascii="Arial" w:hAnsi="Arial" w:cs="Arial"/>
          <w:b/>
          <w:sz w:val="28"/>
          <w:szCs w:val="28"/>
        </w:rPr>
      </w:pPr>
      <w:r>
        <w:rPr>
          <w:rFonts w:cs="Arial" w:ascii="Arial" w:hAnsi="Arial"/>
          <w:b/>
          <w:sz w:val="28"/>
          <w:szCs w:val="28"/>
        </w:rPr>
      </w:r>
    </w:p>
    <w:p>
      <w:pPr>
        <w:pStyle w:val="Normal"/>
        <w:jc w:val="center"/>
        <w:rPr>
          <w:rFonts w:ascii="Arial" w:hAnsi="Arial" w:cs="Arial"/>
          <w:b/>
          <w:sz w:val="28"/>
          <w:szCs w:val="28"/>
        </w:rPr>
      </w:pPr>
      <w:r>
        <w:rPr/>
        <w:drawing>
          <wp:inline distT="0" distB="0" distL="0" distR="0">
            <wp:extent cx="3429000" cy="3429000"/>
            <wp:effectExtent l="0" t="0" r="0" b="0"/>
            <wp:docPr id="2" name="Obrázok 1" descr="Kde nás nájdete...">
              <a:hlinkClick xmlns:a="http://schemas.openxmlformats.org/drawingml/2006/main" r:id="rId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 descr="Kde nás nájdete...">
                      <a:hlinkClick r:id="rId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42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>
          <w:rFonts w:ascii="Arial" w:hAnsi="Arial" w:cs="Arial"/>
          <w:b/>
          <w:sz w:val="28"/>
          <w:szCs w:val="28"/>
        </w:rPr>
      </w:pPr>
      <w:r>
        <w:rPr>
          <w:rFonts w:cs="Arial" w:ascii="Arial" w:hAnsi="Arial"/>
          <w:b/>
          <w:sz w:val="28"/>
          <w:szCs w:val="28"/>
        </w:rPr>
      </w:r>
    </w:p>
    <w:p>
      <w:pPr>
        <w:pStyle w:val="Normal"/>
        <w:rPr>
          <w:rFonts w:ascii="Arial" w:hAnsi="Arial" w:cs="Arial"/>
          <w:b/>
          <w:sz w:val="28"/>
          <w:szCs w:val="28"/>
        </w:rPr>
      </w:pPr>
      <w:r>
        <w:drawing>
          <wp:anchor behindDoc="0" distT="0" distB="0" distL="114300" distR="114300" simplePos="0" locked="0" layoutInCell="0" allowOverlap="1" relativeHeight="5">
            <wp:simplePos x="0" y="0"/>
            <wp:positionH relativeFrom="column">
              <wp:posOffset>367030</wp:posOffset>
            </wp:positionH>
            <wp:positionV relativeFrom="paragraph">
              <wp:posOffset>10160</wp:posOffset>
            </wp:positionV>
            <wp:extent cx="2428875" cy="2105025"/>
            <wp:effectExtent l="0" t="0" r="0" b="0"/>
            <wp:wrapSquare wrapText="bothSides"/>
            <wp:docPr id="3" name="Obrázok 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2" descr="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8875" cy="2105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inline distT="0" distB="0" distL="0" distR="0">
            <wp:extent cx="2524125" cy="2114550"/>
            <wp:effectExtent l="0" t="0" r="0" b="0"/>
            <wp:docPr id="4" name="Obrázok 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3" descr="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41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Arial" w:ascii="Arial" w:hAnsi="Arial"/>
          <w:b/>
          <w:sz w:val="28"/>
          <w:szCs w:val="28"/>
        </w:rPr>
        <w:br/>
      </w:r>
    </w:p>
    <w:p>
      <w:pPr>
        <w:pStyle w:val="Normal"/>
        <w:jc w:val="center"/>
        <w:rPr>
          <w:rFonts w:ascii="Arial" w:hAnsi="Arial" w:cs="Arial"/>
          <w:b/>
          <w:sz w:val="28"/>
          <w:szCs w:val="28"/>
        </w:rPr>
      </w:pPr>
      <w:r>
        <w:rPr>
          <w:rFonts w:cs="Arial" w:ascii="Arial" w:hAnsi="Arial"/>
          <w:b/>
          <w:sz w:val="28"/>
          <w:szCs w:val="28"/>
        </w:rPr>
      </w:r>
    </w:p>
    <w:p>
      <w:pPr>
        <w:pStyle w:val="ListParagraph"/>
        <w:numPr>
          <w:ilvl w:val="0"/>
          <w:numId w:val="3"/>
        </w:numPr>
        <w:rPr>
          <w:rFonts w:ascii="Arial" w:hAnsi="Arial" w:cs="Arial"/>
          <w:b/>
          <w:color w:themeColor="accent1" w:val="4F81BD"/>
        </w:rPr>
      </w:pPr>
      <w:r>
        <w:rPr>
          <w:rFonts w:cs="Arial" w:ascii="Arial" w:hAnsi="Arial"/>
          <w:b/>
          <w:color w:themeColor="accent1" w:val="4F81BD"/>
        </w:rPr>
        <w:t>Všeobecné a základné informácie o spoločnosti</w:t>
      </w:r>
    </w:p>
    <w:p>
      <w:pPr>
        <w:pStyle w:val="ListParagraph"/>
        <w:ind w:left="426"/>
        <w:rPr>
          <w:rFonts w:ascii="Arial" w:hAnsi="Arial" w:cs="Arial"/>
          <w:b/>
          <w:color w:themeColor="accent1" w:val="4F81BD"/>
        </w:rPr>
      </w:pPr>
      <w:r>
        <w:rPr>
          <w:rFonts w:cs="Arial" w:ascii="Arial" w:hAnsi="Arial"/>
          <w:b/>
          <w:color w:themeColor="accent1" w:val="4F81BD"/>
        </w:rPr>
      </w:r>
    </w:p>
    <w:p>
      <w:pPr>
        <w:pStyle w:val="Normal"/>
        <w:rPr>
          <w:rFonts w:ascii="Arial" w:hAnsi="Arial" w:cs="Arial"/>
          <w:b/>
          <w:color w:themeColor="accent1" w:val="4F81BD"/>
        </w:rPr>
      </w:pPr>
      <w:r>
        <w:rPr>
          <w:rFonts w:cs="Arial" w:ascii="Arial" w:hAnsi="Arial"/>
          <w:b/>
          <w:color w:themeColor="accent1" w:val="4F81BD"/>
        </w:rPr>
        <w:t xml:space="preserve">      </w:t>
      </w:r>
      <w:r>
        <w:rPr>
          <w:rFonts w:cs="Arial" w:ascii="Arial" w:hAnsi="Arial"/>
          <w:b/>
          <w:color w:themeColor="accent1" w:val="4F81BD"/>
        </w:rPr>
        <w:t>Identifikačné údaje</w:t>
      </w:r>
    </w:p>
    <w:p>
      <w:pPr>
        <w:pStyle w:val="ListParagraph"/>
        <w:ind w:left="426"/>
        <w:rPr>
          <w:rFonts w:ascii="Arial" w:hAnsi="Arial" w:cs="Arial"/>
          <w:b/>
          <w:color w:themeColor="accent1" w:val="4F81BD"/>
        </w:rPr>
      </w:pPr>
      <w:r>
        <w:rPr>
          <w:rFonts w:cs="Arial" w:ascii="Arial" w:hAnsi="Arial"/>
          <w:b/>
          <w:color w:themeColor="accent1" w:val="4F81BD"/>
        </w:rPr>
      </w:r>
    </w:p>
    <w:tbl>
      <w:tblPr>
        <w:tblStyle w:val="Mriekatabuky"/>
        <w:tblW w:w="8755" w:type="dxa"/>
        <w:jc w:val="left"/>
        <w:tblInd w:w="39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402"/>
        <w:gridCol w:w="5352"/>
      </w:tblGrid>
      <w:tr>
        <w:trPr/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ListParagraph"/>
              <w:widowControl/>
              <w:suppressAutoHyphens w:val="true"/>
              <w:spacing w:before="0" w:after="200"/>
              <w:ind w:left="0"/>
              <w:contextualSpacing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  <w:t>Obchodné meno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ListParagraph"/>
              <w:widowControl/>
              <w:suppressAutoHyphens w:val="true"/>
              <w:spacing w:before="0" w:after="200"/>
              <w:ind w:left="0"/>
              <w:contextualSpacing/>
              <w:jc w:val="left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lang w:val="sk-SK" w:bidi="ar-SA"/>
              </w:rPr>
              <w:t>M - LOGISTIC, s.r.o.</w:t>
            </w:r>
          </w:p>
        </w:tc>
      </w:tr>
      <w:tr>
        <w:trPr/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ListParagraph"/>
              <w:widowControl/>
              <w:suppressAutoHyphens w:val="true"/>
              <w:spacing w:before="0" w:after="200"/>
              <w:ind w:left="0"/>
              <w:contextualSpacing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  <w:t>Sídlo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ListParagraph"/>
              <w:widowControl/>
              <w:suppressAutoHyphens w:val="true"/>
              <w:spacing w:before="0" w:after="200"/>
              <w:ind w:left="0"/>
              <w:contextualSpacing/>
              <w:jc w:val="left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lang w:val="sk-SK" w:bidi="ar-SA"/>
              </w:rPr>
              <w:t>Kpt. Nálepku 78</w:t>
            </w:r>
            <w:r>
              <w:rPr>
                <w:rStyle w:val="Strong"/>
                <w:rFonts w:eastAsia="Calibri" w:cs="Arial" w:ascii="Arial" w:hAnsi="Arial"/>
                <w:kern w:val="0"/>
                <w:lang w:val="sk-SK" w:bidi="ar-SA"/>
              </w:rPr>
              <w:t>/3238</w:t>
            </w:r>
            <w:r>
              <w:rPr>
                <w:rFonts w:eastAsia="Calibri" w:cs="Arial" w:ascii="Arial" w:hAnsi="Arial"/>
                <w:b/>
                <w:kern w:val="0"/>
                <w:lang w:val="sk-SK" w:bidi="ar-SA"/>
              </w:rPr>
              <w:t>, 934 01 Levice</w:t>
            </w:r>
          </w:p>
          <w:p>
            <w:pPr>
              <w:pStyle w:val="ListParagraph"/>
              <w:widowControl/>
              <w:suppressAutoHyphens w:val="true"/>
              <w:spacing w:before="0" w:after="200"/>
              <w:ind w:left="0"/>
              <w:contextualSpacing/>
              <w:jc w:val="left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lang w:val="sk-SK" w:bidi="ar-SA"/>
              </w:rPr>
            </w:r>
          </w:p>
        </w:tc>
      </w:tr>
      <w:tr>
        <w:trPr/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ListParagraph"/>
              <w:widowControl/>
              <w:suppressAutoHyphens w:val="true"/>
              <w:spacing w:before="0" w:after="200"/>
              <w:ind w:left="0"/>
              <w:contextualSpacing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  <w:t>Obchodný register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ListParagraph"/>
              <w:widowControl/>
              <w:suppressAutoHyphens w:val="true"/>
              <w:spacing w:before="0" w:after="200"/>
              <w:ind w:left="0"/>
              <w:contextualSpacing/>
              <w:jc w:val="left"/>
              <w:rPr>
                <w:rFonts w:ascii="Arial" w:hAnsi="Arial" w:cs="Arial"/>
                <w:b/>
              </w:rPr>
            </w:pPr>
            <w:r>
              <w:rPr>
                <w:rFonts w:eastAsia="Calibri" w:cs="Arial" w:ascii="Roboto" w:hAnsi="Roboto"/>
                <w:color w:val="434040"/>
                <w:kern w:val="0"/>
                <w:sz w:val="21"/>
                <w:szCs w:val="21"/>
                <w:lang w:val="sk-SK" w:bidi="ar-SA"/>
              </w:rPr>
              <w:t>Nitra, odd. Sro, vl.č.17252/N</w:t>
            </w:r>
          </w:p>
        </w:tc>
      </w:tr>
      <w:tr>
        <w:trPr/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ListParagraph"/>
              <w:widowControl/>
              <w:suppressAutoHyphens w:val="true"/>
              <w:spacing w:before="0" w:after="200"/>
              <w:ind w:left="0"/>
              <w:contextualSpacing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  <w:t>IČO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ListParagraph"/>
              <w:widowControl/>
              <w:suppressAutoHyphens w:val="true"/>
              <w:spacing w:before="0" w:after="200"/>
              <w:ind w:left="0"/>
              <w:contextualSpacing/>
              <w:jc w:val="left"/>
              <w:rPr>
                <w:rFonts w:ascii="Arial" w:hAnsi="Arial" w:cs="Arial"/>
                <w:b/>
              </w:rPr>
            </w:pPr>
            <w:r>
              <w:rPr>
                <w:rFonts w:eastAsia="Calibri" w:cs="Arial" w:ascii="Roboto" w:hAnsi="Roboto"/>
                <w:color w:val="434040"/>
                <w:kern w:val="0"/>
                <w:sz w:val="21"/>
                <w:szCs w:val="21"/>
                <w:lang w:val="sk-SK" w:bidi="ar-SA"/>
              </w:rPr>
              <w:t>35961589</w:t>
            </w:r>
          </w:p>
        </w:tc>
      </w:tr>
      <w:tr>
        <w:trPr/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ListParagraph"/>
              <w:widowControl/>
              <w:suppressAutoHyphens w:val="true"/>
              <w:spacing w:before="0" w:after="200"/>
              <w:ind w:left="0"/>
              <w:contextualSpacing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  <w:t>IČ-DPH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ListParagraph"/>
              <w:widowControl/>
              <w:suppressAutoHyphens w:val="true"/>
              <w:spacing w:before="0" w:after="200"/>
              <w:ind w:left="0"/>
              <w:contextualSpacing/>
              <w:jc w:val="left"/>
              <w:rPr>
                <w:rFonts w:ascii="Arial" w:hAnsi="Arial" w:cs="Arial"/>
                <w:b/>
              </w:rPr>
            </w:pPr>
            <w:r>
              <w:rPr>
                <w:rFonts w:eastAsia="Calibri" w:cs="Arial" w:ascii="Roboto" w:hAnsi="Roboto"/>
                <w:color w:val="434040"/>
                <w:kern w:val="0"/>
                <w:sz w:val="21"/>
                <w:szCs w:val="21"/>
                <w:lang w:val="sk-SK" w:bidi="ar-SA"/>
              </w:rPr>
              <w:t>2022077860</w:t>
            </w:r>
          </w:p>
        </w:tc>
      </w:tr>
      <w:tr>
        <w:trPr/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ListParagraph"/>
              <w:widowControl/>
              <w:suppressAutoHyphens w:val="true"/>
              <w:spacing w:before="0" w:after="200"/>
              <w:ind w:left="0"/>
              <w:contextualSpacing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  <w:t>Deň vzniku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ListParagraph"/>
              <w:widowControl/>
              <w:suppressAutoHyphens w:val="true"/>
              <w:spacing w:before="0" w:after="200"/>
              <w:ind w:left="0"/>
              <w:contextualSpacing/>
              <w:jc w:val="left"/>
              <w:rPr>
                <w:rFonts w:ascii="Arial" w:hAnsi="Arial" w:cs="Arial"/>
                <w:b/>
              </w:rPr>
            </w:pPr>
            <w:r>
              <w:rPr>
                <w:rFonts w:eastAsia="Calibri" w:cs="Arial" w:ascii="Roboto" w:hAnsi="Roboto"/>
                <w:color w:val="434040"/>
                <w:kern w:val="0"/>
                <w:sz w:val="21"/>
                <w:szCs w:val="21"/>
                <w:lang w:val="sk-SK" w:bidi="ar-SA"/>
              </w:rPr>
              <w:t>1. novembra 2005</w:t>
            </w:r>
          </w:p>
        </w:tc>
      </w:tr>
      <w:tr>
        <w:trPr/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ListParagraph"/>
              <w:widowControl/>
              <w:suppressAutoHyphens w:val="true"/>
              <w:spacing w:before="0" w:after="200"/>
              <w:ind w:left="0"/>
              <w:contextualSpacing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  <w:t>Základné imanie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ListParagraph"/>
              <w:widowControl/>
              <w:suppressAutoHyphens w:val="true"/>
              <w:spacing w:before="0" w:after="200"/>
              <w:ind w:left="0"/>
              <w:contextualSpacing/>
              <w:jc w:val="left"/>
              <w:rPr>
                <w:rFonts w:ascii="Arial" w:hAnsi="Arial" w:cs="Arial"/>
                <w:b/>
              </w:rPr>
            </w:pPr>
            <w:r>
              <w:rPr>
                <w:rFonts w:eastAsia="Calibri" w:cs="Arial" w:ascii="Roboto" w:hAnsi="Roboto"/>
                <w:color w:val="434040"/>
                <w:kern w:val="0"/>
                <w:sz w:val="21"/>
                <w:szCs w:val="21"/>
                <w:lang w:val="sk-SK" w:bidi="ar-SA"/>
              </w:rPr>
              <w:t>347 792 €</w:t>
            </w:r>
          </w:p>
        </w:tc>
      </w:tr>
    </w:tbl>
    <w:p>
      <w:pPr>
        <w:pStyle w:val="ListParagraph"/>
        <w:ind w:left="426"/>
        <w:rPr>
          <w:rFonts w:ascii="Arial" w:hAnsi="Arial" w:cs="Arial"/>
          <w:b/>
          <w:color w:themeColor="accent1" w:val="4F81BD"/>
        </w:rPr>
      </w:pPr>
      <w:r>
        <w:rPr>
          <w:rFonts w:cs="Arial" w:ascii="Arial" w:hAnsi="Arial"/>
          <w:b/>
          <w:color w:themeColor="accent1" w:val="4F81BD"/>
        </w:rPr>
      </w:r>
    </w:p>
    <w:p>
      <w:pPr>
        <w:pStyle w:val="ListParagraph"/>
        <w:ind w:left="142"/>
        <w:rPr>
          <w:rFonts w:ascii="Arial" w:hAnsi="Arial" w:cs="Arial"/>
          <w:b/>
          <w:color w:themeColor="accent1" w:val="4F81BD"/>
        </w:rPr>
      </w:pPr>
      <w:r>
        <w:rPr>
          <w:rFonts w:cs="Arial" w:ascii="Arial" w:hAnsi="Arial"/>
          <w:b/>
          <w:color w:themeColor="accent1" w:val="4F81BD"/>
        </w:rPr>
        <w:t xml:space="preserve">    </w:t>
      </w:r>
      <w:r>
        <w:rPr>
          <w:rFonts w:cs="Arial" w:ascii="Arial" w:hAnsi="Arial"/>
          <w:b/>
          <w:color w:themeColor="accent1" w:val="4F81BD"/>
        </w:rPr>
        <w:t xml:space="preserve">Profil spoločnosti </w:t>
      </w:r>
    </w:p>
    <w:tbl>
      <w:tblPr>
        <w:tblStyle w:val="Mriekatabuky"/>
        <w:tblW w:w="9214" w:type="dxa"/>
        <w:jc w:val="left"/>
        <w:tblInd w:w="39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214"/>
      </w:tblGrid>
      <w:tr>
        <w:trPr/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Fonts w:ascii="Arial" w:hAnsi="Arial" w:eastAsia="Times New Roman" w:cs="Arial"/>
                <w:bCs/>
                <w:lang w:eastAsia="sk-SK"/>
              </w:rPr>
            </w:pP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  <w:t>M - LOGISTIC, s.r.o.</w:t>
            </w:r>
            <w:r>
              <w:rPr>
                <w:rFonts w:eastAsia="Times New Roman" w:cs="Arial" w:ascii="Arial" w:hAnsi="Arial"/>
                <w:kern w:val="0"/>
                <w:lang w:val="sk-SK" w:eastAsia="sk-SK" w:bidi="ar-SA"/>
              </w:rPr>
              <w:t xml:space="preserve"> pôsobí na trhu medzinárodných zasielateľov ako spoľahlivý partner.</w:t>
              <w:br/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Arial" w:hAnsi="Arial" w:eastAsia="Times New Roman" w:cs="Arial"/>
                <w:iCs/>
                <w:lang w:eastAsia="sk-SK"/>
              </w:rPr>
            </w:pP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  <w:t>Ť</w:t>
            </w:r>
            <w:r>
              <w:rPr>
                <w:rFonts w:eastAsia="Times New Roman" w:cs="Arial" w:ascii="Arial" w:hAnsi="Arial"/>
                <w:kern w:val="0"/>
                <w:lang w:val="sk-SK" w:eastAsia="sk-SK" w:bidi="ar-SA"/>
              </w:rPr>
              <w:t>ažiskovou činnosťou našej spoločnosti je zasielateľstvo v medzinárodnej a vnútroštátnej preprave.</w:t>
              <w:br/>
              <w:br/>
            </w: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  <w:t>O</w:t>
            </w:r>
            <w:r>
              <w:rPr>
                <w:rFonts w:eastAsia="Times New Roman" w:cs="Arial" w:ascii="Arial" w:hAnsi="Arial"/>
                <w:kern w:val="0"/>
                <w:lang w:val="sk-SK" w:eastAsia="sk-SK" w:bidi="ar-SA"/>
              </w:rPr>
              <w:t xml:space="preserve">bchodným partnerom je ponúkaná možnosť prepracovať ich kombináciou podľa prepravného reťazca. </w:t>
            </w:r>
            <w:r>
              <w:rPr>
                <w:rFonts w:eastAsia="Times New Roman" w:cs="Arial" w:ascii="Arial" w:hAnsi="Arial"/>
                <w:bCs/>
                <w:iCs/>
                <w:kern w:val="0"/>
                <w:lang w:val="sk-SK" w:eastAsia="sk-SK" w:bidi="ar-SA"/>
              </w:rPr>
              <w:t>C</w:t>
            </w:r>
            <w:r>
              <w:rPr>
                <w:rFonts w:eastAsia="Times New Roman" w:cs="Arial" w:ascii="Arial" w:hAnsi="Arial"/>
                <w:iCs/>
                <w:kern w:val="0"/>
                <w:lang w:val="sk-SK" w:eastAsia="sk-SK" w:bidi="ar-SA"/>
              </w:rPr>
              <w:t>ertifikačný audit v našej spoločnosti bol vykonaný spoločnosťou TUV  SUD Slovakia v Júni 2006, ktorá v tom istom mesiaci 2006   schválila a udelila ISO  9001:2001 pre realizáciu zasielateľských a logistických služieb.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Arial" w:hAnsi="Arial" w:eastAsia="Times New Roman" w:cs="Arial"/>
                <w:bCs/>
                <w:lang w:eastAsia="sk-SK"/>
              </w:rPr>
            </w:pP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Fonts w:ascii="Arial" w:hAnsi="Arial" w:eastAsia="Times New Roman" w:cs="Arial"/>
                <w:bCs/>
                <w:lang w:eastAsia="sk-SK"/>
              </w:rPr>
            </w:pP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  <w:t>LKW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Fonts w:ascii="Arial" w:hAnsi="Arial" w:eastAsia="Times New Roman" w:cs="Arial"/>
                <w:bCs/>
                <w:lang w:eastAsia="sk-SK"/>
              </w:rPr>
            </w:pP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Fonts w:ascii="Arial" w:hAnsi="Arial" w:eastAsia="Times New Roman" w:cs="Arial"/>
                <w:bCs/>
                <w:lang w:eastAsia="sk-SK"/>
              </w:rPr>
            </w:pP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  <w:t>M - LOGISTIC, s.r.o.</w:t>
            </w:r>
            <w:r>
              <w:rPr>
                <w:rFonts w:eastAsia="Times New Roman" w:cs="Arial" w:ascii="Arial" w:hAnsi="Arial"/>
                <w:kern w:val="0"/>
                <w:lang w:val="sk-SK" w:eastAsia="sk-SK" w:bidi="ar-SA"/>
              </w:rPr>
              <w:t xml:space="preserve"> </w:t>
            </w: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  <w:t xml:space="preserve">zabezpečuje </w:t>
            </w:r>
            <w:r>
              <w:rPr>
                <w:rFonts w:eastAsia="Times New Roman" w:cs="Arial" w:ascii="Arial" w:hAnsi="Arial"/>
                <w:kern w:val="0"/>
                <w:lang w:val="sk-SK" w:eastAsia="sk-SK" w:bidi="ar-SA"/>
              </w:rPr>
              <w:t>prepravu tovarov v rámci :</w:t>
              <w:br/>
              <w:br/>
              <w:t xml:space="preserve">1.) štátov </w:t>
            </w: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  <w:t>EU</w:t>
            </w:r>
            <w:r>
              <w:rPr>
                <w:rFonts w:eastAsia="Times New Roman" w:cs="Arial" w:ascii="Arial" w:hAnsi="Arial"/>
                <w:kern w:val="0"/>
                <w:lang w:val="sk-SK" w:eastAsia="sk-SK" w:bidi="ar-SA"/>
              </w:rPr>
              <w:br/>
              <w:t xml:space="preserve">2.) treťoštátne prepravy vrátane štátov bývalého </w:t>
            </w: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  <w:t>Sovietskeho zväzu, š</w:t>
            </w:r>
            <w:r>
              <w:rPr>
                <w:rFonts w:eastAsia="Times New Roman" w:cs="Arial" w:ascii="Arial" w:hAnsi="Arial"/>
                <w:kern w:val="0"/>
                <w:lang w:val="sk-SK" w:eastAsia="sk-SK" w:bidi="ar-SA"/>
              </w:rPr>
              <w:t xml:space="preserve">tátov </w:t>
            </w: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  <w:t>Balkánu a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Fonts w:ascii="Arial" w:hAnsi="Arial" w:eastAsia="Times New Roman" w:cs="Arial"/>
                <w:lang w:eastAsia="sk-SK"/>
              </w:rPr>
            </w:pP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  <w:t xml:space="preserve">     </w:t>
            </w: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  <w:t>Juhoslávie</w:t>
            </w:r>
            <w:r>
              <w:rPr>
                <w:rFonts w:eastAsia="Times New Roman" w:cs="Arial" w:ascii="Arial" w:hAnsi="Arial"/>
                <w:kern w:val="0"/>
                <w:lang w:val="sk-SK" w:eastAsia="sk-SK" w:bidi="ar-SA"/>
              </w:rPr>
              <w:br/>
              <w:t xml:space="preserve">3.) vnútroštátne prepravy – </w:t>
            </w: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  <w:t>Slovensko</w:t>
            </w:r>
            <w:r>
              <w:rPr>
                <w:rFonts w:eastAsia="Times New Roman" w:cs="Arial" w:ascii="Arial" w:hAnsi="Arial"/>
                <w:kern w:val="0"/>
                <w:lang w:val="sk-SK" w:eastAsia="sk-SK" w:bidi="ar-SA"/>
              </w:rPr>
              <w:br/>
              <w:br/>
            </w: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  <w:t>M - LOGISTIC, s.r.o.</w:t>
            </w:r>
            <w:r>
              <w:rPr>
                <w:rFonts w:eastAsia="Times New Roman" w:cs="Arial" w:ascii="Arial" w:hAnsi="Arial"/>
                <w:kern w:val="0"/>
                <w:lang w:val="sk-SK" w:eastAsia="sk-SK" w:bidi="ar-SA"/>
              </w:rPr>
              <w:t xml:space="preserve"> ponúka: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/>
                <w:lang w:eastAsia="sk-SK"/>
              </w:rPr>
            </w:pPr>
            <w:r>
              <w:rPr>
                <w:rFonts w:eastAsia="Times New Roman" w:cs="Arial" w:ascii="Arial" w:hAnsi="Arial"/>
                <w:kern w:val="0"/>
                <w:lang w:val="sk-SK" w:eastAsia="sk-SK" w:bidi="ar-SA"/>
              </w:rPr>
              <w:br/>
              <w:t>- vozidlá vybavené satelitným zariadením resp. mobilným komunikačným systémom</w:t>
              <w:br/>
              <w:t xml:space="preserve">- potrebný čas na dispozíciu - do </w:t>
            </w: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  <w:t>48 hodín</w:t>
            </w:r>
            <w:r>
              <w:rPr>
                <w:rFonts w:eastAsia="Times New Roman" w:cs="Arial" w:ascii="Arial" w:hAnsi="Arial"/>
                <w:kern w:val="0"/>
                <w:lang w:val="sk-SK" w:eastAsia="sk-SK" w:bidi="ar-SA"/>
              </w:rPr>
              <w:t xml:space="preserve"> na ESP,F,GB, ostatné do </w:t>
            </w: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  <w:t>24 hodín</w:t>
            </w:r>
            <w:r>
              <w:rPr>
                <w:rFonts w:eastAsia="Times New Roman" w:cs="Arial" w:ascii="Arial" w:hAnsi="Arial"/>
                <w:kern w:val="0"/>
                <w:lang w:val="sk-SK" w:eastAsia="sk-SK" w:bidi="ar-SA"/>
              </w:rPr>
              <w:br/>
              <w:t>- CMR poistenie</w:t>
              <w:br/>
              <w:t xml:space="preserve">- dodatočné poistenie </w:t>
              <w:br/>
              <w:t>- nadrozmerná preprava</w:t>
              <w:br/>
              <w:t>- preprava nebezpečného tovaru ADR</w:t>
            </w:r>
          </w:p>
          <w:p>
            <w:pPr>
              <w:pStyle w:val="Normal"/>
              <w:widowControl/>
              <w:suppressAutoHyphens w:val="true"/>
              <w:spacing w:before="0" w:after="200"/>
              <w:jc w:val="both"/>
              <w:rPr>
                <w:rFonts w:ascii="Times New Roman" w:hAnsi="Times New Roman" w:eastAsia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kern w:val="0"/>
                <w:lang w:val="sk-SK" w:eastAsia="sk-SK" w:bidi="ar-SA"/>
              </w:rPr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Fonts w:ascii="Times New Roman" w:hAnsi="Times New Roman" w:eastAsia="Times New Roman"/>
                <w:lang w:eastAsia="sk-SK"/>
              </w:rPr>
            </w:pP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  <w:t>ŽELEZNIČNÁ  DOPRAVA</w:t>
            </w:r>
            <w:r>
              <w:rPr>
                <w:rFonts w:eastAsia="Times New Roman" w:cs="Arial" w:ascii="Arial" w:hAnsi="Arial"/>
                <w:kern w:val="0"/>
                <w:lang w:val="sk-SK" w:eastAsia="sk-SK" w:bidi="ar-SA"/>
              </w:rPr>
              <w:br/>
              <w:br/>
            </w: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  <w:t>M - LOGISTIC, s.r.o. p</w:t>
            </w:r>
            <w:r>
              <w:rPr>
                <w:rFonts w:eastAsia="Times New Roman" w:cs="Arial" w:ascii="Arial" w:hAnsi="Arial"/>
                <w:kern w:val="0"/>
                <w:lang w:val="sk-SK" w:eastAsia="sk-SK" w:bidi="ar-SA"/>
              </w:rPr>
              <w:t xml:space="preserve">racujeme na princípe tarifných zliav v režime dovoz, vývoz, tranzit na teritóriu: Slovenska, Čiech, Poľska, Maďarska, Rakúska, Nemecka, Belgicka, Francúzka, Holandska, Anglicka, Rumunska, bývalých štátov Juhoslávie, Ruska, Ukrajina a bývalých štátov SNŠ. </w:t>
              <w:br/>
              <w:br/>
              <w:t>SLUŽBY V OBLASTI SKLADOVEJ A DISTRIBUČNEJ LOGISTIKY</w:t>
              <w:br/>
            </w:r>
          </w:p>
          <w:p>
            <w:pPr>
              <w:pStyle w:val="ListParagraph"/>
              <w:widowControl/>
              <w:suppressAutoHyphens w:val="true"/>
              <w:spacing w:before="0" w:after="200"/>
              <w:ind w:left="0"/>
              <w:contextualSpacing/>
              <w:jc w:val="both"/>
              <w:rPr>
                <w:rFonts w:ascii="Arial" w:hAnsi="Arial" w:eastAsia="Times New Roman" w:cs="Arial"/>
                <w:lang w:eastAsia="sk-SK"/>
              </w:rPr>
            </w:pP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  <w:t>S</w:t>
            </w:r>
            <w:r>
              <w:rPr>
                <w:rFonts w:eastAsia="Times New Roman" w:cs="Arial" w:ascii="Arial" w:hAnsi="Arial"/>
                <w:kern w:val="0"/>
                <w:lang w:val="sk-SK" w:eastAsia="sk-SK" w:bidi="ar-SA"/>
              </w:rPr>
              <w:t xml:space="preserve">poločnosť </w:t>
            </w: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  <w:t>M - LOGISTIC</w:t>
            </w:r>
            <w:r>
              <w:rPr>
                <w:rFonts w:eastAsia="Times New Roman" w:cs="Arial" w:ascii="Arial" w:hAnsi="Arial"/>
                <w:kern w:val="0"/>
                <w:lang w:val="sk-SK" w:eastAsia="sk-SK" w:bidi="ar-SA"/>
              </w:rPr>
              <w:t>, s.r.o. poskytuje tiež skladové priestory vrátane manipulácie a následnej distribúcie v prechodovej štátnej hranici Čierna nad Tisou/Čop št.hr.</w:t>
              <w:br/>
              <w:br/>
            </w: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  <w:t>V</w:t>
            </w:r>
            <w:r>
              <w:rPr>
                <w:rFonts w:eastAsia="Times New Roman" w:cs="Arial" w:ascii="Arial" w:hAnsi="Arial"/>
                <w:kern w:val="0"/>
                <w:lang w:val="sk-SK" w:eastAsia="sk-SK" w:bidi="ar-SA"/>
              </w:rPr>
              <w:t>ýhodou týchto skladových priestorov je možnosť priamej i nepriamej prekládky zo širokorozchodnej železnice na železnicu s klasickým rozchodom.</w:t>
            </w:r>
          </w:p>
          <w:p>
            <w:pPr>
              <w:pStyle w:val="ListParagraph"/>
              <w:widowControl/>
              <w:suppressAutoHyphens w:val="true"/>
              <w:spacing w:before="0" w:after="200"/>
              <w:ind w:left="0"/>
              <w:contextualSpacing/>
              <w:jc w:val="both"/>
              <w:rPr>
                <w:rFonts w:ascii="Arial" w:hAnsi="Arial" w:cs="Arial"/>
                <w:color w:themeColor="accent1" w:val="4F81BD"/>
              </w:rPr>
            </w:pPr>
            <w:r>
              <w:rPr>
                <w:rFonts w:eastAsia="Times New Roman" w:cs="Arial" w:ascii="Arial" w:hAnsi="Arial"/>
                <w:kern w:val="0"/>
                <w:lang w:val="sk-SK" w:eastAsia="sk-SK" w:bidi="ar-SA"/>
              </w:rPr>
              <w:br/>
            </w:r>
            <w:r>
              <w:rPr>
                <w:rFonts w:eastAsia="Times New Roman" w:cs="Arial" w:ascii="Arial" w:hAnsi="Arial"/>
                <w:bCs/>
                <w:kern w:val="0"/>
                <w:lang w:val="sk-SK" w:eastAsia="sk-SK" w:bidi="ar-SA"/>
              </w:rPr>
              <w:t>S</w:t>
            </w:r>
            <w:r>
              <w:rPr>
                <w:rFonts w:eastAsia="Times New Roman" w:cs="Arial" w:ascii="Arial" w:hAnsi="Arial"/>
                <w:kern w:val="0"/>
                <w:lang w:val="sk-SK" w:eastAsia="sk-SK" w:bidi="ar-SA"/>
              </w:rPr>
              <w:t>účasťou služieb skladovania je aj rozvoz tovaru k finálnym odberateľom na základe ich požiadaviek.</w:t>
              <w:br/>
            </w:r>
          </w:p>
        </w:tc>
      </w:tr>
    </w:tbl>
    <w:p>
      <w:pPr>
        <w:pStyle w:val="Normal"/>
        <w:rPr>
          <w:rFonts w:ascii="Arial" w:hAnsi="Arial" w:cs="Arial"/>
          <w:b/>
          <w:color w:themeColor="accent1" w:val="4F81BD"/>
        </w:rPr>
      </w:pPr>
      <w:r>
        <w:rPr>
          <w:rFonts w:cs="Arial" w:ascii="Arial" w:hAnsi="Arial"/>
          <w:b/>
          <w:sz w:val="24"/>
          <w:szCs w:val="24"/>
        </w:rPr>
        <w:t xml:space="preserve">      </w:t>
      </w:r>
      <w:r>
        <w:rPr>
          <w:rFonts w:cs="Arial" w:ascii="Arial" w:hAnsi="Arial"/>
          <w:b/>
          <w:color w:themeColor="accent1" w:val="4F81BD"/>
        </w:rPr>
        <w:t xml:space="preserve">Štruktúra spoločníkov a výška podielu na základnom imaní </w:t>
      </w:r>
    </w:p>
    <w:tbl>
      <w:tblPr>
        <w:tblStyle w:val="Mriekatabuky"/>
        <w:tblW w:w="8820" w:type="dxa"/>
        <w:jc w:val="left"/>
        <w:tblInd w:w="39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394"/>
        <w:gridCol w:w="2124"/>
        <w:gridCol w:w="2302"/>
      </w:tblGrid>
      <w:tr>
        <w:trPr>
          <w:trHeight w:val="394" w:hRule="atLeast"/>
        </w:trPr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  <w:t>Meno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</w:r>
          </w:p>
        </w:tc>
        <w:tc>
          <w:tcPr>
            <w:tcW w:w="212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  <w:t>Podiel na ZI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  <w:t>EUR</w:t>
            </w:r>
          </w:p>
        </w:tc>
        <w:tc>
          <w:tcPr>
            <w:tcW w:w="230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  <w:t>Podiel na ZI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  <w:t>%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</w:r>
          </w:p>
        </w:tc>
      </w:tr>
      <w:tr>
        <w:trPr>
          <w:trHeight w:val="394" w:hRule="atLeast"/>
        </w:trPr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Style w:val="Truncate1"/>
                <w:rFonts w:ascii="Arial" w:hAnsi="Arial" w:cs="Arial"/>
              </w:rPr>
            </w:pPr>
            <w:r>
              <w:rPr>
                <w:rStyle w:val="Truncate1"/>
                <w:rFonts w:eastAsia="Calibri" w:cs="Arial" w:ascii="Arial" w:hAnsi="Arial"/>
                <w:kern w:val="0"/>
                <w:lang w:val="sk-SK" w:bidi="ar-SA"/>
              </w:rPr>
              <w:t>Bc. Miroslav Ižák, Nová Dedina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Style w:val="Truncate1"/>
                <w:rFonts w:ascii="Arial" w:hAnsi="Arial" w:cs="Arial"/>
              </w:rPr>
            </w:pPr>
            <w:r>
              <w:rPr>
                <w:rStyle w:val="Truncate1"/>
                <w:rFonts w:eastAsia="Calibri" w:cs="Arial" w:ascii="Arial" w:hAnsi="Arial"/>
                <w:kern w:val="0"/>
                <w:lang w:val="sk-SK" w:bidi="ar-SA"/>
              </w:rPr>
              <w:t>Michal Krchňavý, Drženice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</w:r>
          </w:p>
        </w:tc>
        <w:tc>
          <w:tcPr>
            <w:tcW w:w="212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  <w:t>173 896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  <w:t>173 896</w:t>
            </w:r>
          </w:p>
        </w:tc>
        <w:tc>
          <w:tcPr>
            <w:tcW w:w="230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  <w:t>50%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  <w:t>50%</w:t>
            </w:r>
          </w:p>
        </w:tc>
      </w:tr>
    </w:tbl>
    <w:p>
      <w:pPr>
        <w:pStyle w:val="Normal"/>
        <w:rPr>
          <w:rFonts w:ascii="Arial" w:hAnsi="Arial" w:cs="Arial"/>
          <w:b/>
          <w:color w:themeColor="accent1" w:val="4F81BD"/>
        </w:rPr>
      </w:pPr>
      <w:r>
        <w:rPr>
          <w:rFonts w:cs="Arial" w:ascii="Arial" w:hAnsi="Arial"/>
          <w:b/>
          <w:color w:themeColor="accent1" w:val="4F81BD"/>
        </w:rPr>
      </w:r>
    </w:p>
    <w:p>
      <w:pPr>
        <w:pStyle w:val="Normal"/>
        <w:rPr>
          <w:rFonts w:ascii="Arial" w:hAnsi="Arial" w:cs="Arial"/>
          <w:b/>
          <w:color w:themeColor="accent1" w:val="4F81BD"/>
        </w:rPr>
      </w:pPr>
      <w:r>
        <w:rPr>
          <w:rFonts w:cs="Arial" w:ascii="Arial" w:hAnsi="Arial"/>
          <w:b/>
          <w:color w:themeColor="accent1" w:val="4F81BD"/>
        </w:rPr>
        <w:t xml:space="preserve">       </w:t>
      </w:r>
      <w:r>
        <w:rPr>
          <w:rFonts w:cs="Arial" w:ascii="Arial" w:hAnsi="Arial"/>
          <w:b/>
          <w:color w:themeColor="accent1" w:val="4F81BD"/>
        </w:rPr>
        <w:t>Štatutárny orgán</w:t>
      </w:r>
    </w:p>
    <w:tbl>
      <w:tblPr>
        <w:tblStyle w:val="Mriekatabuky"/>
        <w:tblW w:w="9072" w:type="dxa"/>
        <w:jc w:val="left"/>
        <w:tblInd w:w="45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329"/>
        <w:gridCol w:w="4742"/>
      </w:tblGrid>
      <w:tr>
        <w:trPr>
          <w:trHeight w:val="394" w:hRule="atLeast"/>
        </w:trPr>
        <w:tc>
          <w:tcPr>
            <w:tcW w:w="432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  <w:t>Konatelia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</w:r>
          </w:p>
        </w:tc>
        <w:tc>
          <w:tcPr>
            <w:tcW w:w="474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</w:r>
          </w:p>
        </w:tc>
      </w:tr>
      <w:tr>
        <w:trPr>
          <w:trHeight w:val="394" w:hRule="atLeast"/>
        </w:trPr>
        <w:tc>
          <w:tcPr>
            <w:tcW w:w="432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Style w:val="Truncate1"/>
                <w:rFonts w:ascii="Arial" w:hAnsi="Arial" w:cs="Arial"/>
              </w:rPr>
            </w:pPr>
            <w:r>
              <w:rPr>
                <w:rStyle w:val="Truncate1"/>
                <w:rFonts w:eastAsia="Calibri" w:cs="Arial" w:ascii="Arial" w:hAnsi="Arial"/>
                <w:kern w:val="0"/>
                <w:lang w:val="sk-SK" w:bidi="ar-SA"/>
              </w:rPr>
              <w:t>Bc. Miroslav Ižák, Nová Dedina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Style w:val="Truncate1"/>
                <w:rFonts w:ascii="Arial" w:hAnsi="Arial" w:cs="Arial"/>
              </w:rPr>
            </w:pPr>
            <w:r>
              <w:rPr>
                <w:rStyle w:val="Truncate1"/>
                <w:rFonts w:eastAsia="Calibri" w:cs="Arial" w:ascii="Arial" w:hAnsi="Arial"/>
                <w:kern w:val="0"/>
                <w:lang w:val="sk-SK" w:bidi="ar-SA"/>
              </w:rPr>
              <w:t>Michal Krchňavý, Drženice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</w:r>
          </w:p>
        </w:tc>
        <w:tc>
          <w:tcPr>
            <w:tcW w:w="4742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Style w:val="Ra"/>
                <w:rFonts w:ascii="Arial" w:hAnsi="Arial" w:cs="Arial"/>
              </w:rPr>
            </w:pPr>
            <w:r>
              <w:rPr>
                <w:rStyle w:val="Ra"/>
                <w:rFonts w:eastAsia="Calibri" w:cs="Arial" w:ascii="Arial" w:hAnsi="Arial"/>
                <w:kern w:val="0"/>
                <w:lang w:val="sk-SK" w:bidi="ar-SA"/>
              </w:rPr>
              <w:t>V mene spoločnosti konajú a podpisujú dvaja konatelia spoločne.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Style w:val="Ra"/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Style w:val="Ra"/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Style w:val="Ra"/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Arial" w:hAnsi="Arial" w:cs="Arial"/>
              </w:rPr>
            </w:pPr>
            <w:r>
              <w:rPr>
                <w:rStyle w:val="Ra"/>
                <w:rFonts w:eastAsia="Calibri" w:cs="Arial" w:ascii="Arial" w:hAnsi="Arial"/>
                <w:kern w:val="0"/>
                <w:lang w:val="sk-SK" w:bidi="ar-SA"/>
              </w:rPr>
              <w:t>Menom spoločnosti koná a podpisuje prokurista s jedným konateľom spoločne.</w:t>
            </w:r>
          </w:p>
        </w:tc>
      </w:tr>
      <w:tr>
        <w:trPr>
          <w:trHeight w:val="390" w:hRule="atLeast"/>
        </w:trPr>
        <w:tc>
          <w:tcPr>
            <w:tcW w:w="432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  <w:t>Prokúra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lang w:val="sk-SK" w:bidi="ar-SA"/>
              </w:rPr>
            </w:r>
          </w:p>
        </w:tc>
        <w:tc>
          <w:tcPr>
            <w:tcW w:w="4742" w:type="dxa"/>
            <w:vMerge w:val="continue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</w:r>
          </w:p>
        </w:tc>
      </w:tr>
      <w:tr>
        <w:trPr>
          <w:trHeight w:val="855" w:hRule="atLeast"/>
        </w:trPr>
        <w:tc>
          <w:tcPr>
            <w:tcW w:w="432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left"/>
              <w:rPr>
                <w:rFonts w:ascii="Arial" w:hAnsi="Arial" w:cs="Arial"/>
                <w:b/>
              </w:rPr>
            </w:pPr>
            <w:r>
              <w:rPr>
                <w:rStyle w:val="Ra"/>
                <w:rFonts w:eastAsia="Calibri" w:cs="Arial" w:ascii="Arial" w:hAnsi="Arial"/>
                <w:kern w:val="0"/>
                <w:lang w:val="sk-SK" w:bidi="ar-SA"/>
              </w:rPr>
              <w:t xml:space="preserve">Ing. </w:t>
            </w:r>
            <w:hyperlink r:id="rId7">
              <w:r>
                <w:rPr>
                  <w:rStyle w:val="Ra"/>
                  <w:rFonts w:eastAsia="Calibri" w:cs="Arial" w:ascii="Arial" w:hAnsi="Arial"/>
                  <w:kern w:val="0"/>
                  <w:lang w:val="sk-SK" w:bidi="ar-SA"/>
                </w:rPr>
                <w:t xml:space="preserve">Libor Vilda, </w:t>
              </w:r>
            </w:hyperlink>
            <w:r>
              <w:rPr>
                <w:rStyle w:val="Ra"/>
                <w:rFonts w:eastAsia="Calibri" w:cs="Arial" w:ascii="Arial" w:hAnsi="Arial"/>
                <w:kern w:val="0"/>
                <w:lang w:val="sk-SK" w:bidi="ar-SA"/>
              </w:rPr>
              <w:t>Poštorná, Česká republika</w:t>
            </w:r>
          </w:p>
        </w:tc>
        <w:tc>
          <w:tcPr>
            <w:tcW w:w="4742" w:type="dxa"/>
            <w:vMerge w:val="continue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center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lang w:val="sk-SK" w:bidi="ar-SA"/>
              </w:rPr>
            </w:r>
          </w:p>
        </w:tc>
      </w:tr>
    </w:tbl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       </w:t>
      </w:r>
      <w:r>
        <w:rPr>
          <w:rFonts w:cs="Arial" w:ascii="Arial" w:hAnsi="Arial"/>
        </w:rPr>
        <w:t>Hospodárskym obdobím roka 202</w:t>
      </w:r>
      <w:r>
        <w:rPr>
          <w:rFonts w:cs="Arial" w:ascii="Arial" w:hAnsi="Arial"/>
        </w:rPr>
        <w:t>3</w:t>
      </w:r>
      <w:r>
        <w:rPr>
          <w:rFonts w:cs="Arial" w:ascii="Arial" w:hAnsi="Arial"/>
        </w:rPr>
        <w:t xml:space="preserve"> je obdobie od 1.1.202</w:t>
      </w:r>
      <w:r>
        <w:rPr>
          <w:rFonts w:cs="Arial" w:ascii="Arial" w:hAnsi="Arial"/>
        </w:rPr>
        <w:t>3</w:t>
      </w:r>
      <w:r>
        <w:rPr>
          <w:rFonts w:cs="Arial" w:ascii="Arial" w:hAnsi="Arial"/>
        </w:rPr>
        <w:t xml:space="preserve"> do 31.12.202</w:t>
      </w:r>
      <w:r>
        <w:rPr>
          <w:rFonts w:cs="Arial" w:ascii="Arial" w:hAnsi="Arial"/>
        </w:rPr>
        <w:t>3</w:t>
      </w:r>
      <w:r>
        <w:rPr>
          <w:rFonts w:cs="Arial" w:ascii="Arial" w:hAnsi="Arial"/>
        </w:rPr>
        <w:t>.</w:t>
      </w:r>
    </w:p>
    <w:p>
      <w:pPr>
        <w:pStyle w:val="Odstavecseseznamem"/>
        <w:spacing w:lineRule="auto" w:line="288"/>
        <w:ind w:left="0"/>
        <w:jc w:val="both"/>
        <w:rPr>
          <w:rFonts w:ascii="Arial" w:hAnsi="Arial" w:cs="Arial"/>
        </w:rPr>
      </w:pPr>
      <w:r>
        <w:rPr>
          <w:rFonts w:cs="Arial" w:ascii="Arial" w:hAnsi="Arial"/>
        </w:rPr>
        <w:t>Spoločnosť k dátumu 31.12.202</w:t>
      </w:r>
      <w:r>
        <w:rPr>
          <w:rFonts w:cs="Arial" w:ascii="Arial" w:hAnsi="Arial"/>
        </w:rPr>
        <w:t>3</w:t>
      </w:r>
      <w:r>
        <w:rPr>
          <w:rFonts w:cs="Arial" w:ascii="Arial" w:hAnsi="Arial"/>
        </w:rPr>
        <w:t xml:space="preserve"> mala dcérsku spoločnosť M-Logistic CZ, s.r.o. s podielom na jej základnom imaní 70% a taktiež k tomuto dátumu nemala žiadne organizačné zložky v zahraničí a neuplatňuje rozhodujúci vplyv v žiadnej spoločnosti. Spoločnosť čerpá krátkodobí preklenovací úver na rozvoj svojho ďalšieho podnikateľského zámeru.</w:t>
      </w:r>
    </w:p>
    <w:p>
      <w:pPr>
        <w:pStyle w:val="Normal"/>
        <w:ind w:left="426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 </w:t>
      </w:r>
    </w:p>
    <w:p>
      <w:pPr>
        <w:pStyle w:val="Normal"/>
        <w:ind w:left="426"/>
        <w:jc w:val="both"/>
        <w:rPr>
          <w:rFonts w:ascii="Arial" w:hAnsi="Arial" w:cs="Arial"/>
        </w:rPr>
      </w:pPr>
      <w:r>
        <w:rPr>
          <w:rFonts w:cs="Arial" w:ascii="Arial" w:hAnsi="Arial"/>
        </w:rPr>
        <w:t>Priemerný počet zamestnancov v roku 202</w:t>
      </w:r>
      <w:r>
        <w:rPr>
          <w:rFonts w:cs="Arial" w:ascii="Arial" w:hAnsi="Arial"/>
        </w:rPr>
        <w:t>3</w:t>
      </w:r>
      <w:r>
        <w:rPr>
          <w:rFonts w:cs="Arial" w:ascii="Arial" w:hAnsi="Arial"/>
        </w:rPr>
        <w:t xml:space="preserve"> bol </w:t>
      </w:r>
      <w:r>
        <w:rPr>
          <w:rFonts w:cs="Arial" w:ascii="Arial" w:hAnsi="Arial"/>
        </w:rPr>
        <w:t>16</w:t>
      </w:r>
      <w:r>
        <w:rPr>
          <w:rStyle w:val="Clearfix"/>
          <w:rFonts w:cs="Arial" w:ascii="Arial" w:hAnsi="Arial"/>
        </w:rPr>
        <w:t>-</w:t>
      </w:r>
      <w:r>
        <w:rPr>
          <w:rStyle w:val="Clearfix"/>
          <w:rFonts w:cs="Arial" w:ascii="Arial" w:hAnsi="Arial"/>
        </w:rPr>
        <w:t>17</w:t>
      </w:r>
      <w:r>
        <w:rPr>
          <w:rFonts w:cs="Arial" w:ascii="Arial" w:hAnsi="Arial"/>
        </w:rPr>
        <w:t>, z toho vedúcich zamestnancov 2.</w:t>
      </w:r>
    </w:p>
    <w:p>
      <w:pPr>
        <w:pStyle w:val="Normal"/>
        <w:ind w:left="426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ListParagraph"/>
        <w:numPr>
          <w:ilvl w:val="0"/>
          <w:numId w:val="2"/>
        </w:numPr>
        <w:ind w:firstLine="142" w:left="142"/>
        <w:rPr>
          <w:rFonts w:ascii="Arial" w:hAnsi="Arial" w:cs="Arial"/>
          <w:b/>
          <w:color w:themeColor="accent1" w:val="4F81BD"/>
        </w:rPr>
      </w:pPr>
      <w:r>
        <w:rPr>
          <w:rFonts w:cs="Arial" w:ascii="Arial" w:hAnsi="Arial"/>
          <w:b/>
          <w:color w:themeColor="accent1" w:val="4F81BD"/>
        </w:rPr>
        <w:t xml:space="preserve">Prehľad vybraných ekonomických ukazovateľov spoločnosti </w:t>
      </w:r>
    </w:p>
    <w:tbl>
      <w:tblPr>
        <w:tblW w:w="6500" w:type="dxa"/>
        <w:jc w:val="left"/>
        <w:tblInd w:w="5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360"/>
        <w:gridCol w:w="1179"/>
        <w:gridCol w:w="961"/>
      </w:tblGrid>
      <w:tr>
        <w:trPr>
          <w:trHeight w:val="300" w:hRule="atLeast"/>
        </w:trPr>
        <w:tc>
          <w:tcPr>
            <w:tcW w:w="43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u w:val="single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u w:val="single"/>
                <w:lang w:eastAsia="sk-SK"/>
              </w:rPr>
              <w:t>STRANA AKTÍV</w:t>
            </w:r>
          </w:p>
        </w:tc>
        <w:tc>
          <w:tcPr>
            <w:tcW w:w="1179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961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43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Spolu majetok</w:t>
            </w:r>
          </w:p>
        </w:tc>
        <w:tc>
          <w:tcPr>
            <w:tcW w:w="1179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2.</w:t>
            </w:r>
            <w:r>
              <w:rPr>
                <w:rFonts w:eastAsia="Times New Roman"/>
                <w:color w:val="000000"/>
                <w:lang w:eastAsia="sk-SK"/>
              </w:rPr>
              <w:t>666 050</w:t>
            </w:r>
          </w:p>
        </w:tc>
        <w:tc>
          <w:tcPr>
            <w:tcW w:w="961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43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Neobežný majetok</w:t>
            </w:r>
          </w:p>
        </w:tc>
        <w:tc>
          <w:tcPr>
            <w:tcW w:w="1179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 xml:space="preserve">      </w:t>
            </w:r>
            <w:r>
              <w:rPr>
                <w:rFonts w:eastAsia="Times New Roman"/>
                <w:color w:val="000000"/>
                <w:lang w:eastAsia="sk-SK"/>
              </w:rPr>
              <w:t>458331</w:t>
            </w:r>
          </w:p>
        </w:tc>
        <w:tc>
          <w:tcPr>
            <w:tcW w:w="961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43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Dlhodobý hmotný majetok</w:t>
            </w:r>
          </w:p>
        </w:tc>
        <w:tc>
          <w:tcPr>
            <w:tcW w:w="1179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lang w:eastAsia="sk-SK"/>
              </w:rPr>
              <w:t>1</w:t>
            </w:r>
            <w:r>
              <w:rPr>
                <w:rFonts w:eastAsia="Times New Roman"/>
                <w:color w:val="000000"/>
                <w:lang w:eastAsia="sk-SK"/>
              </w:rPr>
              <w:t>44 732</w:t>
            </w:r>
          </w:p>
        </w:tc>
        <w:tc>
          <w:tcPr>
            <w:tcW w:w="961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43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Obežný majetok</w:t>
            </w:r>
          </w:p>
        </w:tc>
        <w:tc>
          <w:tcPr>
            <w:tcW w:w="1179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lang w:eastAsia="sk-SK"/>
              </w:rPr>
              <w:t>2.</w:t>
            </w:r>
            <w:r>
              <w:rPr>
                <w:rFonts w:eastAsia="Times New Roman"/>
                <w:color w:val="000000"/>
                <w:lang w:eastAsia="sk-SK"/>
              </w:rPr>
              <w:t>207132</w:t>
            </w:r>
          </w:p>
        </w:tc>
        <w:tc>
          <w:tcPr>
            <w:tcW w:w="961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43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Krátkodobé pohľadávky</w:t>
            </w:r>
          </w:p>
        </w:tc>
        <w:tc>
          <w:tcPr>
            <w:tcW w:w="1179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1.</w:t>
            </w:r>
            <w:r>
              <w:rPr>
                <w:rFonts w:eastAsia="Times New Roman"/>
                <w:color w:val="000000"/>
                <w:lang w:eastAsia="sk-SK"/>
              </w:rPr>
              <w:t>815696</w:t>
            </w:r>
          </w:p>
        </w:tc>
        <w:tc>
          <w:tcPr>
            <w:tcW w:w="961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43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Pohľadávky z obchodného styku</w:t>
            </w:r>
          </w:p>
        </w:tc>
        <w:tc>
          <w:tcPr>
            <w:tcW w:w="1179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1.</w:t>
            </w:r>
            <w:r>
              <w:rPr>
                <w:rFonts w:eastAsia="Times New Roman"/>
                <w:color w:val="000000"/>
                <w:lang w:eastAsia="sk-SK"/>
              </w:rPr>
              <w:t>815024</w:t>
            </w:r>
          </w:p>
        </w:tc>
        <w:tc>
          <w:tcPr>
            <w:tcW w:w="961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43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1179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961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43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1179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961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43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u w:val="single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u w:val="single"/>
                <w:lang w:eastAsia="sk-SK"/>
              </w:rPr>
              <w:t>STRANA PASÍV</w:t>
            </w:r>
          </w:p>
        </w:tc>
        <w:tc>
          <w:tcPr>
            <w:tcW w:w="1179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961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43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Vlastné imanie</w:t>
            </w:r>
          </w:p>
        </w:tc>
        <w:tc>
          <w:tcPr>
            <w:tcW w:w="1179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618032</w:t>
            </w:r>
          </w:p>
        </w:tc>
        <w:tc>
          <w:tcPr>
            <w:tcW w:w="961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43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179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347.792</w:t>
            </w:r>
          </w:p>
        </w:tc>
        <w:tc>
          <w:tcPr>
            <w:tcW w:w="961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43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Výsledok hospodárenia za účtovné obdobie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/>
            </w:r>
          </w:p>
        </w:tc>
        <w:tc>
          <w:tcPr>
            <w:tcW w:w="1179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 xml:space="preserve">      </w:t>
            </w:r>
            <w:r>
              <w:rPr>
                <w:rFonts w:eastAsia="Times New Roman"/>
                <w:color w:val="000000"/>
                <w:lang w:eastAsia="sk-SK"/>
              </w:rPr>
              <w:t>244 091</w:t>
            </w:r>
            <w:r>
              <w:rPr>
                <w:rFonts w:eastAsia="Times New Roman"/>
                <w:color w:val="000000"/>
                <w:lang w:eastAsia="sk-SK"/>
              </w:rPr>
              <w:t xml:space="preserve">    </w:t>
            </w:r>
          </w:p>
        </w:tc>
        <w:tc>
          <w:tcPr>
            <w:tcW w:w="961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43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Záväzky</w:t>
            </w:r>
          </w:p>
        </w:tc>
        <w:tc>
          <w:tcPr>
            <w:tcW w:w="1179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lang w:eastAsia="sk-SK"/>
              </w:rPr>
              <w:t>1.</w:t>
            </w:r>
            <w:r>
              <w:rPr>
                <w:rFonts w:eastAsia="Times New Roman"/>
                <w:color w:val="000000"/>
                <w:lang w:eastAsia="sk-SK"/>
              </w:rPr>
              <w:t>959 280</w:t>
            </w:r>
          </w:p>
        </w:tc>
        <w:tc>
          <w:tcPr>
            <w:tcW w:w="961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43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Krátkodobé záväzky</w:t>
            </w:r>
          </w:p>
        </w:tc>
        <w:tc>
          <w:tcPr>
            <w:tcW w:w="1179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lang w:eastAsia="sk-SK"/>
              </w:rPr>
              <w:t>1.</w:t>
            </w:r>
            <w:r>
              <w:rPr>
                <w:rFonts w:eastAsia="Times New Roman"/>
                <w:color w:val="000000"/>
                <w:lang w:eastAsia="sk-SK"/>
              </w:rPr>
              <w:t>918 729</w:t>
            </w:r>
          </w:p>
        </w:tc>
        <w:tc>
          <w:tcPr>
            <w:tcW w:w="961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43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Záväzky z obchodného styku</w:t>
            </w:r>
          </w:p>
        </w:tc>
        <w:tc>
          <w:tcPr>
            <w:tcW w:w="1179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lang w:eastAsia="sk-SK"/>
              </w:rPr>
              <w:t>1.5</w:t>
            </w:r>
            <w:r>
              <w:rPr>
                <w:rFonts w:eastAsia="Times New Roman"/>
                <w:color w:val="000000"/>
                <w:lang w:eastAsia="sk-SK"/>
              </w:rPr>
              <w:t>88 166</w:t>
            </w:r>
          </w:p>
        </w:tc>
        <w:tc>
          <w:tcPr>
            <w:tcW w:w="961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</w:tbl>
    <w:p>
      <w:pPr>
        <w:pStyle w:val="Odstavecseseznamem"/>
        <w:spacing w:lineRule="auto" w:line="288"/>
        <w:jc w:val="both"/>
        <w:rPr/>
      </w:pPr>
      <w:r>
        <w:rPr/>
      </w:r>
    </w:p>
    <w:tbl>
      <w:tblPr>
        <w:tblW w:w="5800" w:type="dxa"/>
        <w:jc w:val="left"/>
        <w:tblInd w:w="5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300"/>
        <w:gridCol w:w="1540"/>
        <w:gridCol w:w="960"/>
      </w:tblGrid>
      <w:tr>
        <w:trPr>
          <w:trHeight w:val="300" w:hRule="atLeast"/>
        </w:trPr>
        <w:tc>
          <w:tcPr>
            <w:tcW w:w="330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Cs/>
                <w:color w:val="000000"/>
                <w:u w:val="single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u w:val="single"/>
                <w:lang w:eastAsia="sk-SK"/>
              </w:rPr>
              <w:t>VÝKAZ ZISKOV a STRÁT</w:t>
            </w:r>
          </w:p>
        </w:tc>
        <w:tc>
          <w:tcPr>
            <w:tcW w:w="154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9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330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154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9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330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Výnosy</w:t>
            </w:r>
          </w:p>
        </w:tc>
        <w:tc>
          <w:tcPr>
            <w:tcW w:w="154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8.</w:t>
            </w:r>
            <w:r>
              <w:rPr>
                <w:rFonts w:eastAsia="Times New Roman"/>
                <w:color w:val="000000"/>
                <w:lang w:eastAsia="sk-SK"/>
              </w:rPr>
              <w:t>808 290</w:t>
            </w:r>
          </w:p>
        </w:tc>
        <w:tc>
          <w:tcPr>
            <w:tcW w:w="9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330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Náklady</w:t>
            </w:r>
          </w:p>
        </w:tc>
        <w:tc>
          <w:tcPr>
            <w:tcW w:w="154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8.414 095</w:t>
            </w:r>
          </w:p>
        </w:tc>
        <w:tc>
          <w:tcPr>
            <w:tcW w:w="9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330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Hospodársky výsledok pred daňou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/>
            </w:r>
          </w:p>
        </w:tc>
        <w:tc>
          <w:tcPr>
            <w:tcW w:w="154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308 313</w:t>
            </w:r>
          </w:p>
        </w:tc>
        <w:tc>
          <w:tcPr>
            <w:tcW w:w="9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330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Daň z príjmu</w:t>
            </w:r>
          </w:p>
        </w:tc>
        <w:tc>
          <w:tcPr>
            <w:tcW w:w="154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64 222</w:t>
            </w:r>
          </w:p>
        </w:tc>
        <w:tc>
          <w:tcPr>
            <w:tcW w:w="9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  <w:tr>
        <w:trPr>
          <w:trHeight w:val="300" w:hRule="atLeast"/>
        </w:trPr>
        <w:tc>
          <w:tcPr>
            <w:tcW w:w="330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Hospodársky výsledok po zdanení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/>
            </w:r>
          </w:p>
        </w:tc>
        <w:tc>
          <w:tcPr>
            <w:tcW w:w="154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 xml:space="preserve">            </w:t>
            </w:r>
            <w:r>
              <w:rPr>
                <w:rFonts w:eastAsia="Times New Roman"/>
                <w:color w:val="000000"/>
                <w:lang w:eastAsia="sk-SK"/>
              </w:rPr>
              <w:t>244 091</w:t>
            </w:r>
          </w:p>
        </w:tc>
        <w:tc>
          <w:tcPr>
            <w:tcW w:w="960" w:type="dxa"/>
            <w:tcBorders/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</w:tr>
    </w:tbl>
    <w:p>
      <w:pPr>
        <w:pStyle w:val="ListParagraph"/>
        <w:ind w:left="284"/>
        <w:rPr>
          <w:rFonts w:ascii="Arial" w:hAnsi="Arial" w:cs="Arial"/>
          <w:b/>
          <w:color w:themeColor="accent1" w:val="4F81BD"/>
        </w:rPr>
      </w:pPr>
      <w:r>
        <w:rPr>
          <w:rFonts w:cs="Arial" w:ascii="Arial" w:hAnsi="Arial"/>
          <w:b/>
          <w:color w:themeColor="accent1" w:val="4F81BD"/>
        </w:rPr>
      </w:r>
    </w:p>
    <w:p>
      <w:pPr>
        <w:pStyle w:val="Normal"/>
        <w:rPr>
          <w:rFonts w:ascii="Arial" w:hAnsi="Arial" w:cs="Arial"/>
          <w:b/>
          <w:color w:themeColor="accent1" w:val="4F81BD"/>
        </w:rPr>
      </w:pPr>
      <w:r>
        <w:rPr>
          <w:rFonts w:cs="Arial" w:ascii="Arial" w:hAnsi="Arial"/>
          <w:b/>
          <w:color w:themeColor="accent1" w:val="4F81BD"/>
        </w:rPr>
        <w:t xml:space="preserve">   </w:t>
      </w:r>
    </w:p>
    <w:p>
      <w:pPr>
        <w:pStyle w:val="ListParagraph"/>
        <w:numPr>
          <w:ilvl w:val="0"/>
          <w:numId w:val="2"/>
        </w:numPr>
        <w:ind w:hanging="360" w:left="567"/>
        <w:rPr>
          <w:rFonts w:ascii="Arial" w:hAnsi="Arial" w:cs="Arial"/>
          <w:b/>
          <w:color w:themeColor="accent1" w:val="4F81BD"/>
        </w:rPr>
      </w:pPr>
      <w:r>
        <w:rPr>
          <w:rFonts w:cs="Arial" w:ascii="Arial" w:hAnsi="Arial"/>
          <w:b/>
          <w:color w:themeColor="accent1" w:val="4F81BD"/>
        </w:rPr>
        <w:t xml:space="preserve">  </w:t>
      </w:r>
      <w:r>
        <w:rPr>
          <w:rFonts w:cs="Arial" w:ascii="Arial" w:hAnsi="Arial"/>
          <w:b/>
          <w:color w:themeColor="accent1" w:val="4F81BD"/>
        </w:rPr>
        <w:t xml:space="preserve">Návrh na rozdelenie zisku </w:t>
      </w:r>
    </w:p>
    <w:p>
      <w:pPr>
        <w:pStyle w:val="Normal"/>
        <w:spacing w:lineRule="auto" w:line="240" w:before="0" w:after="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    </w:t>
      </w:r>
      <w:r>
        <w:rPr>
          <w:rFonts w:cs="Arial" w:ascii="Arial" w:hAnsi="Arial"/>
        </w:rPr>
        <w:t>Konatelia predkladajú valnému zhromaždeniu návrh na rozdelenie zisku za rok 202</w:t>
      </w:r>
      <w:r>
        <w:rPr>
          <w:rFonts w:cs="Arial" w:ascii="Arial" w:hAnsi="Arial"/>
        </w:rPr>
        <w:t>3</w:t>
      </w:r>
      <w:r>
        <w:rPr>
          <w:rFonts w:cs="Arial" w:ascii="Arial" w:hAnsi="Arial"/>
        </w:rPr>
        <w:t xml:space="preserve">       </w:t>
      </w:r>
    </w:p>
    <w:p>
      <w:pPr>
        <w:pStyle w:val="Normal"/>
        <w:spacing w:lineRule="auto" w:line="240" w:before="0" w:after="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    </w:t>
      </w:r>
      <w:r>
        <w:rPr>
          <w:rFonts w:cs="Arial" w:ascii="Arial" w:hAnsi="Arial"/>
        </w:rPr>
        <w:t>nasledovne:</w:t>
      </w:r>
    </w:p>
    <w:p>
      <w:pPr>
        <w:pStyle w:val="Normal"/>
        <w:spacing w:lineRule="auto" w:line="240" w:before="0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ListParagraph"/>
        <w:numPr>
          <w:ilvl w:val="0"/>
          <w:numId w:val="1"/>
        </w:numPr>
        <w:ind w:hanging="0" w:left="284"/>
        <w:rPr>
          <w:rFonts w:ascii="Arial" w:hAnsi="Arial" w:cs="Arial"/>
        </w:rPr>
      </w:pPr>
      <w:r>
        <w:rPr>
          <w:rFonts w:cs="Arial" w:ascii="Arial" w:hAnsi="Arial"/>
        </w:rPr>
        <w:t xml:space="preserve">5% - tvorba zákonného rezervného fondu 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hanging="142" w:left="426"/>
        <w:contextualSpacing/>
        <w:rPr>
          <w:rStyle w:val="Truncate1"/>
          <w:rFonts w:ascii="Arial" w:hAnsi="Arial" w:cs="Arial"/>
        </w:rPr>
      </w:pPr>
      <w:r>
        <w:rPr>
          <w:rFonts w:cs="Arial" w:ascii="Arial" w:hAnsi="Arial"/>
        </w:rPr>
        <w:t xml:space="preserve">47,5% - </w:t>
      </w:r>
      <w:r>
        <w:rPr>
          <w:rStyle w:val="Truncate1"/>
          <w:rFonts w:cs="Arial" w:ascii="Arial" w:hAnsi="Arial"/>
        </w:rPr>
        <w:t>Bc. Miroslav Ižák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hanging="0" w:left="284"/>
        <w:contextualSpacing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</w:rPr>
        <w:t xml:space="preserve">47,5% - </w:t>
      </w:r>
      <w:r>
        <w:rPr>
          <w:rStyle w:val="Truncate1"/>
          <w:rFonts w:cs="Arial" w:ascii="Arial" w:hAnsi="Arial"/>
        </w:rPr>
        <w:t>Michal Krchňavý</w:t>
      </w:r>
      <w:r>
        <w:rPr>
          <w:rFonts w:cs="Arial" w:ascii="Arial" w:hAnsi="Arial"/>
        </w:rPr>
        <w:t xml:space="preserve"> </w:t>
      </w:r>
    </w:p>
    <w:p>
      <w:pPr>
        <w:pStyle w:val="Normal"/>
        <w:spacing w:lineRule="auto" w:line="240" w:before="0" w:after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spacing w:lineRule="auto" w:line="240" w:before="0" w:after="0"/>
        <w:ind w:hanging="284" w:left="284"/>
        <w:jc w:val="both"/>
        <w:rPr>
          <w:rFonts w:ascii="Arial" w:hAnsi="Arial" w:eastAsia="Times New Roman" w:cs="Arial"/>
          <w:bCs/>
          <w:lang w:eastAsia="sk-SK"/>
        </w:rPr>
      </w:pPr>
      <w:r>
        <w:rPr>
          <w:rFonts w:eastAsia="Times New Roman" w:cs="Arial CE" w:ascii="Arial CE" w:hAnsi="Arial CE"/>
          <w:bCs/>
          <w:lang w:eastAsia="sk-SK"/>
        </w:rPr>
        <w:t xml:space="preserve">     </w:t>
      </w:r>
      <w:r>
        <w:rPr>
          <w:rFonts w:eastAsia="Times New Roman" w:cs="Arial" w:ascii="Arial" w:hAnsi="Arial"/>
          <w:bCs/>
          <w:lang w:eastAsia="sk-SK"/>
        </w:rPr>
        <w:t>Spoločnosť v hospodárskom roku 2022 dosiahla plánované výsledky v oblasti tržieb,      nákladov aj dosiahnutého zisku. Spoločnosť zabezpečila všetky požiadavky zákazníkov       v dohodnutom termíne, v požadovanej kvalite a dohodnutých cenách.</w:t>
      </w:r>
    </w:p>
    <w:p>
      <w:pPr>
        <w:pStyle w:val="Normal"/>
        <w:spacing w:lineRule="auto" w:line="240" w:before="0" w:after="0"/>
        <w:jc w:val="both"/>
        <w:rPr>
          <w:rFonts w:ascii="Arial" w:hAnsi="Arial" w:eastAsia="Times New Roman" w:cs="Arial"/>
          <w:bCs/>
          <w:lang w:eastAsia="sk-SK"/>
        </w:rPr>
      </w:pPr>
      <w:r>
        <w:rPr>
          <w:rFonts w:eastAsia="Times New Roman" w:cs="Arial" w:ascii="Arial" w:hAnsi="Arial"/>
          <w:bCs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ascii="Arial" w:hAnsi="Arial" w:eastAsia="Times New Roman" w:cs="Arial"/>
          <w:bCs/>
          <w:lang w:eastAsia="sk-SK"/>
        </w:rPr>
      </w:pPr>
      <w:r>
        <w:rPr>
          <w:rFonts w:eastAsia="Times New Roman" w:cs="Arial" w:ascii="Arial" w:hAnsi="Arial"/>
          <w:bCs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ascii="Arial" w:hAnsi="Arial" w:eastAsia="Times New Roman" w:cs="Arial"/>
          <w:bCs/>
          <w:lang w:eastAsia="sk-SK"/>
        </w:rPr>
      </w:pPr>
      <w:r>
        <w:rPr>
          <w:rFonts w:eastAsia="Times New Roman" w:cs="Arial" w:ascii="Arial" w:hAnsi="Arial"/>
          <w:bCs/>
          <w:lang w:eastAsia="sk-SK"/>
        </w:rPr>
        <w:t xml:space="preserve">     </w:t>
      </w:r>
      <w:r>
        <w:rPr>
          <w:rFonts w:eastAsia="Times New Roman" w:cs="Arial" w:ascii="Arial" w:hAnsi="Arial"/>
          <w:bCs/>
          <w:lang w:eastAsia="sk-SK"/>
        </w:rPr>
        <w:t xml:space="preserve">Ochrana životného prostredia má zásadný význam pre kvalitu života súčasnej a budúcich  </w:t>
      </w:r>
    </w:p>
    <w:p>
      <w:pPr>
        <w:pStyle w:val="Normal"/>
        <w:spacing w:lineRule="auto" w:line="240" w:before="0" w:after="0"/>
        <w:jc w:val="both"/>
        <w:rPr>
          <w:rFonts w:ascii="Arial" w:hAnsi="Arial" w:eastAsia="Times New Roman" w:cs="Arial"/>
          <w:bCs/>
          <w:lang w:eastAsia="sk-SK"/>
        </w:rPr>
      </w:pPr>
      <w:r>
        <w:rPr>
          <w:rFonts w:eastAsia="Times New Roman" w:cs="Arial" w:ascii="Arial" w:hAnsi="Arial"/>
          <w:bCs/>
          <w:lang w:eastAsia="sk-SK"/>
        </w:rPr>
        <w:t xml:space="preserve">     </w:t>
      </w:r>
      <w:r>
        <w:rPr>
          <w:rFonts w:eastAsia="Times New Roman" w:cs="Arial" w:ascii="Arial" w:hAnsi="Arial"/>
          <w:bCs/>
          <w:lang w:eastAsia="sk-SK"/>
        </w:rPr>
        <w:t xml:space="preserve">generácií. Preto sa spoločnosť a jej zamestnanci snažia dobrovoľne realizovať požiadavky  </w:t>
      </w:r>
    </w:p>
    <w:p>
      <w:pPr>
        <w:pStyle w:val="Normal"/>
        <w:spacing w:lineRule="auto" w:line="240" w:before="0" w:after="0"/>
        <w:jc w:val="both"/>
        <w:rPr>
          <w:rFonts w:ascii="Arial" w:hAnsi="Arial" w:eastAsia="Times New Roman" w:cs="Arial"/>
          <w:bCs/>
          <w:lang w:eastAsia="sk-SK"/>
        </w:rPr>
      </w:pPr>
      <w:r>
        <w:rPr>
          <w:rFonts w:eastAsia="Times New Roman" w:cs="Arial" w:ascii="Arial" w:hAnsi="Arial"/>
          <w:bCs/>
          <w:lang w:eastAsia="sk-SK"/>
        </w:rPr>
        <w:t xml:space="preserve">     </w:t>
      </w:r>
      <w:r>
        <w:rPr>
          <w:rFonts w:eastAsia="Times New Roman" w:cs="Arial" w:ascii="Arial" w:hAnsi="Arial"/>
          <w:bCs/>
          <w:lang w:eastAsia="sk-SK"/>
        </w:rPr>
        <w:t>dnešnej doby na ochranu životného prostredia.</w:t>
      </w:r>
    </w:p>
    <w:p>
      <w:pPr>
        <w:pStyle w:val="Normal"/>
        <w:spacing w:lineRule="auto" w:line="240" w:before="0" w:after="0"/>
        <w:jc w:val="both"/>
        <w:rPr>
          <w:rFonts w:ascii="Arial" w:hAnsi="Arial" w:eastAsia="Times New Roman" w:cs="Arial"/>
          <w:bCs/>
          <w:lang w:eastAsia="sk-SK"/>
        </w:rPr>
      </w:pPr>
      <w:r>
        <w:rPr>
          <w:rFonts w:eastAsia="Times New Roman" w:cs="Arial" w:ascii="Arial" w:hAnsi="Arial"/>
          <w:bCs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ascii="Arial" w:hAnsi="Arial" w:eastAsia="Times New Roman" w:cs="Arial"/>
          <w:bCs/>
          <w:lang w:eastAsia="sk-SK"/>
        </w:rPr>
      </w:pPr>
      <w:r>
        <w:rPr>
          <w:rFonts w:eastAsia="Times New Roman" w:cs="Arial" w:ascii="Arial" w:hAnsi="Arial"/>
          <w:bCs/>
          <w:lang w:eastAsia="sk-SK"/>
        </w:rPr>
        <w:t xml:space="preserve">     </w:t>
      </w:r>
      <w:r>
        <w:rPr>
          <w:rFonts w:eastAsia="Times New Roman" w:cs="Arial" w:ascii="Arial" w:hAnsi="Arial"/>
          <w:bCs/>
          <w:lang w:eastAsia="sk-SK"/>
        </w:rPr>
        <w:t>Spoločnosť v hospodárskom roku 2022 nerealizovala výdaje na výskum a vývoj.</w:t>
      </w:r>
    </w:p>
    <w:p>
      <w:pPr>
        <w:pStyle w:val="Normal"/>
        <w:spacing w:lineRule="auto" w:line="240" w:before="0" w:after="0"/>
        <w:jc w:val="both"/>
        <w:rPr>
          <w:rFonts w:ascii="Arial" w:hAnsi="Arial" w:eastAsia="Times New Roman" w:cs="Arial"/>
          <w:bCs/>
          <w:lang w:eastAsia="sk-SK"/>
        </w:rPr>
      </w:pPr>
      <w:r>
        <w:rPr>
          <w:rFonts w:eastAsia="Times New Roman" w:cs="Arial" w:ascii="Arial" w:hAnsi="Arial"/>
          <w:bCs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ascii="Arial" w:hAnsi="Arial" w:eastAsia="Times New Roman" w:cs="Arial"/>
          <w:bCs/>
          <w:lang w:eastAsia="sk-SK"/>
        </w:rPr>
      </w:pPr>
      <w:r>
        <w:rPr>
          <w:rFonts w:eastAsia="Times New Roman" w:cs="Arial" w:ascii="Arial" w:hAnsi="Arial"/>
          <w:bCs/>
          <w:lang w:eastAsia="sk-SK"/>
        </w:rPr>
      </w:r>
    </w:p>
    <w:p>
      <w:pPr>
        <w:pStyle w:val="Normal"/>
        <w:ind w:left="284"/>
        <w:rPr>
          <w:rFonts w:ascii="Arial" w:hAnsi="Arial" w:cs="Arial"/>
          <w:b/>
          <w:color w:themeColor="accent1" w:val="4F81BD"/>
        </w:rPr>
      </w:pPr>
      <w:r>
        <w:rPr>
          <w:rFonts w:cs="Arial" w:ascii="Arial" w:hAnsi="Arial"/>
          <w:b/>
          <w:color w:themeColor="accent1" w:val="4F81BD"/>
        </w:rPr>
        <w:t>3.     Strategické zámery spoločnosti na rok 202</w:t>
      </w:r>
      <w:r>
        <w:rPr>
          <w:rFonts w:cs="Arial" w:ascii="Arial" w:hAnsi="Arial"/>
          <w:b/>
          <w:color w:themeColor="accent1" w:val="4F81BD"/>
        </w:rPr>
        <w:t>4</w:t>
      </w:r>
    </w:p>
    <w:p>
      <w:pPr>
        <w:pStyle w:val="Normal"/>
        <w:spacing w:lineRule="auto" w:line="240" w:before="0" w:after="0"/>
        <w:jc w:val="both"/>
        <w:rPr>
          <w:rFonts w:ascii="Arial" w:hAnsi="Arial" w:eastAsia="Times New Roman" w:cs="Arial"/>
          <w:bCs/>
          <w:color w:themeColor="text1" w:val="000000"/>
          <w:lang w:eastAsia="sk-SK"/>
        </w:rPr>
      </w:pPr>
      <w:r>
        <w:rPr>
          <w:rFonts w:eastAsia="Times New Roman" w:cs="Arial" w:ascii="Arial" w:hAnsi="Arial"/>
          <w:bCs/>
          <w:color w:themeColor="text1" w:val="000000"/>
          <w:lang w:eastAsia="sk-SK"/>
        </w:rPr>
        <w:t xml:space="preserve">     </w:t>
      </w:r>
      <w:r>
        <w:rPr>
          <w:rFonts w:eastAsia="Times New Roman" w:cs="Arial" w:ascii="Arial" w:hAnsi="Arial"/>
          <w:bCs/>
          <w:color w:themeColor="text1" w:val="000000"/>
          <w:lang w:eastAsia="sk-SK"/>
        </w:rPr>
        <w:t xml:space="preserve">V nasledujúcich obdobiach bude spoločnosť pokračovať v činnosti a v aktivitách vo svojom </w:t>
      </w:r>
    </w:p>
    <w:p>
      <w:pPr>
        <w:pStyle w:val="Normal"/>
        <w:spacing w:lineRule="auto" w:line="240" w:before="0" w:after="0"/>
        <w:jc w:val="both"/>
        <w:rPr>
          <w:rFonts w:ascii="Arial" w:hAnsi="Arial" w:eastAsia="Times New Roman" w:cs="Arial"/>
          <w:lang w:eastAsia="sk-SK"/>
        </w:rPr>
      </w:pPr>
      <w:r>
        <w:rPr>
          <w:rFonts w:eastAsia="Times New Roman" w:cs="Arial" w:ascii="Arial" w:hAnsi="Arial"/>
          <w:bCs/>
          <w:color w:themeColor="text1" w:val="000000"/>
          <w:lang w:eastAsia="sk-SK"/>
        </w:rPr>
        <w:t xml:space="preserve">     </w:t>
      </w:r>
      <w:r>
        <w:rPr>
          <w:rFonts w:eastAsia="Times New Roman" w:cs="Arial" w:ascii="Arial" w:hAnsi="Arial"/>
          <w:bCs/>
          <w:color w:themeColor="text1" w:val="000000"/>
          <w:lang w:eastAsia="sk-SK"/>
        </w:rPr>
        <w:t>odbore a základným cieľom bude udržať si dosiahnuté postavenie na trhu v </w:t>
      </w:r>
      <w:r>
        <w:rPr>
          <w:rFonts w:eastAsia="Times New Roman" w:cs="Arial" w:ascii="Arial" w:hAnsi="Arial"/>
          <w:lang w:eastAsia="sk-SK"/>
        </w:rPr>
        <w:t xml:space="preserve">zasielateľstva v    </w:t>
      </w:r>
    </w:p>
    <w:p>
      <w:pPr>
        <w:pStyle w:val="Normal"/>
        <w:spacing w:lineRule="auto" w:line="240" w:before="0" w:after="0"/>
        <w:jc w:val="both"/>
        <w:rPr>
          <w:rFonts w:ascii="Arial" w:hAnsi="Arial" w:eastAsia="Times New Roman" w:cs="Arial"/>
          <w:lang w:eastAsia="sk-SK"/>
        </w:rPr>
      </w:pPr>
      <w:r>
        <w:rPr>
          <w:rFonts w:eastAsia="Times New Roman" w:cs="Arial" w:ascii="Arial" w:hAnsi="Arial"/>
          <w:lang w:eastAsia="sk-SK"/>
        </w:rPr>
        <w:t xml:space="preserve">     </w:t>
      </w:r>
      <w:r>
        <w:rPr>
          <w:rFonts w:eastAsia="Times New Roman" w:cs="Arial" w:ascii="Arial" w:hAnsi="Arial"/>
          <w:lang w:eastAsia="sk-SK"/>
        </w:rPr>
        <w:t>medzinárodnej a vnútroštátnej preprave.</w:t>
      </w:r>
    </w:p>
    <w:p>
      <w:pPr>
        <w:pStyle w:val="Normal"/>
        <w:spacing w:lineRule="auto" w:line="240" w:before="0" w:after="0"/>
        <w:jc w:val="both"/>
        <w:rPr>
          <w:rFonts w:ascii="Arial" w:hAnsi="Arial" w:eastAsia="Times New Roman" w:cs="Arial"/>
          <w:lang w:eastAsia="sk-SK"/>
        </w:rPr>
      </w:pPr>
      <w:r>
        <w:rPr>
          <w:rFonts w:eastAsia="Times New Roman" w:cs="Arial" w:ascii="Arial" w:hAnsi="Arial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ascii="Arial" w:hAnsi="Arial" w:eastAsia="Times New Roman" w:cs="Arial"/>
          <w:lang w:eastAsia="sk-SK"/>
        </w:rPr>
      </w:pPr>
      <w:r>
        <w:rPr>
          <w:rFonts w:eastAsia="Times New Roman" w:cs="Arial" w:ascii="Arial" w:hAnsi="Arial"/>
          <w:lang w:eastAsia="sk-SK"/>
        </w:rPr>
        <w:t xml:space="preserve">     </w:t>
      </w:r>
      <w:r>
        <w:rPr>
          <w:rFonts w:eastAsia="Times New Roman" w:cs="Arial" w:ascii="Arial" w:hAnsi="Arial"/>
          <w:lang w:eastAsia="sk-SK"/>
        </w:rPr>
        <w:t>Zásady a predpoklady, z ktorých bude spoločnosť vychádzať:</w:t>
      </w:r>
    </w:p>
    <w:p>
      <w:pPr>
        <w:pStyle w:val="Normal"/>
        <w:spacing w:lineRule="auto" w:line="240" w:before="0" w:after="0"/>
        <w:jc w:val="both"/>
        <w:rPr>
          <w:rFonts w:ascii="Arial" w:hAnsi="Arial" w:eastAsia="Times New Roman" w:cs="Arial"/>
          <w:lang w:eastAsia="sk-SK"/>
        </w:rPr>
      </w:pPr>
      <w:r>
        <w:rPr>
          <w:rFonts w:eastAsia="Times New Roman" w:cs="Arial" w:ascii="Arial" w:hAnsi="Arial"/>
          <w:lang w:eastAsia="sk-SK"/>
        </w:rPr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ascii="Arial" w:hAnsi="Arial" w:eastAsia="Times New Roman" w:cs="Arial"/>
          <w:lang w:eastAsia="sk-SK"/>
        </w:rPr>
      </w:pPr>
      <w:r>
        <w:rPr>
          <w:rFonts w:eastAsia="Times New Roman" w:cs="Arial" w:ascii="Arial" w:hAnsi="Arial"/>
          <w:lang w:eastAsia="sk-SK"/>
        </w:rPr>
        <w:t>udržanie doterajších partnerov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ascii="Arial" w:hAnsi="Arial" w:eastAsia="Times New Roman" w:cs="Arial"/>
          <w:lang w:eastAsia="sk-SK"/>
        </w:rPr>
      </w:pPr>
      <w:r>
        <w:rPr>
          <w:rFonts w:eastAsia="Times New Roman" w:cs="Arial" w:ascii="Arial" w:hAnsi="Arial"/>
          <w:lang w:eastAsia="sk-SK"/>
        </w:rPr>
        <w:t>zvýšenie zisku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ascii="Arial" w:hAnsi="Arial" w:eastAsia="Times New Roman" w:cs="Arial"/>
          <w:lang w:eastAsia="sk-SK"/>
        </w:rPr>
      </w:pPr>
      <w:r>
        <w:rPr>
          <w:rFonts w:eastAsia="Times New Roman" w:cs="Arial" w:ascii="Arial" w:hAnsi="Arial"/>
          <w:lang w:eastAsia="sk-SK"/>
        </w:rPr>
        <w:t>zapojenie do výberových konaní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ascii="Arial" w:hAnsi="Arial" w:eastAsia="Times New Roman" w:cs="Arial"/>
          <w:lang w:eastAsia="sk-SK"/>
        </w:rPr>
      </w:pPr>
      <w:r>
        <w:rPr>
          <w:rFonts w:eastAsia="Times New Roman" w:cs="Arial" w:ascii="Arial" w:hAnsi="Arial"/>
          <w:lang w:eastAsia="sk-SK"/>
        </w:rPr>
        <w:t>vplyv konkurenčného prostredia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ascii="Arial" w:hAnsi="Arial" w:eastAsia="Times New Roman" w:cs="Arial"/>
          <w:lang w:eastAsia="sk-SK"/>
        </w:rPr>
      </w:pPr>
      <w:r>
        <w:rPr>
          <w:rFonts w:eastAsia="Times New Roman" w:cs="Arial" w:ascii="Arial" w:hAnsi="Arial"/>
          <w:lang w:eastAsia="sk-SK"/>
        </w:rPr>
        <w:t>zvýšenie vplyvu na dopravnom trhu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ascii="Arial" w:hAnsi="Arial" w:eastAsia="Times New Roman" w:cs="Arial"/>
          <w:lang w:eastAsia="sk-SK"/>
        </w:rPr>
      </w:pPr>
      <w:r>
        <w:rPr>
          <w:rFonts w:eastAsia="Times New Roman" w:cs="Arial" w:ascii="Arial" w:hAnsi="Arial"/>
          <w:lang w:eastAsia="sk-SK"/>
        </w:rPr>
        <w:t>zabezpečenie finančnej stability.</w:t>
      </w:r>
    </w:p>
    <w:p>
      <w:pPr>
        <w:pStyle w:val="Normal"/>
        <w:spacing w:lineRule="auto" w:line="240" w:before="0" w:after="0"/>
        <w:jc w:val="both"/>
        <w:rPr>
          <w:rFonts w:ascii="Arial" w:hAnsi="Arial" w:eastAsia="Times New Roman" w:cs="Arial"/>
          <w:bCs/>
          <w:color w:themeColor="text1" w:val="000000"/>
          <w:lang w:eastAsia="sk-SK"/>
        </w:rPr>
      </w:pPr>
      <w:r>
        <w:rPr>
          <w:rFonts w:eastAsia="Times New Roman" w:cs="Arial" w:ascii="Arial" w:hAnsi="Arial"/>
          <w:lang w:eastAsia="sk-SK"/>
        </w:rPr>
        <w:br/>
      </w:r>
    </w:p>
    <w:p>
      <w:pPr>
        <w:pStyle w:val="Normal"/>
        <w:spacing w:lineRule="auto" w:line="240" w:before="0" w:after="0"/>
        <w:ind w:left="284"/>
        <w:rPr>
          <w:rFonts w:ascii="Arial" w:hAnsi="Arial" w:cs="Arial"/>
          <w:b/>
          <w:color w:themeColor="accent1" w:val="4F81BD"/>
        </w:rPr>
      </w:pPr>
      <w:r>
        <w:rPr>
          <w:rFonts w:cs="Arial" w:ascii="Arial" w:hAnsi="Arial"/>
          <w:b/>
          <w:color w:themeColor="accent1" w:val="4F81BD"/>
        </w:rPr>
        <w:t xml:space="preserve">4.      Udalosti osobitného významu, ktoré nastali po skončení účtovného obdobia, za </w:t>
      </w:r>
    </w:p>
    <w:p>
      <w:pPr>
        <w:pStyle w:val="Normal"/>
        <w:spacing w:lineRule="auto" w:line="240" w:before="0" w:after="0"/>
        <w:ind w:left="284"/>
        <w:rPr>
          <w:rFonts w:ascii="Arial" w:hAnsi="Arial" w:cs="Arial"/>
          <w:b/>
          <w:color w:themeColor="accent1" w:val="4F81BD"/>
        </w:rPr>
      </w:pPr>
      <w:r>
        <w:rPr>
          <w:rFonts w:cs="Arial" w:ascii="Arial" w:hAnsi="Arial"/>
          <w:b/>
          <w:color w:themeColor="accent1" w:val="4F81BD"/>
        </w:rPr>
        <w:t xml:space="preserve">         </w:t>
      </w:r>
      <w:r>
        <w:rPr>
          <w:rFonts w:cs="Arial" w:ascii="Arial" w:hAnsi="Arial"/>
          <w:b/>
          <w:color w:themeColor="accent1" w:val="4F81BD"/>
        </w:rPr>
        <w:t xml:space="preserve">ktoré sa vyhotovuje výročná správa </w:t>
      </w:r>
    </w:p>
    <w:p>
      <w:pPr>
        <w:pStyle w:val="Normal"/>
        <w:spacing w:lineRule="auto" w:line="240" w:before="0" w:after="0"/>
        <w:ind w:left="284"/>
        <w:rPr>
          <w:rFonts w:ascii="Arial" w:hAnsi="Arial" w:cs="Arial"/>
          <w:b/>
          <w:color w:themeColor="accent1" w:val="4F81BD"/>
        </w:rPr>
      </w:pPr>
      <w:r>
        <w:rPr>
          <w:rFonts w:cs="Arial" w:ascii="Arial" w:hAnsi="Arial"/>
          <w:b/>
          <w:color w:themeColor="accent1" w:val="4F81BD"/>
        </w:rPr>
      </w:r>
    </w:p>
    <w:p>
      <w:pPr>
        <w:pStyle w:val="Normal"/>
        <w:spacing w:lineRule="auto" w:line="240" w:before="0" w:after="0"/>
        <w:ind w:left="284"/>
        <w:rPr>
          <w:rFonts w:ascii="Arial" w:hAnsi="Arial" w:cs="Arial"/>
          <w:b/>
          <w:color w:themeColor="accent1" w:val="4F81BD"/>
        </w:rPr>
      </w:pPr>
      <w:r>
        <w:rPr>
          <w:rFonts w:cs="Arial" w:ascii="Arial" w:hAnsi="Arial"/>
          <w:b/>
          <w:color w:themeColor="accent1" w:val="4F81BD"/>
        </w:rPr>
        <w:t xml:space="preserve"> </w:t>
      </w:r>
    </w:p>
    <w:p>
      <w:pPr>
        <w:pStyle w:val="Normal"/>
        <w:spacing w:lineRule="auto" w:line="240" w:before="0" w:after="0"/>
        <w:ind w:left="284"/>
        <w:rPr>
          <w:rFonts w:ascii="Arial" w:hAnsi="Arial" w:cs="Arial"/>
          <w:color w:themeColor="text1" w:val="000000"/>
        </w:rPr>
      </w:pPr>
      <w:r>
        <w:rPr>
          <w:rFonts w:cs="Arial" w:ascii="Arial" w:hAnsi="Arial"/>
          <w:color w:themeColor="text1" w:val="000000"/>
        </w:rPr>
        <w:t xml:space="preserve"> </w:t>
      </w:r>
      <w:r>
        <w:rPr>
          <w:rFonts w:cs="Arial" w:ascii="Arial" w:hAnsi="Arial"/>
          <w:color w:themeColor="text1" w:val="000000"/>
        </w:rPr>
        <w:t xml:space="preserve">Po skončení účtovného obdobia, za ktoré sa vyhotovuje výročná správa nenastali   </w:t>
      </w:r>
    </w:p>
    <w:p>
      <w:pPr>
        <w:pStyle w:val="Normal"/>
        <w:spacing w:lineRule="auto" w:line="240" w:before="0" w:after="0"/>
        <w:ind w:left="284"/>
        <w:rPr>
          <w:rFonts w:ascii="Arial" w:hAnsi="Arial" w:cs="Arial"/>
          <w:color w:themeColor="text1" w:val="000000"/>
        </w:rPr>
      </w:pPr>
      <w:r>
        <w:rPr>
          <w:rFonts w:cs="Arial" w:ascii="Arial" w:hAnsi="Arial"/>
          <w:color w:themeColor="text1" w:val="000000"/>
        </w:rPr>
        <w:t xml:space="preserve"> </w:t>
      </w:r>
      <w:r>
        <w:rPr>
          <w:rFonts w:cs="Arial" w:ascii="Arial" w:hAnsi="Arial"/>
          <w:color w:themeColor="text1" w:val="000000"/>
        </w:rPr>
        <w:t>v spoločnosti udalosti osobitného významu.</w:t>
      </w:r>
    </w:p>
    <w:p>
      <w:pPr>
        <w:pStyle w:val="Normal"/>
        <w:spacing w:lineRule="auto" w:line="240" w:before="0" w:after="0"/>
        <w:ind w:left="284"/>
        <w:rPr>
          <w:rFonts w:ascii="Arial" w:hAnsi="Arial" w:cs="Arial"/>
          <w:color w:themeColor="text1" w:val="000000"/>
        </w:rPr>
      </w:pPr>
      <w:r>
        <w:rPr>
          <w:rFonts w:cs="Arial" w:ascii="Arial" w:hAnsi="Arial"/>
          <w:color w:themeColor="text1" w:val="000000"/>
        </w:rPr>
      </w:r>
    </w:p>
    <w:p>
      <w:pPr>
        <w:pStyle w:val="Normal"/>
        <w:spacing w:lineRule="auto" w:line="240" w:before="0" w:after="0"/>
        <w:ind w:left="284"/>
        <w:rPr>
          <w:rFonts w:ascii="Arial" w:hAnsi="Arial" w:cs="Arial"/>
          <w:color w:themeColor="text1" w:val="000000"/>
        </w:rPr>
      </w:pPr>
      <w:r>
        <w:rPr>
          <w:rFonts w:cs="Arial" w:ascii="Arial" w:hAnsi="Arial"/>
          <w:color w:themeColor="text1" w:val="000000"/>
        </w:rPr>
      </w:r>
    </w:p>
    <w:p>
      <w:pPr>
        <w:pStyle w:val="Normal"/>
        <w:spacing w:lineRule="auto" w:line="240" w:before="0" w:after="0"/>
        <w:ind w:left="284"/>
        <w:rPr>
          <w:rFonts w:ascii="Arial" w:hAnsi="Arial" w:cs="Arial"/>
          <w:color w:themeColor="text1" w:val="000000"/>
        </w:rPr>
      </w:pPr>
      <w:r>
        <w:rPr>
          <w:rFonts w:cs="Arial" w:ascii="Arial" w:hAnsi="Arial"/>
          <w:color w:themeColor="text1" w:val="000000"/>
        </w:rPr>
      </w:r>
    </w:p>
    <w:p>
      <w:pPr>
        <w:pStyle w:val="Normal"/>
        <w:spacing w:lineRule="auto" w:line="240" w:before="0" w:after="0"/>
        <w:ind w:left="284"/>
        <w:rPr>
          <w:rFonts w:ascii="Arial" w:hAnsi="Arial" w:cs="Arial"/>
          <w:color w:themeColor="text1" w:val="000000"/>
        </w:rPr>
      </w:pPr>
      <w:r>
        <w:rPr>
          <w:rFonts w:cs="Arial" w:ascii="Arial" w:hAnsi="Arial"/>
          <w:color w:themeColor="text1" w:val="000000"/>
        </w:rPr>
      </w:r>
    </w:p>
    <w:p>
      <w:pPr>
        <w:pStyle w:val="Normal"/>
        <w:spacing w:lineRule="auto" w:line="240" w:before="0" w:after="0"/>
        <w:ind w:left="284"/>
        <w:rPr>
          <w:rFonts w:ascii="Arial" w:hAnsi="Arial" w:cs="Arial"/>
          <w:color w:themeColor="text1" w:val="000000"/>
        </w:rPr>
      </w:pPr>
      <w:r>
        <w:rPr>
          <w:rFonts w:cs="Arial" w:ascii="Arial" w:hAnsi="Arial"/>
          <w:color w:themeColor="text1" w:val="000000"/>
        </w:rPr>
        <w:t xml:space="preserve"> </w:t>
      </w:r>
      <w:r>
        <w:rPr>
          <w:rFonts w:cs="Arial" w:ascii="Arial" w:hAnsi="Arial"/>
          <w:color w:themeColor="text1" w:val="000000"/>
        </w:rPr>
        <w:t>V Leviciach,2</w:t>
      </w:r>
      <w:r>
        <w:rPr>
          <w:rFonts w:cs="Arial" w:ascii="Arial" w:hAnsi="Arial"/>
          <w:color w:themeColor="text1" w:val="000000"/>
        </w:rPr>
        <w:t>9.02.2024</w:t>
      </w:r>
      <w:r>
        <w:rPr>
          <w:rFonts w:cs="Arial" w:ascii="Arial" w:hAnsi="Arial"/>
          <w:color w:themeColor="text1" w:val="000000"/>
        </w:rPr>
        <w:t xml:space="preserve"> </w:t>
      </w:r>
    </w:p>
    <w:p>
      <w:pPr>
        <w:pStyle w:val="Normal"/>
        <w:spacing w:lineRule="auto" w:line="240" w:before="0" w:after="0"/>
        <w:ind w:left="284"/>
        <w:rPr>
          <w:rFonts w:ascii="Arial" w:hAnsi="Arial" w:cs="Arial"/>
          <w:color w:themeColor="text1" w:val="000000"/>
        </w:rPr>
      </w:pPr>
      <w:r>
        <w:rPr>
          <w:rFonts w:cs="Arial" w:ascii="Arial" w:hAnsi="Arial"/>
          <w:color w:themeColor="text1" w:val="000000"/>
        </w:rPr>
      </w:r>
    </w:p>
    <w:p>
      <w:pPr>
        <w:pStyle w:val="Normal"/>
        <w:spacing w:lineRule="auto" w:line="240" w:before="0" w:after="0"/>
        <w:ind w:left="284"/>
        <w:rPr>
          <w:rFonts w:ascii="Arial" w:hAnsi="Arial" w:cs="Arial"/>
          <w:color w:themeColor="text1" w:val="000000"/>
        </w:rPr>
      </w:pPr>
      <w:r>
        <w:rPr>
          <w:rFonts w:cs="Arial" w:ascii="Arial" w:hAnsi="Arial"/>
          <w:color w:themeColor="text1" w:val="000000"/>
        </w:rPr>
      </w:r>
    </w:p>
    <w:p>
      <w:pPr>
        <w:pStyle w:val="Normal"/>
        <w:spacing w:lineRule="auto" w:line="240" w:before="0" w:after="0"/>
        <w:rPr>
          <w:rStyle w:val="Truncate1"/>
          <w:rFonts w:ascii="Arial" w:hAnsi="Arial" w:cs="Arial"/>
        </w:rPr>
      </w:pPr>
      <w:r>
        <w:rPr>
          <w:rFonts w:cs="Arial" w:ascii="Arial" w:hAnsi="Arial"/>
        </w:rPr>
        <w:t xml:space="preserve">      </w:t>
      </w:r>
      <w:r>
        <w:rPr>
          <w:rStyle w:val="Truncate1"/>
          <w:rFonts w:cs="Arial" w:ascii="Arial" w:hAnsi="Arial"/>
        </w:rPr>
        <w:t>Bc. Miroslav Ižák, konateľ</w:t>
      </w:r>
    </w:p>
    <w:p>
      <w:pPr>
        <w:pStyle w:val="Normal"/>
        <w:spacing w:lineRule="auto" w:line="240" w:before="0" w:after="0"/>
        <w:rPr>
          <w:rFonts w:ascii="Arial" w:hAnsi="Arial" w:cs="Arial"/>
        </w:rPr>
      </w:pPr>
      <w:r>
        <w:rPr>
          <w:rStyle w:val="Truncate1"/>
          <w:rFonts w:cs="Arial" w:ascii="Arial" w:hAnsi="Arial"/>
        </w:rPr>
        <w:t xml:space="preserve">      </w:t>
      </w:r>
      <w:r>
        <w:rPr>
          <w:rStyle w:val="Truncate1"/>
          <w:rFonts w:cs="Arial" w:ascii="Arial" w:hAnsi="Arial"/>
        </w:rPr>
        <w:t>Michal Krchňavý, konateľ</w:t>
      </w:r>
      <w:r>
        <w:rPr>
          <w:rFonts w:cs="Arial" w:ascii="Arial" w:hAnsi="Arial"/>
        </w:rPr>
        <w:t xml:space="preserve"> </w:t>
      </w:r>
    </w:p>
    <w:p>
      <w:pPr>
        <w:pStyle w:val="Normal"/>
        <w:spacing w:lineRule="auto" w:line="240" w:before="0" w:after="0"/>
        <w:ind w:left="284"/>
        <w:rPr>
          <w:rFonts w:ascii="Arial" w:hAnsi="Arial" w:eastAsia="Times New Roman" w:cs="Arial"/>
          <w:bCs/>
          <w:color w:themeColor="text1" w:val="000000"/>
          <w:u w:val="single"/>
          <w:lang w:eastAsia="sk-SK"/>
        </w:rPr>
      </w:pPr>
      <w:r>
        <w:rPr>
          <w:rFonts w:eastAsia="Times New Roman" w:cs="Arial" w:ascii="Arial" w:hAnsi="Arial"/>
          <w:bCs/>
          <w:color w:themeColor="text1" w:val="000000"/>
          <w:u w:val="single"/>
          <w:lang w:eastAsia="sk-SK"/>
        </w:rPr>
        <w:t xml:space="preserve"> </w:t>
      </w:r>
    </w:p>
    <w:p>
      <w:pPr>
        <w:pStyle w:val="Normal"/>
        <w:spacing w:lineRule="auto" w:line="240" w:before="0" w:after="0"/>
        <w:ind w:left="284"/>
        <w:rPr>
          <w:rFonts w:ascii="Arial" w:hAnsi="Arial" w:eastAsia="Times New Roman" w:cs="Arial"/>
          <w:bCs/>
          <w:color w:themeColor="text1" w:val="000000"/>
          <w:u w:val="single"/>
          <w:lang w:eastAsia="sk-SK"/>
        </w:rPr>
      </w:pPr>
      <w:r>
        <w:rPr>
          <w:rFonts w:eastAsia="Times New Roman" w:cs="Arial" w:ascii="Arial" w:hAnsi="Arial"/>
          <w:bCs/>
          <w:color w:themeColor="text1" w:val="000000"/>
          <w:u w:val="single"/>
          <w:lang w:eastAsia="sk-SK"/>
        </w:rPr>
      </w:r>
    </w:p>
    <w:p>
      <w:pPr>
        <w:pStyle w:val="Normal"/>
        <w:spacing w:lineRule="auto" w:line="240" w:before="0" w:after="0"/>
        <w:ind w:left="284"/>
        <w:rPr>
          <w:rFonts w:ascii="Arial" w:hAnsi="Arial" w:eastAsia="Times New Roman" w:cs="Arial"/>
          <w:bCs/>
          <w:color w:themeColor="text1" w:val="000000"/>
          <w:lang w:eastAsia="sk-SK"/>
        </w:rPr>
      </w:pPr>
      <w:r>
        <w:rPr>
          <w:rFonts w:eastAsia="Times New Roman" w:cs="Arial" w:ascii="Arial" w:hAnsi="Arial"/>
          <w:bCs/>
          <w:color w:themeColor="text1" w:val="000000"/>
          <w:lang w:eastAsia="sk-SK"/>
        </w:rPr>
        <w:t xml:space="preserve"> </w:t>
      </w:r>
    </w:p>
    <w:sectPr>
      <w:footerReference w:type="even" r:id="rId8"/>
      <w:footerReference w:type="default" r:id="rId9"/>
      <w:footerReference w:type="first" r:id="rId10"/>
      <w:type w:val="nextPage"/>
      <w:pgSz w:w="11906" w:h="16838"/>
      <w:pgMar w:left="1417" w:right="1133" w:gutter="0" w:header="0" w:top="1417" w:footer="708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Georgia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Roboto">
    <w:charset w:val="ee"/>
    <w:family w:val="roman"/>
    <w:pitch w:val="variable"/>
  </w:font>
  <w:font w:name="Arial CE">
    <w:charset w:val="ee"/>
    <w:family w:val="roman"/>
    <w:pitch w:val="variable"/>
  </w:font>
  <w:font w:name="Arial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688952865"/>
    </w:sdtPr>
    <w:sdtContent>
      <w:p>
        <w:pPr>
          <w:pStyle w:val="Footer"/>
          <w:jc w:val="center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5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Bottom of Page)"/>
        <w:docPartUnique w:val="true"/>
      </w:docPartObj>
      <w:id w:val="688952865"/>
    </w:sdtPr>
    <w:sdtContent>
      <w:p>
        <w:pPr>
          <w:pStyle w:val="Footer"/>
          <w:jc w:val="center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5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rFonts w:ascii="Arial" w:hAnsi="Arial" w:eastAsia="Calibri" w:cs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66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3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5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2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9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20" w:hanging="180"/>
      </w:pPr>
      <w:rPr/>
    </w:lvl>
  </w:abstractNum>
  <w:abstractNum w:abstractNumId="4">
    <w:lvl w:ilvl="0">
      <w:start w:val="4"/>
      <w:numFmt w:val="bullet"/>
      <w:lvlText w:val="-"/>
      <w:lvlJc w:val="left"/>
      <w:pPr>
        <w:tabs>
          <w:tab w:val="num" w:pos="0"/>
        </w:tabs>
        <w:ind w:left="660" w:hanging="36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3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5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2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9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20" w:hanging="360"/>
      </w:pPr>
      <w:rPr>
        <w:rFonts w:ascii="Wingdings" w:hAnsi="Wingdings" w:cs="Wingdings" w:hint="default"/>
      </w:r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b1e57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Times New Roman"/>
      <w:color w:val="auto"/>
      <w:kern w:val="0"/>
      <w:sz w:val="22"/>
      <w:szCs w:val="22"/>
      <w:lang w:eastAsia="en-US" w:val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uiPriority w:val="99"/>
    <w:qFormat/>
    <w:rsid w:val="008e1574"/>
    <w:rPr>
      <w:sz w:val="22"/>
      <w:szCs w:val="22"/>
      <w:lang w:eastAsia="en-US"/>
    </w:rPr>
  </w:style>
  <w:style w:type="character" w:styleId="PtaChar" w:customStyle="1">
    <w:name w:val="Päta Char"/>
    <w:basedOn w:val="DefaultParagraphFont"/>
    <w:uiPriority w:val="99"/>
    <w:qFormat/>
    <w:rsid w:val="008e1574"/>
    <w:rPr>
      <w:sz w:val="22"/>
      <w:szCs w:val="22"/>
      <w:lang w:eastAsia="en-US"/>
    </w:rPr>
  </w:style>
  <w:style w:type="character" w:styleId="Strong">
    <w:name w:val="Strong"/>
    <w:basedOn w:val="DefaultParagraphFont"/>
    <w:uiPriority w:val="22"/>
    <w:qFormat/>
    <w:rsid w:val="004131a0"/>
    <w:rPr>
      <w:b/>
      <w:bCs/>
    </w:rPr>
  </w:style>
  <w:style w:type="character" w:styleId="Jsn-menutitle1" w:customStyle="1">
    <w:name w:val="jsn-menutitle1"/>
    <w:basedOn w:val="DefaultParagraphFont"/>
    <w:qFormat/>
    <w:rsid w:val="00a040d2"/>
    <w:rPr>
      <w:rFonts w:ascii="Georgia" w:hAnsi="Georgia"/>
      <w:vanish w:val="false"/>
    </w:rPr>
  </w:style>
  <w:style w:type="character" w:styleId="Jsn-menudescription5" w:customStyle="1">
    <w:name w:val="jsn-menudescription5"/>
    <w:basedOn w:val="DefaultParagraphFont"/>
    <w:qFormat/>
    <w:rsid w:val="00a040d2"/>
    <w:rPr>
      <w:rFonts w:ascii="Georgia" w:hAnsi="Georgia"/>
      <w:b w:val="false"/>
      <w:bCs w:val="false"/>
      <w:vanish w:val="false"/>
      <w:color w:val="B8B8B8"/>
      <w:sz w:val="22"/>
      <w:szCs w:val="22"/>
    </w:rPr>
  </w:style>
  <w:style w:type="character" w:styleId="Prevbutton4" w:customStyle="1">
    <w:name w:val="prev_button4"/>
    <w:basedOn w:val="DefaultParagraphFont"/>
    <w:qFormat/>
    <w:rsid w:val="00a040d2"/>
    <w:rPr/>
  </w:style>
  <w:style w:type="character" w:styleId="Nextbutton4" w:customStyle="1">
    <w:name w:val="next_button4"/>
    <w:basedOn w:val="DefaultParagraphFont"/>
    <w:qFormat/>
    <w:rsid w:val="00a040d2"/>
    <w:rPr/>
  </w:style>
  <w:style w:type="character" w:styleId="Infoslidedots4" w:customStyle="1">
    <w:name w:val="info_slide_dots4"/>
    <w:basedOn w:val="DefaultParagraphFont"/>
    <w:qFormat/>
    <w:rsid w:val="00a040d2"/>
    <w:rPr/>
  </w:style>
  <w:style w:type="character" w:styleId="Imagenumber6" w:customStyle="1">
    <w:name w:val="image_number6"/>
    <w:basedOn w:val="DefaultParagraphFont"/>
    <w:qFormat/>
    <w:rsid w:val="00a040d2"/>
    <w:rPr/>
  </w:style>
  <w:style w:type="character" w:styleId="Hyperlink" w:customStyle="1">
    <w:name w:val="Hyperlink"/>
    <w:basedOn w:val="DefaultParagraphFont"/>
    <w:uiPriority w:val="99"/>
    <w:unhideWhenUsed/>
    <w:rsid w:val="00a040d2"/>
    <w:rPr>
      <w:color w:themeColor="hyperlink" w:val="0000FF"/>
      <w:u w:val="single"/>
    </w:rPr>
  </w:style>
  <w:style w:type="character" w:styleId="Small13" w:customStyle="1">
    <w:name w:val="small13"/>
    <w:basedOn w:val="DefaultParagraphFont"/>
    <w:qFormat/>
    <w:rsid w:val="00a37eec"/>
    <w:rPr>
      <w:sz w:val="22"/>
      <w:szCs w:val="22"/>
    </w:rPr>
  </w:style>
  <w:style w:type="character" w:styleId="Truncate1" w:customStyle="1">
    <w:name w:val="truncate1"/>
    <w:basedOn w:val="DefaultParagraphFont"/>
    <w:qFormat/>
    <w:rsid w:val="006a4daa"/>
    <w:rPr>
      <w:vanish w:val="false"/>
    </w:rPr>
  </w:style>
  <w:style w:type="character" w:styleId="Ra" w:customStyle="1">
    <w:name w:val="ra"/>
    <w:basedOn w:val="DefaultParagraphFont"/>
    <w:qFormat/>
    <w:rsid w:val="000a6e13"/>
    <w:rPr/>
  </w:style>
  <w:style w:type="character" w:styleId="Clearfix" w:customStyle="1">
    <w:name w:val="clearfix"/>
    <w:basedOn w:val="DefaultParagraphFont"/>
    <w:qFormat/>
    <w:rsid w:val="008c0852"/>
    <w:rPr/>
  </w:style>
  <w:style w:type="character" w:styleId="Clr-green" w:customStyle="1">
    <w:name w:val="clr-green"/>
    <w:basedOn w:val="DefaultParagraphFont"/>
    <w:qFormat/>
    <w:rsid w:val="00c26874"/>
    <w:rPr/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21366d"/>
    <w:rPr>
      <w:rFonts w:ascii="Tahoma" w:hAnsi="Tahoma" w:cs="Tahoma"/>
      <w:sz w:val="16"/>
      <w:szCs w:val="16"/>
      <w:lang w:eastAsia="en-US"/>
    </w:rPr>
  </w:style>
  <w:style w:type="paragraph" w:styleId="Nadpis" w:customStyle="1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Ari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2816e9"/>
    <w:pPr>
      <w:spacing w:before="0" w:after="200"/>
      <w:ind w:left="720"/>
      <w:contextualSpacing/>
    </w:pPr>
    <w:rPr/>
  </w:style>
  <w:style w:type="paragraph" w:styleId="Hlavikaapta" w:customStyle="1">
    <w:name w:val="Hlavička a päta"/>
    <w:basedOn w:val="Normal"/>
    <w:qFormat/>
    <w:pPr/>
    <w:rPr/>
  </w:style>
  <w:style w:type="paragraph" w:styleId="Header">
    <w:name w:val="Header"/>
    <w:basedOn w:val="Normal"/>
    <w:link w:val="HlavikaChar"/>
    <w:uiPriority w:val="99"/>
    <w:unhideWhenUsed/>
    <w:rsid w:val="008e1574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taChar"/>
    <w:uiPriority w:val="99"/>
    <w:unhideWhenUsed/>
    <w:rsid w:val="008e1574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NormalWeb">
    <w:name w:val="Normal (Web)"/>
    <w:basedOn w:val="Normal"/>
    <w:uiPriority w:val="99"/>
    <w:semiHidden/>
    <w:unhideWhenUsed/>
    <w:qFormat/>
    <w:rsid w:val="004131a0"/>
    <w:pPr>
      <w:spacing w:lineRule="auto" w:line="240" w:before="0" w:after="15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Jsn-themeslider-caption-title" w:customStyle="1">
    <w:name w:val="jsn-themeslider-caption-title"/>
    <w:basedOn w:val="Normal"/>
    <w:qFormat/>
    <w:rsid w:val="00a040d2"/>
    <w:pPr>
      <w:spacing w:lineRule="auto" w:line="240" w:before="0" w:after="15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Jsn-themeslider-caption-description" w:customStyle="1">
    <w:name w:val="jsn-themeslider-caption-description"/>
    <w:basedOn w:val="Normal"/>
    <w:qFormat/>
    <w:rsid w:val="00a040d2"/>
    <w:pPr>
      <w:spacing w:lineRule="auto" w:line="240" w:before="0" w:after="15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21366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dstavecseseznamem" w:customStyle="1">
    <w:name w:val="Odstavec se seznamem"/>
    <w:basedOn w:val="Normal"/>
    <w:uiPriority w:val="34"/>
    <w:qFormat/>
    <w:rsid w:val="0021366d"/>
    <w:pPr>
      <w:spacing w:before="0" w:after="200"/>
      <w:ind w:left="72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7d1863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jpeg"/><Relationship Id="rId4" Type="http://schemas.openxmlformats.org/officeDocument/2006/relationships/hyperlink" Target="http://www.m-logistic.sk/images/mapa_big.jpg" TargetMode="External"/><Relationship Id="rId5" Type="http://schemas.openxmlformats.org/officeDocument/2006/relationships/image" Target="media/image3.png"/><Relationship Id="rId6" Type="http://schemas.openxmlformats.org/officeDocument/2006/relationships/image" Target="media/image4.png"/><Relationship Id="rId7" Type="http://schemas.openxmlformats.org/officeDocument/2006/relationships/hyperlink" Target="http://www.orsr.sk/hladaj_osoba.asp?PR=Vilda&amp;MENO=Libor&amp;SID=0&amp;T=f0&amp;R=0" TargetMode="Externa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footer" Target="footer3.xml"/><Relationship Id="rId11" Type="http://schemas.openxmlformats.org/officeDocument/2006/relationships/numbering" Target="numbering.xml"/><Relationship Id="rId12" Type="http://schemas.openxmlformats.org/officeDocument/2006/relationships/fontTable" Target="fontTable.xml"/><Relationship Id="rId13" Type="http://schemas.openxmlformats.org/officeDocument/2006/relationships/settings" Target="settings.xml"/><Relationship Id="rId14" Type="http://schemas.openxmlformats.org/officeDocument/2006/relationships/theme" Target="theme/theme1.xml"/><Relationship Id="rId15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871B0B-40F7-40DB-A463-7374EE6E6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Application>LibreOffice/24.2.0.3$Windows_X86_64 LibreOffice_project/da48488a73ddd66ea24cf16bbc4f7b9c08e9bea1</Application>
  <AppVersion>15.0000</AppVersion>
  <DocSecurity>0</DocSecurity>
  <Pages>5</Pages>
  <Words>728</Words>
  <Characters>4465</Characters>
  <CharactersWithSpaces>5287</CharactersWithSpaces>
  <Paragraphs>127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2023-04-19T08:03:00Z</dcterms:created>
  <dc:creator>Dušan Križan</dc:creator>
  <dc:description/>
  <dc:language>sk-SK</dc:language>
  <cp:lastModifiedBy/>
  <cp:lastPrinted>2024-02-29T10:39:55Z</cp:lastPrinted>
  <dcterms:modified xsi:type="dcterms:W3CDTF">2024-02-29T10:40:02Z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