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94B60" w14:textId="77777777" w:rsidR="004D6D92" w:rsidRDefault="004D6D92" w:rsidP="004D6D92">
      <w:pPr>
        <w:pStyle w:val="Default"/>
      </w:pPr>
    </w:p>
    <w:p w14:paraId="28DD6F0E" w14:textId="6F369853" w:rsidR="004D6D92" w:rsidRDefault="004D6D92" w:rsidP="004D6D92">
      <w:pPr>
        <w:pStyle w:val="Default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MÚJ 3 - 01 IČO 46957065 DIČ 2023695443</w:t>
      </w:r>
    </w:p>
    <w:p w14:paraId="51FA2302" w14:textId="77777777" w:rsidR="004D6D92" w:rsidRDefault="004D6D92" w:rsidP="004D6D92">
      <w:pPr>
        <w:pStyle w:val="Default"/>
        <w:rPr>
          <w:color w:val="auto"/>
        </w:rPr>
      </w:pPr>
    </w:p>
    <w:p w14:paraId="041DE30A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</w:rPr>
        <w:t xml:space="preserve"> </w:t>
      </w:r>
      <w:r>
        <w:rPr>
          <w:color w:val="auto"/>
          <w:sz w:val="18"/>
          <w:szCs w:val="18"/>
        </w:rPr>
        <w:t xml:space="preserve">1 </w:t>
      </w:r>
    </w:p>
    <w:p w14:paraId="099BABE9" w14:textId="77777777" w:rsidR="004D6D92" w:rsidRDefault="004D6D92" w:rsidP="004D6D92">
      <w:pPr>
        <w:pStyle w:val="Default"/>
        <w:rPr>
          <w:color w:val="auto"/>
        </w:rPr>
      </w:pPr>
    </w:p>
    <w:p w14:paraId="341EC2BE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18"/>
          <w:szCs w:val="18"/>
        </w:rPr>
        <w:t xml:space="preserve">Čl. I – Všeobecné údaje </w:t>
      </w:r>
    </w:p>
    <w:p w14:paraId="1B21B63D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Obchodné meno a sídlo spoločnosti: </w:t>
      </w:r>
    </w:p>
    <w:p w14:paraId="7758F303" w14:textId="04744D91" w:rsidR="004D6D92" w:rsidRDefault="004D6D92" w:rsidP="004D6D92">
      <w:pPr>
        <w:pStyle w:val="Default"/>
        <w:rPr>
          <w:color w:val="auto"/>
          <w:sz w:val="18"/>
          <w:szCs w:val="18"/>
        </w:rPr>
      </w:pPr>
      <w:proofErr w:type="spellStart"/>
      <w:r>
        <w:rPr>
          <w:color w:val="auto"/>
          <w:sz w:val="18"/>
          <w:szCs w:val="18"/>
        </w:rPr>
        <w:t>Ekonpol</w:t>
      </w:r>
      <w:proofErr w:type="spellEnd"/>
      <w:r>
        <w:rPr>
          <w:color w:val="auto"/>
          <w:sz w:val="18"/>
          <w:szCs w:val="18"/>
        </w:rPr>
        <w:t xml:space="preserve"> </w:t>
      </w:r>
      <w:proofErr w:type="spellStart"/>
      <w:r>
        <w:rPr>
          <w:color w:val="auto"/>
          <w:sz w:val="18"/>
          <w:szCs w:val="18"/>
        </w:rPr>
        <w:t>s.r.o</w:t>
      </w:r>
      <w:proofErr w:type="spellEnd"/>
      <w:r>
        <w:rPr>
          <w:color w:val="auto"/>
          <w:sz w:val="18"/>
          <w:szCs w:val="18"/>
        </w:rPr>
        <w:t xml:space="preserve">. </w:t>
      </w:r>
    </w:p>
    <w:p w14:paraId="2A6FA46A" w14:textId="3BEB2296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Stupava 5012</w:t>
      </w:r>
    </w:p>
    <w:p w14:paraId="180346C2" w14:textId="3405644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900 31 Stupava</w:t>
      </w:r>
    </w:p>
    <w:p w14:paraId="50BE488F" w14:textId="179CBA23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</w:t>
      </w:r>
      <w:proofErr w:type="spellStart"/>
      <w:r>
        <w:rPr>
          <w:color w:val="auto"/>
          <w:sz w:val="18"/>
          <w:szCs w:val="18"/>
        </w:rPr>
        <w:t>Ekonpol</w:t>
      </w:r>
      <w:proofErr w:type="spellEnd"/>
      <w:r>
        <w:rPr>
          <w:color w:val="auto"/>
          <w:sz w:val="18"/>
          <w:szCs w:val="18"/>
        </w:rPr>
        <w:t xml:space="preserve"> </w:t>
      </w:r>
      <w:proofErr w:type="spellStart"/>
      <w:r>
        <w:rPr>
          <w:color w:val="auto"/>
          <w:sz w:val="18"/>
          <w:szCs w:val="18"/>
        </w:rPr>
        <w:t>s.r.o</w:t>
      </w:r>
      <w:proofErr w:type="spellEnd"/>
      <w:r>
        <w:rPr>
          <w:color w:val="auto"/>
          <w:sz w:val="18"/>
          <w:szCs w:val="18"/>
        </w:rPr>
        <w:t xml:space="preserve">. bola založená zakladateľskou listinou dňa 12.12.2012, do obchodného registra bola zapísaná 16.01.2013 (Obchodný register Okresného súdu Bratislava I v Bratislave, oddiel </w:t>
      </w:r>
      <w:proofErr w:type="spellStart"/>
      <w:r>
        <w:rPr>
          <w:color w:val="auto"/>
          <w:sz w:val="18"/>
          <w:szCs w:val="18"/>
        </w:rPr>
        <w:t>s.r.o</w:t>
      </w:r>
      <w:proofErr w:type="spellEnd"/>
      <w:r>
        <w:rPr>
          <w:color w:val="auto"/>
          <w:sz w:val="18"/>
          <w:szCs w:val="18"/>
        </w:rPr>
        <w:t xml:space="preserve">., vložka 86678/B). </w:t>
      </w:r>
    </w:p>
    <w:p w14:paraId="2EF265C0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2. Informácie o konsolidovanom celku </w:t>
      </w:r>
    </w:p>
    <w:p w14:paraId="24363B63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</w:p>
    <w:p w14:paraId="4F910720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sa nezahrnuje do žiadnej konsolidovanej účtovnej závierky, nakoľko Spoločnosť nie je súčasťou žiadneho konsolidovaného celku. </w:t>
      </w:r>
    </w:p>
    <w:p w14:paraId="09CB3F61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3. Priemerný počet zamestnancov </w:t>
      </w:r>
    </w:p>
    <w:p w14:paraId="554B1D2A" w14:textId="42FA7C6F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zamestnáva 0 zamestnancov. </w:t>
      </w:r>
    </w:p>
    <w:p w14:paraId="3DAAC58D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Čl. II. – Informácie o prijatých postupoch </w:t>
      </w:r>
    </w:p>
    <w:p w14:paraId="5B697E46" w14:textId="76039E30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</w:t>
      </w:r>
      <w:r>
        <w:rPr>
          <w:color w:val="auto"/>
          <w:sz w:val="18"/>
          <w:szCs w:val="18"/>
        </w:rPr>
        <w:t>Účtovná závierka Spoločnosti k</w:t>
      </w:r>
      <w:r w:rsidR="00C80F5F">
        <w:rPr>
          <w:color w:val="auto"/>
          <w:sz w:val="18"/>
          <w:szCs w:val="18"/>
        </w:rPr>
        <w:t> 24.01.2025</w:t>
      </w:r>
      <w:r>
        <w:rPr>
          <w:color w:val="auto"/>
          <w:sz w:val="18"/>
          <w:szCs w:val="18"/>
        </w:rPr>
        <w:t xml:space="preserve"> je zostavená </w:t>
      </w:r>
      <w:r w:rsidR="00C80F5F">
        <w:rPr>
          <w:color w:val="auto"/>
          <w:sz w:val="18"/>
          <w:szCs w:val="18"/>
        </w:rPr>
        <w:t xml:space="preserve">k vstupu firmy do likvidácie  </w:t>
      </w:r>
      <w:r>
        <w:rPr>
          <w:color w:val="auto"/>
          <w:sz w:val="18"/>
          <w:szCs w:val="18"/>
        </w:rPr>
        <w:t xml:space="preserve"> </w:t>
      </w:r>
    </w:p>
    <w:p w14:paraId="791E2B47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</w:p>
    <w:p w14:paraId="156F398F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2. Spôsob oceňovania jednotlivých položiek majetku a záväzkov</w:t>
      </w:r>
      <w:r>
        <w:rPr>
          <w:color w:val="auto"/>
          <w:sz w:val="18"/>
          <w:szCs w:val="18"/>
        </w:rPr>
        <w:t xml:space="preserve">: </w:t>
      </w:r>
    </w:p>
    <w:p w14:paraId="66FFD2AD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</w:p>
    <w:p w14:paraId="7F422BBB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a) Dlhodobý hmotný majetok </w:t>
      </w:r>
    </w:p>
    <w:p w14:paraId="2894B2ED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</w:p>
    <w:p w14:paraId="6BA0E9AA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Dlhodobý majetok nakupovaný sa oceňuje obstarávacou cenou, ktorá zahrnuje cenu obstarania a náklady súvisiace s obstaraním (clo, prepravu, montáž, poistné a pod.). Súčasťou obstarávacej ceny nie sú úroky z cudzích zdrojov ani realizované kurzové rozdiely, ktoré vznikli do momentu uvedenia dlhodobého majetku do používania. 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4"/>
        <w:gridCol w:w="704"/>
        <w:gridCol w:w="1410"/>
        <w:gridCol w:w="1408"/>
        <w:gridCol w:w="706"/>
        <w:gridCol w:w="2114"/>
      </w:tblGrid>
      <w:tr w:rsidR="004D6D92" w14:paraId="5D9B9865" w14:textId="77777777">
        <w:trPr>
          <w:trHeight w:val="81"/>
        </w:trPr>
        <w:tc>
          <w:tcPr>
            <w:tcW w:w="211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731081C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Odpisy dlhodobého hmotného majetku sú stanovené vychádzajúc z predpokladanej doby jeho používania a predpokladaného priebehu jeho opotrebovania. Odpisovať sa začína mesiacom, v ktorom bol dlhodobý majetok zaradený do používania. Drobný dlhodobý hmotný majetok, ktorého obstarávacia cena (resp. vlastné náklady) je 1.700,- EUR a nižšia, sa účtuje na ťarchu účtu 501-700. Predpokladaná doba používania, metóda odpisovania a odpisová sadzba sú uvedené v nasledujúcej tabuľke: </w:t>
            </w:r>
            <w:r>
              <w:rPr>
                <w:sz w:val="18"/>
                <w:szCs w:val="18"/>
              </w:rPr>
              <w:t xml:space="preserve">Druh majetku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F10DCA2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predpokladaná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ED111C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metóda </w:t>
            </w:r>
          </w:p>
        </w:tc>
        <w:tc>
          <w:tcPr>
            <w:tcW w:w="211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5B64C58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ročná odpisová </w:t>
            </w:r>
          </w:p>
        </w:tc>
      </w:tr>
      <w:tr w:rsidR="004D6D92" w14:paraId="13065EA6" w14:textId="77777777">
        <w:trPr>
          <w:trHeight w:val="81"/>
        </w:trPr>
        <w:tc>
          <w:tcPr>
            <w:tcW w:w="2818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5323F05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doba používania </w:t>
            </w:r>
          </w:p>
        </w:tc>
        <w:tc>
          <w:tcPr>
            <w:tcW w:w="281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A884F8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odpisovania </w:t>
            </w:r>
          </w:p>
        </w:tc>
        <w:tc>
          <w:tcPr>
            <w:tcW w:w="281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3021C59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sadzba v % </w:t>
            </w:r>
          </w:p>
        </w:tc>
      </w:tr>
      <w:tr w:rsidR="004D6D92" w14:paraId="37565229" w14:textId="77777777">
        <w:trPr>
          <w:trHeight w:val="185"/>
        </w:trPr>
        <w:tc>
          <w:tcPr>
            <w:tcW w:w="211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669B163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Dopravné prostriedky </w:t>
            </w:r>
          </w:p>
          <w:p w14:paraId="4FC70DD0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Kancelárske stroje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69BF4E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roky </w:t>
            </w:r>
          </w:p>
          <w:p w14:paraId="4DDCC58A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4-6 rokov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930D6F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Lineárna </w:t>
            </w:r>
          </w:p>
          <w:p w14:paraId="09772E0C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Lineárna </w:t>
            </w:r>
          </w:p>
        </w:tc>
        <w:tc>
          <w:tcPr>
            <w:tcW w:w="211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C2E4A37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25% </w:t>
            </w:r>
          </w:p>
          <w:p w14:paraId="56E2013C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16,67 – 25% </w:t>
            </w:r>
          </w:p>
        </w:tc>
      </w:tr>
    </w:tbl>
    <w:p w14:paraId="03F67B70" w14:textId="77777777" w:rsidR="00BB3D70" w:rsidRDefault="00BB3D70"/>
    <w:p w14:paraId="0C85BB39" w14:textId="77777777" w:rsidR="004D6D92" w:rsidRDefault="004D6D92" w:rsidP="004D6D92">
      <w:pPr>
        <w:pStyle w:val="Default"/>
      </w:pPr>
    </w:p>
    <w:p w14:paraId="016C3248" w14:textId="77777777" w:rsidR="004D6D92" w:rsidRDefault="004D6D92" w:rsidP="004D6D92">
      <w:pPr>
        <w:pStyle w:val="Default"/>
      </w:pPr>
      <w:r>
        <w:t xml:space="preserve"> </w:t>
      </w:r>
    </w:p>
    <w:p w14:paraId="2ED1ACF4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b) Pohľadávky </w:t>
      </w:r>
    </w:p>
    <w:p w14:paraId="3CE4DA58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Pohľadávky sa pri ich vzniku oceňujú ich menovitou hodnotou.. Toto ocenenie sa znižuje o pochybné a nevymožiteľné pohľadávky prostredníctvom tvorby opravných položiek. </w:t>
      </w:r>
    </w:p>
    <w:p w14:paraId="32992ECF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c) Peňažné prostriedky a ceniny </w:t>
      </w:r>
    </w:p>
    <w:p w14:paraId="6695B96F" w14:textId="5C33B1F6" w:rsidR="004D6D92" w:rsidRDefault="004D6D92" w:rsidP="004D6D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MÚJ 3 - 01 IČO 46957065 DIČ 2023695443</w:t>
      </w:r>
    </w:p>
    <w:p w14:paraId="7525BDF5" w14:textId="77777777" w:rsidR="004D6D92" w:rsidRDefault="004D6D92" w:rsidP="004D6D92">
      <w:pPr>
        <w:pStyle w:val="Default"/>
        <w:rPr>
          <w:sz w:val="20"/>
          <w:szCs w:val="20"/>
        </w:rPr>
      </w:pPr>
    </w:p>
    <w:p w14:paraId="58666B35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lastRenderedPageBreak/>
        <w:t xml:space="preserve">2 </w:t>
      </w:r>
    </w:p>
    <w:p w14:paraId="39A58C46" w14:textId="77777777" w:rsidR="004D6D92" w:rsidRDefault="004D6D92" w:rsidP="004D6D92">
      <w:pPr>
        <w:pStyle w:val="Default"/>
        <w:rPr>
          <w:sz w:val="18"/>
          <w:szCs w:val="18"/>
        </w:rPr>
      </w:pPr>
    </w:p>
    <w:p w14:paraId="1F032170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Peňažné prostriedky a ceniny sa oceňujú ich menovitou hodnotou. </w:t>
      </w:r>
    </w:p>
    <w:p w14:paraId="56268E84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d) Náklady budúcich období a príjmy budúcich období </w:t>
      </w:r>
    </w:p>
    <w:p w14:paraId="20364D13" w14:textId="77777777" w:rsidR="004D6D92" w:rsidRDefault="004D6D92" w:rsidP="004D6D92">
      <w:pPr>
        <w:pStyle w:val="Default"/>
        <w:rPr>
          <w:sz w:val="18"/>
          <w:szCs w:val="18"/>
        </w:rPr>
      </w:pPr>
    </w:p>
    <w:p w14:paraId="5E3793B0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Náklady budúcich období a príjmy budúcich období sa vykazujú vo výške, ktorá je potrebná na dodržanie zásady vecnej a časovej súvislosti s účtovným obdobím. </w:t>
      </w:r>
    </w:p>
    <w:p w14:paraId="1529B336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e) Záväzky </w:t>
      </w:r>
    </w:p>
    <w:p w14:paraId="7BCCE426" w14:textId="77777777" w:rsidR="004D6D92" w:rsidRDefault="004D6D92" w:rsidP="004D6D92">
      <w:pPr>
        <w:pStyle w:val="Default"/>
        <w:rPr>
          <w:sz w:val="18"/>
          <w:szCs w:val="18"/>
        </w:rPr>
      </w:pPr>
    </w:p>
    <w:p w14:paraId="22B4C151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sz w:val="18"/>
          <w:szCs w:val="18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</w:t>
      </w:r>
    </w:p>
    <w:p w14:paraId="59A2FA10" w14:textId="77777777" w:rsidR="004D6D92" w:rsidRDefault="004D6D92" w:rsidP="004D6D92">
      <w:pPr>
        <w:pStyle w:val="Default"/>
        <w:rPr>
          <w:sz w:val="18"/>
          <w:szCs w:val="18"/>
        </w:rPr>
      </w:pPr>
    </w:p>
    <w:p w14:paraId="70AE1601" w14:textId="77777777" w:rsidR="004D6D92" w:rsidRDefault="004D6D92" w:rsidP="004D6D92">
      <w:pPr>
        <w:pStyle w:val="Default"/>
        <w:rPr>
          <w:sz w:val="18"/>
          <w:szCs w:val="18"/>
        </w:rPr>
      </w:pPr>
    </w:p>
    <w:p w14:paraId="55C785FB" w14:textId="34650670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A. INFORMÁCIE O ÚDAJOCH V SÚVAHE A VO VÝKAZE ZISKOV A STRÁT </w:t>
      </w:r>
    </w:p>
    <w:p w14:paraId="626BCBC4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Záväzky </w:t>
      </w:r>
    </w:p>
    <w:p w14:paraId="67E9F323" w14:textId="5C751962" w:rsidR="004D6D92" w:rsidRDefault="004D6D92" w:rsidP="004D6D92">
      <w:r>
        <w:rPr>
          <w:sz w:val="18"/>
          <w:szCs w:val="18"/>
        </w:rPr>
        <w:t>Spoločnosť neeviduje záväzky s dobou splatnosti dlhšou ako 5 rokov.</w:t>
      </w:r>
    </w:p>
    <w:sectPr w:rsidR="004D6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2593A" w14:textId="77777777" w:rsidR="00485EB0" w:rsidRDefault="00485EB0" w:rsidP="004D6D92">
      <w:pPr>
        <w:spacing w:after="0" w:line="240" w:lineRule="auto"/>
      </w:pPr>
      <w:r>
        <w:separator/>
      </w:r>
    </w:p>
  </w:endnote>
  <w:endnote w:type="continuationSeparator" w:id="0">
    <w:p w14:paraId="1E9F25F9" w14:textId="77777777" w:rsidR="00485EB0" w:rsidRDefault="00485EB0" w:rsidP="004D6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AB2C1" w14:textId="77777777" w:rsidR="00485EB0" w:rsidRDefault="00485EB0" w:rsidP="004D6D92">
      <w:pPr>
        <w:spacing w:after="0" w:line="240" w:lineRule="auto"/>
      </w:pPr>
      <w:r>
        <w:separator/>
      </w:r>
    </w:p>
  </w:footnote>
  <w:footnote w:type="continuationSeparator" w:id="0">
    <w:p w14:paraId="250B83A7" w14:textId="77777777" w:rsidR="00485EB0" w:rsidRDefault="00485EB0" w:rsidP="004D6D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D92"/>
    <w:rsid w:val="003C6B31"/>
    <w:rsid w:val="004411B6"/>
    <w:rsid w:val="00485EB0"/>
    <w:rsid w:val="004D6D92"/>
    <w:rsid w:val="00607654"/>
    <w:rsid w:val="00BB3D70"/>
    <w:rsid w:val="00BE15F6"/>
    <w:rsid w:val="00C80F5F"/>
    <w:rsid w:val="00FC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ACA79"/>
  <w15:chartTrackingRefBased/>
  <w15:docId w15:val="{23F68E1D-43AD-47C1-A215-49421903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D6D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D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D6D92"/>
  </w:style>
  <w:style w:type="paragraph" w:styleId="Zpat">
    <w:name w:val="footer"/>
    <w:basedOn w:val="Normln"/>
    <w:link w:val="ZpatChar"/>
    <w:uiPriority w:val="99"/>
    <w:unhideWhenUsed/>
    <w:rsid w:val="004D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6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jerigova.a@gmail.com</dc:creator>
  <cp:keywords/>
  <dc:description/>
  <cp:lastModifiedBy>Alena Jerigová</cp:lastModifiedBy>
  <cp:revision>2</cp:revision>
  <dcterms:created xsi:type="dcterms:W3CDTF">2025-02-02T11:37:00Z</dcterms:created>
  <dcterms:modified xsi:type="dcterms:W3CDTF">2025-02-02T11:37:00Z</dcterms:modified>
</cp:coreProperties>
</file>