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240"/>
        <w:jc w:val="start"/>
        <w:rPr>
          <w:rFonts w:eastAsia="Arial Narrow"/>
        </w:rPr>
      </w:pPr>
      <w:r>
        <w:rPr>
          <w:rFonts w:eastAsia="Arial Narrow"/>
        </w:rPr>
      </w:r>
    </w:p>
    <w:p>
      <w:pPr>
        <w:pStyle w:val="Nadpis"/>
        <w:bidi w:val="0"/>
        <w:spacing w:lineRule="auto" w:line="276" w:before="0" w:after="220"/>
        <w:jc w:val="start"/>
        <w:rPr/>
      </w:pPr>
      <w:r>
        <w:rPr>
          <w:rFonts w:cs="Arial Narrow" w:ascii="Arial" w:hAnsi="Arial"/>
          <w:bCs w:val="false"/>
          <w:sz w:val="22"/>
          <w:szCs w:val="22"/>
        </w:rPr>
        <w:t>Poznámky Úč MÚJ 3 – 01         IČO: 4 4 1 8 7 1 5 7             DIČ: 2 0 2 2 6 1 6 6 1 8</w:t>
      </w:r>
    </w:p>
    <w:p>
      <w:pPr>
        <w:pStyle w:val="Nadpis"/>
        <w:bidi w:val="0"/>
        <w:spacing w:lineRule="auto" w:line="276" w:before="0" w:after="220"/>
        <w:jc w:val="center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>Poznámky k mimoriadnej účtovnej závierke k 20.12.2024</w:t>
      </w:r>
      <w:r>
        <w:rPr>
          <w:rFonts w:cs="Arial Narrow" w:ascii="Arial Black" w:hAnsi="Arial Black"/>
          <w:bCs w:val="false"/>
          <w:sz w:val="26"/>
          <w:szCs w:val="26"/>
        </w:rPr>
        <w:t xml:space="preserve">  </w:t>
      </w:r>
    </w:p>
    <w:p>
      <w:pPr>
        <w:pStyle w:val="Tlotextu"/>
        <w:bidi w:val="0"/>
        <w:spacing w:lineRule="auto" w:line="276" w:before="0" w:after="220"/>
        <w:jc w:val="center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>Čl. I</w:t>
      </w:r>
    </w:p>
    <w:p>
      <w:pPr>
        <w:pStyle w:val="Tlotextu"/>
        <w:bidi w:val="0"/>
        <w:spacing w:lineRule="auto" w:line="276" w:before="0" w:after="220"/>
        <w:jc w:val="center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>Všeobecné údaje</w:t>
      </w:r>
    </w:p>
    <w:p>
      <w:pPr>
        <w:pStyle w:val="Tlotextu"/>
        <w:bidi w:val="0"/>
        <w:spacing w:lineRule="auto" w:line="276" w:before="0" w:after="220"/>
        <w:jc w:val="start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 xml:space="preserve">1/ </w:t>
      </w:r>
      <w:r>
        <w:rPr>
          <w:rFonts w:cs="Arial Narrow" w:ascii="Arial" w:hAnsi="Arial"/>
          <w:bCs w:val="false"/>
          <w:sz w:val="26"/>
          <w:szCs w:val="26"/>
        </w:rPr>
        <w:t xml:space="preserve">Obchodné meno účtovnej jednotky : </w:t>
      </w:r>
      <w:r>
        <w:rPr>
          <w:rFonts w:cs="Arial Narrow" w:ascii="Arial Black" w:hAnsi="Arial Black"/>
          <w:bCs w:val="false"/>
          <w:sz w:val="26"/>
          <w:szCs w:val="26"/>
        </w:rPr>
        <w:t>Olečko s.r.o. v likvidácii</w:t>
      </w:r>
    </w:p>
    <w:p>
      <w:pPr>
        <w:pStyle w:val="Tlotextu"/>
        <w:bidi w:val="0"/>
        <w:spacing w:lineRule="auto" w:line="276" w:before="0" w:after="220"/>
        <w:jc w:val="start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 xml:space="preserve">2/ </w:t>
      </w:r>
      <w:r>
        <w:rPr>
          <w:rFonts w:cs="Arial Narrow" w:ascii="Arial" w:hAnsi="Arial"/>
          <w:bCs w:val="false"/>
          <w:sz w:val="26"/>
          <w:szCs w:val="26"/>
        </w:rPr>
        <w:t>Sídlo : Štefánikova 312/6, 059 21 Svit</w:t>
      </w:r>
    </w:p>
    <w:p>
      <w:pPr>
        <w:pStyle w:val="Tlotextu"/>
        <w:bidi w:val="0"/>
        <w:spacing w:lineRule="auto" w:line="276" w:before="0" w:after="220"/>
        <w:jc w:val="start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 xml:space="preserve">3/ </w:t>
      </w:r>
      <w:r>
        <w:rPr>
          <w:rFonts w:cs="Arial Narrow" w:ascii="Arial" w:hAnsi="Arial"/>
          <w:bCs w:val="false"/>
          <w:sz w:val="26"/>
          <w:szCs w:val="26"/>
        </w:rPr>
        <w:t>Spoločnosť nemá zamestnancov</w:t>
      </w:r>
    </w:p>
    <w:p>
      <w:pPr>
        <w:pStyle w:val="Tlotextu"/>
        <w:bidi w:val="0"/>
        <w:spacing w:lineRule="auto" w:line="276" w:before="0" w:after="220"/>
        <w:jc w:val="center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>Čl.II</w:t>
      </w:r>
    </w:p>
    <w:p>
      <w:pPr>
        <w:pStyle w:val="Tlotextu"/>
        <w:bidi w:val="0"/>
        <w:spacing w:lineRule="auto" w:line="276" w:before="0" w:after="220"/>
        <w:jc w:val="center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>Informácie o prijatých postupoch</w:t>
      </w:r>
    </w:p>
    <w:p>
      <w:pPr>
        <w:pStyle w:val="Tlotextu"/>
        <w:bidi w:val="0"/>
        <w:spacing w:lineRule="auto" w:line="276" w:before="0" w:after="220"/>
        <w:jc w:val="start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 xml:space="preserve">1/ </w:t>
      </w:r>
      <w:r>
        <w:rPr>
          <w:rFonts w:cs="Arial Narrow" w:ascii="Arial" w:hAnsi="Arial"/>
          <w:bCs w:val="false"/>
          <w:sz w:val="26"/>
          <w:szCs w:val="26"/>
        </w:rPr>
        <w:t>Účtovná závierka spoločnosti k 20.12.2024 je zostavená ako mimoriadna   účtovná závierka za účtovné obdobie odo dňa vstupu do likvidácie 08.06.2024 do 20.12.2024 t.j. ku dňu skončenia likvidácie „ Rozhodnutím jedinného spoločníka pri výkone pôsobnosti valného zhromaždenia „ Spoločnosť vstúpila do likvidácie 8.6.2024</w:t>
      </w:r>
    </w:p>
    <w:p>
      <w:pPr>
        <w:pStyle w:val="Tlotextu"/>
        <w:bidi w:val="0"/>
        <w:spacing w:lineRule="auto" w:line="276" w:before="0" w:after="220"/>
        <w:jc w:val="start"/>
        <w:rPr>
          <w:rFonts w:ascii="Arial Black" w:hAnsi="Arial Black" w:cs="Arial Narrow"/>
          <w:bCs w:val="false"/>
          <w:sz w:val="24"/>
          <w:szCs w:val="24"/>
        </w:rPr>
      </w:pPr>
      <w:r>
        <w:rPr>
          <w:rFonts w:cs="Arial Narrow" w:ascii="Arial Black" w:hAnsi="Arial Black"/>
          <w:bCs w:val="false"/>
          <w:sz w:val="26"/>
          <w:szCs w:val="26"/>
        </w:rPr>
        <w:t xml:space="preserve">2/ </w:t>
      </w:r>
      <w:r>
        <w:rPr>
          <w:rFonts w:cs="Arial Narrow" w:ascii="Arial" w:hAnsi="Arial"/>
          <w:bCs w:val="false"/>
          <w:sz w:val="26"/>
          <w:szCs w:val="26"/>
        </w:rPr>
        <w:t>Spôsob oceňovania jednotlivých zložiek majetku a záväzkov a to :</w:t>
      </w:r>
    </w:p>
    <w:p>
      <w:pPr>
        <w:pStyle w:val="Normal"/>
        <w:bidi w:val="0"/>
        <w:spacing w:lineRule="auto" w:line="240"/>
        <w:jc w:val="start"/>
        <w:rPr>
          <w:rFonts w:ascii="Arial" w:hAnsi="Arial"/>
          <w:sz w:val="26"/>
          <w:szCs w:val="26"/>
        </w:rPr>
      </w:pPr>
      <w:r>
        <w:rPr>
          <w:rFonts w:ascii="Arial Black" w:hAnsi="Arial Black"/>
          <w:sz w:val="26"/>
          <w:szCs w:val="26"/>
        </w:rPr>
        <w:t>c)</w:t>
      </w:r>
      <w:r>
        <w:rPr>
          <w:rFonts w:ascii="Arial" w:hAnsi="Arial"/>
          <w:sz w:val="26"/>
          <w:szCs w:val="26"/>
        </w:rPr>
        <w:t xml:space="preserve"> pohľadávky - pohľadávky sa oceňujú menovitou hodnotou, pohľadávky v cudzej mene sa prepočítavajú kurzom určeným ECB  predchádzajúcemu dňu uskutočnenia účtovného prípadu a v účtovnej závierke ku dňu jej zostavenia.</w:t>
      </w:r>
    </w:p>
    <w:p>
      <w:pPr>
        <w:pStyle w:val="Normal"/>
        <w:bidi w:val="0"/>
        <w:spacing w:lineRule="auto" w:line="240"/>
        <w:jc w:val="start"/>
        <w:rPr>
          <w:rFonts w:ascii="Arial" w:hAnsi="Arial"/>
          <w:sz w:val="26"/>
          <w:szCs w:val="26"/>
        </w:rPr>
      </w:pPr>
      <w:r>
        <w:rPr>
          <w:rFonts w:ascii="Arial Black" w:hAnsi="Arial Black"/>
          <w:sz w:val="26"/>
          <w:szCs w:val="26"/>
        </w:rPr>
        <w:t>d)</w:t>
      </w:r>
      <w:r>
        <w:rPr>
          <w:rFonts w:ascii="Arial" w:hAnsi="Arial"/>
          <w:sz w:val="26"/>
          <w:szCs w:val="26"/>
        </w:rPr>
        <w:t xml:space="preserve"> krátkodobý finančný majetok sa oceňuje menovitou hodnotou. </w:t>
      </w:r>
      <w:r>
        <w:rPr>
          <w:rFonts w:ascii="Arial" w:hAnsi="Arial"/>
          <w:sz w:val="26"/>
          <w:szCs w:val="26"/>
        </w:rPr>
        <w:t>V období likvidácie bol zrušený účet v ČSOB. Spoločnosť nemá ku dňu skončenia likvidácie otvorené žiadne účty v bankových inštitúciach.Peňažné prostriedky sú sústredené v pokladni spoločnosti.</w:t>
      </w:r>
    </w:p>
    <w:p>
      <w:pPr>
        <w:pStyle w:val="Normal"/>
        <w:bidi w:val="0"/>
        <w:spacing w:lineRule="auto" w:line="240"/>
        <w:jc w:val="start"/>
        <w:rPr>
          <w:rFonts w:ascii="Arial" w:hAnsi="Arial"/>
          <w:sz w:val="26"/>
          <w:szCs w:val="26"/>
        </w:rPr>
      </w:pPr>
      <w:r>
        <w:rPr>
          <w:rFonts w:ascii="Arial Black" w:hAnsi="Arial Black"/>
          <w:sz w:val="26"/>
          <w:szCs w:val="26"/>
        </w:rPr>
        <w:t>e)</w:t>
      </w:r>
      <w:r>
        <w:rPr>
          <w:rFonts w:ascii="Arial" w:hAnsi="Arial"/>
          <w:sz w:val="26"/>
          <w:szCs w:val="26"/>
        </w:rPr>
        <w:t xml:space="preserve"> záväzky, včítane rezerv - pri oceňovaní záväzkov sa uplatňuje zásada opatrnosti t.j. berú sa v úvahu možné riziká, ktoré sa týkajú záväzkov a sú známe ku dňu zostavenia účtovnej závierky. Spoločnosť vytvára rezervy na nevyfakturované</w:t>
      </w:r>
      <w:r>
        <w:rPr>
          <w:rFonts w:ascii="Arial" w:hAnsi="Arial"/>
          <w:sz w:val="26"/>
          <w:szCs w:val="26"/>
        </w:rPr>
        <w:t xml:space="preserve">y </w:t>
      </w:r>
      <w:r>
        <w:rPr>
          <w:rFonts w:ascii="Arial" w:hAnsi="Arial"/>
          <w:sz w:val="26"/>
          <w:szCs w:val="26"/>
        </w:rPr>
        <w:t xml:space="preserve"> služby na základe zmluvných vzťahov.</w:t>
      </w:r>
    </w:p>
    <w:p>
      <w:pPr>
        <w:pStyle w:val="Normal"/>
        <w:bidi w:val="0"/>
        <w:spacing w:lineRule="auto" w:line="240"/>
        <w:jc w:val="start"/>
        <w:rPr>
          <w:rFonts w:ascii="Arial" w:hAnsi="Arial"/>
          <w:b/>
          <w:b/>
          <w:sz w:val="26"/>
          <w:szCs w:val="26"/>
        </w:rPr>
      </w:pPr>
      <w:r>
        <w:rPr>
          <w:rFonts w:ascii="Arial" w:hAnsi="Arial"/>
          <w:b/>
          <w:sz w:val="26"/>
          <w:szCs w:val="26"/>
        </w:rPr>
      </w:r>
    </w:p>
    <w:p>
      <w:pPr>
        <w:pStyle w:val="Normal"/>
        <w:bidi w:val="0"/>
        <w:spacing w:lineRule="auto" w:line="240"/>
        <w:jc w:val="start"/>
        <w:rPr>
          <w:rFonts w:ascii="Arial" w:hAnsi="Arial"/>
          <w:sz w:val="26"/>
          <w:szCs w:val="26"/>
        </w:rPr>
      </w:pPr>
      <w:r>
        <w:rPr>
          <w:rFonts w:ascii="Arial" w:hAnsi="Arial"/>
          <w:b/>
          <w:sz w:val="26"/>
          <w:szCs w:val="26"/>
        </w:rPr>
        <w:t>3/</w:t>
      </w:r>
      <w:r>
        <w:rPr>
          <w:rFonts w:ascii="Arial" w:hAnsi="Arial"/>
          <w:sz w:val="26"/>
          <w:szCs w:val="26"/>
        </w:rPr>
        <w:t xml:space="preserve"> Spoločnosť nevlastní dlhodobý hmotný a nehmotný majetok, a preto nezostavila odpisový plán.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 w:cs="Times New Roman"/>
          <w:b/>
          <w:b/>
          <w:sz w:val="26"/>
          <w:szCs w:val="26"/>
          <w:lang w:val="cs-CZ" w:eastAsia="cs-CZ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  <w:t>4/</w:t>
      </w:r>
      <w:r>
        <w:rPr>
          <w:rFonts w:cs="Times New Roman" w:ascii="Arial" w:hAnsi="Arial"/>
          <w:sz w:val="26"/>
          <w:szCs w:val="26"/>
          <w:lang w:val="cs-CZ" w:eastAsia="cs-CZ"/>
        </w:rPr>
        <w:t xml:space="preserve"> Daň z príjmov splatná - daň sa určuje z účtovného zisku pred zdanením, po úpravách na daňové úcely</w:t>
      </w:r>
      <w:r>
        <w:rPr>
          <w:rFonts w:eastAsia="Arial Narrow" w:cs="Arial Narrow" w:ascii="Arial" w:hAnsi="Arial"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 xml:space="preserve">podla zákona o daniach z príjmov pri sadzbe 15 %. 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 w:cs="Times New Roman"/>
          <w:b/>
          <w:b/>
          <w:sz w:val="26"/>
          <w:szCs w:val="26"/>
          <w:lang w:val="cs-CZ" w:eastAsia="cs-CZ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  <w:t xml:space="preserve">5/ </w:t>
      </w:r>
      <w:r>
        <w:rPr>
          <w:rFonts w:cs="Times New Roman" w:ascii="Arial" w:hAnsi="Arial"/>
          <w:sz w:val="26"/>
          <w:szCs w:val="26"/>
          <w:lang w:val="cs-CZ" w:eastAsia="cs-CZ"/>
        </w:rPr>
        <w:t>Náklady a výnosy sa časovo rozlišujú. Časovo sa nerozlišujú náklady a výnosy, ak ide o nevýznamný</w:t>
      </w:r>
      <w:r>
        <w:rPr>
          <w:rFonts w:eastAsia="Arial Narrow" w:cs="Arial Narrow" w:ascii="Arial" w:hAnsi="Arial"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>a stále sa opakujúci účtovný prípad týkajúci sa časového rozlíšenia nákladov alebo výnosov</w:t>
      </w:r>
      <w:r>
        <w:rPr>
          <w:rFonts w:eastAsia="Arial Narrow" w:cs="Arial Narrow" w:ascii="Arial" w:hAnsi="Arial"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>posledného a prvého mesiaca účtovného obdobia.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 w:cs="Times New Roman"/>
          <w:b/>
          <w:b/>
          <w:sz w:val="26"/>
          <w:szCs w:val="26"/>
          <w:lang w:val="cs-CZ" w:eastAsia="cs-CZ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Times New Roman" w:ascii="Arial" w:hAnsi="Arial"/>
          <w:b/>
          <w:sz w:val="26"/>
          <w:szCs w:val="26"/>
          <w:lang w:val="cs-CZ" w:eastAsia="cs-CZ"/>
        </w:rPr>
        <w:t xml:space="preserve">6/ </w:t>
      </w:r>
      <w:r>
        <w:rPr>
          <w:rFonts w:cs="Times New Roman" w:ascii="Arial" w:hAnsi="Arial"/>
          <w:sz w:val="26"/>
          <w:szCs w:val="26"/>
          <w:lang w:val="cs-CZ" w:eastAsia="cs-CZ"/>
        </w:rPr>
        <w:t>Na účte časového rozlíšenia sa neúčtuje ak ide o nevýznamný a stále sa opakujúci účtovný prípad,</w:t>
      </w:r>
      <w:r>
        <w:rPr>
          <w:rFonts w:eastAsia="Arial Narrow" w:cs="Arial Narrow" w:ascii="Arial" w:hAnsi="Arial"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>ktorý sa týka účtovania nákladov a výnosov medzi dvoma účtovnými obdobiami, pričom nejde o</w:t>
      </w:r>
      <w:r>
        <w:rPr>
          <w:rFonts w:eastAsia="Arial Narrow" w:cs="Arial Narrow" w:ascii="Arial" w:hAnsi="Arial"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>účtovný prípad týkajúci sa účtovania dotácií a emisných kvót.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cs="Times New Roman"/>
          <w:lang w:val="cs-CZ" w:eastAsia="cs-CZ"/>
        </w:rPr>
      </w:pPr>
      <w:r>
        <w:rPr>
          <w:rFonts w:ascii="Arial Black" w:hAnsi="Arial Black"/>
          <w:sz w:val="26"/>
          <w:szCs w:val="26"/>
        </w:rPr>
      </w:r>
    </w:p>
    <w:p>
      <w:pPr>
        <w:pStyle w:val="Default"/>
        <w:spacing w:lineRule="auto" w:line="240"/>
        <w:jc w:val="center"/>
        <w:rPr>
          <w:rFonts w:ascii="Arial Black" w:hAnsi="Arial Black" w:cs="Arial Narrow"/>
          <w:b/>
          <w:b/>
          <w:bCs/>
          <w:sz w:val="26"/>
          <w:szCs w:val="26"/>
        </w:rPr>
      </w:pPr>
      <w:r>
        <w:rPr>
          <w:rFonts w:cs="Arial Narrow" w:ascii="Arial Black" w:hAnsi="Arial Black"/>
          <w:b/>
          <w:bCs/>
          <w:sz w:val="26"/>
          <w:szCs w:val="26"/>
        </w:rPr>
        <w:t>Čl. III</w:t>
      </w:r>
    </w:p>
    <w:p>
      <w:pPr>
        <w:pStyle w:val="Normal"/>
        <w:bidi w:val="0"/>
        <w:spacing w:lineRule="auto" w:line="240"/>
        <w:jc w:val="center"/>
        <w:rPr>
          <w:rFonts w:ascii="Arial Black" w:hAnsi="Arial Black"/>
          <w:b/>
          <w:b/>
          <w:bCs/>
          <w:sz w:val="26"/>
          <w:szCs w:val="26"/>
        </w:rPr>
      </w:pPr>
      <w:r>
        <w:rPr>
          <w:rFonts w:ascii="Arial Black" w:hAnsi="Arial Black"/>
          <w:b/>
          <w:bCs/>
          <w:sz w:val="26"/>
          <w:szCs w:val="26"/>
        </w:rPr>
        <w:t>Informácie, ktoré vysvetľujú a dopĺňajú súvahu a výkaz ziskov a strát</w:t>
      </w:r>
    </w:p>
    <w:p>
      <w:pPr>
        <w:pStyle w:val="Default"/>
        <w:spacing w:lineRule="auto" w:line="240"/>
        <w:rPr>
          <w:rFonts w:ascii="Arial Black" w:hAnsi="Arial Black"/>
          <w:b/>
          <w:b/>
          <w:bCs/>
          <w:sz w:val="26"/>
          <w:szCs w:val="26"/>
        </w:rPr>
      </w:pPr>
      <w:r>
        <w:rPr>
          <w:rFonts w:ascii="Arial Black" w:hAnsi="Arial Black"/>
          <w:b/>
          <w:bCs/>
          <w:sz w:val="26"/>
          <w:szCs w:val="26"/>
        </w:rPr>
      </w:r>
    </w:p>
    <w:p>
      <w:pPr>
        <w:pStyle w:val="Default"/>
        <w:spacing w:lineRule="auto" w:line="240"/>
        <w:rPr/>
      </w:pPr>
      <w:r>
        <w:rPr>
          <w:rFonts w:cs="Arial Narrow" w:ascii="Arial Black" w:hAnsi="Arial Black"/>
          <w:b/>
          <w:sz w:val="26"/>
          <w:szCs w:val="26"/>
        </w:rPr>
        <w:t>1/</w:t>
      </w:r>
      <w:r>
        <w:rPr>
          <w:rFonts w:cs="Arial Narrow" w:ascii="Arial Black" w:hAnsi="Arial Black"/>
          <w:sz w:val="26"/>
          <w:szCs w:val="26"/>
        </w:rPr>
        <w:t xml:space="preserve">  </w:t>
      </w:r>
      <w:r>
        <w:rPr>
          <w:rFonts w:cs="Arial Narrow" w:ascii="Arial" w:hAnsi="Arial"/>
          <w:sz w:val="26"/>
          <w:szCs w:val="26"/>
        </w:rPr>
        <w:t>Spoločnosť neeviduje náklady alebo výnosy, ktoré majú výnimočný rozsah alebo výskyt</w:t>
      </w:r>
      <w:r>
        <w:rPr>
          <w:rFonts w:cs="Arial Narrow" w:ascii="Liberation Serif" w:hAnsi="Liberation Serif"/>
          <w:sz w:val="24"/>
          <w:szCs w:val="24"/>
        </w:rPr>
        <w:t>.</w:t>
      </w:r>
      <w:r>
        <w:rPr>
          <w:rFonts w:eastAsia="Arial Narrow"/>
        </w:rPr>
        <w:t xml:space="preserve">    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Times New Roman" w:ascii="Arial Black" w:hAnsi="Arial Black"/>
          <w:b/>
          <w:sz w:val="26"/>
          <w:szCs w:val="26"/>
          <w:lang w:val="cs-CZ" w:eastAsia="cs-CZ"/>
        </w:rPr>
        <w:t>2/</w:t>
      </w:r>
      <w:r>
        <w:rPr>
          <w:rFonts w:cs="Times New Roman" w:ascii="Arial" w:hAnsi="Arial"/>
          <w:b/>
          <w:sz w:val="26"/>
          <w:szCs w:val="26"/>
          <w:lang w:val="cs-CZ" w:eastAsia="cs-CZ"/>
        </w:rPr>
        <w:t xml:space="preserve"> </w:t>
      </w:r>
      <w:r>
        <w:rPr>
          <w:rFonts w:cs="Times New Roman" w:ascii="Arial" w:hAnsi="Arial"/>
          <w:sz w:val="26"/>
          <w:szCs w:val="26"/>
          <w:lang w:val="cs-CZ" w:eastAsia="cs-CZ"/>
        </w:rPr>
        <w:t xml:space="preserve"> Informácie o záväzkoch, a t</w:t>
      </w:r>
      <w:r>
        <w:rPr>
          <w:rFonts w:cs="Times New Roman" w:ascii="Arial" w:hAnsi="Arial"/>
          <w:sz w:val="26"/>
          <w:szCs w:val="26"/>
          <w:lang w:val="cs-CZ" w:eastAsia="cs-CZ"/>
        </w:rPr>
        <w:t>o: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Times New Roman" w:ascii="Arial" w:hAnsi="Arial"/>
          <w:sz w:val="26"/>
          <w:szCs w:val="26"/>
          <w:lang w:val="cs-CZ" w:eastAsia="cs-CZ"/>
        </w:rPr>
        <w:t xml:space="preserve">a/ </w:t>
      </w:r>
      <w:r>
        <w:rPr>
          <w:rFonts w:cs="Arial Narrow" w:ascii="Arial" w:hAnsi="Arial"/>
          <w:sz w:val="26"/>
          <w:szCs w:val="26"/>
          <w:lang w:val="cs-CZ" w:eastAsia="cs-CZ"/>
        </w:rPr>
        <w:t>celkovej sume záväzkov so zostatkovou dobou splatnosti dlhšou ako päť rokov – spoločnosť ne</w:t>
      </w:r>
      <w:r>
        <w:rPr>
          <w:rFonts w:cs="Arial Narrow" w:ascii="Arial" w:hAnsi="Arial"/>
          <w:sz w:val="26"/>
          <w:szCs w:val="26"/>
          <w:lang w:val="cs-CZ" w:eastAsia="cs-CZ"/>
        </w:rPr>
        <w:t>eviduje</w:t>
      </w:r>
      <w:r>
        <w:rPr>
          <w:rFonts w:cs="Arial Narrow" w:ascii="Arial" w:hAnsi="Arial"/>
          <w:sz w:val="26"/>
          <w:szCs w:val="26"/>
          <w:lang w:val="cs-CZ" w:eastAsia="cs-CZ"/>
        </w:rPr>
        <w:t xml:space="preserve"> záväzky so zostatkovou dobou splatnosti dlhšou ako päť rokov.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cs="Arial Narrow"/>
          <w:lang w:val="cs-CZ" w:eastAsia="cs-CZ"/>
        </w:rPr>
      </w:pPr>
      <w:r>
        <w:rPr>
          <w:rFonts w:ascii="Arial" w:hAnsi="Arial"/>
          <w:sz w:val="26"/>
          <w:szCs w:val="26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Arial Narrow" w:ascii="Arial" w:hAnsi="Arial"/>
          <w:sz w:val="26"/>
          <w:szCs w:val="26"/>
          <w:lang w:val="cs-CZ" w:eastAsia="cs-CZ"/>
        </w:rPr>
        <w:t>Za obdobie likvidácie spoločnosť vykázala účtovnú aj daňovú stratu, bez vykázania pripočítateľných a odpočítateľných položiek. Účtovná strata bude vysporiadaná v likvidačnom zostatku s ostatnými položkami vlastného imania.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cs="Arial Narrow"/>
          <w:lang w:val="cs-CZ" w:eastAsia="cs-CZ"/>
        </w:rPr>
      </w:pPr>
      <w:r>
        <w:rPr>
          <w:rFonts w:ascii="Arial" w:hAnsi="Arial"/>
          <w:sz w:val="26"/>
          <w:szCs w:val="26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cs="Arial Narrow"/>
          <w:lang w:val="cs-CZ" w:eastAsia="cs-CZ"/>
        </w:rPr>
      </w:pPr>
      <w:r>
        <w:rPr>
          <w:rFonts w:ascii="Arial" w:hAnsi="Arial"/>
          <w:sz w:val="26"/>
          <w:szCs w:val="26"/>
        </w:rPr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ascii="Arial" w:hAnsi="Arial"/>
          <w:sz w:val="26"/>
          <w:szCs w:val="26"/>
        </w:rPr>
      </w:pPr>
      <w:r>
        <w:rPr>
          <w:rFonts w:cs="Arial Narrow" w:ascii="Arial" w:hAnsi="Arial"/>
          <w:sz w:val="26"/>
          <w:szCs w:val="26"/>
          <w:lang w:val="cs-CZ" w:eastAsia="cs-CZ"/>
        </w:rPr>
        <w:t>Zostavené dňa: 20.12.2021</w:t>
      </w:r>
    </w:p>
    <w:p>
      <w:pPr>
        <w:pStyle w:val="Normal"/>
        <w:autoSpaceDE w:val="false"/>
        <w:bidi w:val="0"/>
        <w:spacing w:lineRule="auto" w:line="240" w:before="0" w:after="0"/>
        <w:jc w:val="start"/>
        <w:rPr>
          <w:rFonts w:cs="Arial Narrow"/>
          <w:lang w:val="cs-CZ" w:eastAsia="cs-CZ"/>
        </w:rPr>
      </w:pPr>
      <w:r>
        <w:rPr>
          <w:rFonts w:ascii="Arial" w:hAnsi="Arial"/>
          <w:sz w:val="26"/>
          <w:szCs w:val="26"/>
        </w:rPr>
      </w:r>
    </w:p>
    <w:p>
      <w:pPr>
        <w:pStyle w:val="Normal"/>
        <w:bidi w:val="0"/>
        <w:spacing w:lineRule="auto" w:line="240" w:before="0" w:after="220"/>
        <w:jc w:val="start"/>
        <w:rPr>
          <w:rFonts w:ascii="Arial" w:hAnsi="Arial" w:cs="Times New Roman"/>
          <w:bCs w:val="false"/>
          <w:sz w:val="26"/>
          <w:szCs w:val="26"/>
          <w:lang w:val="cs-CZ" w:eastAsia="cs-CZ"/>
        </w:rPr>
      </w:pPr>
      <w:r>
        <w:rPr>
          <w:rFonts w:cs="Times New Roman" w:ascii="Arial" w:hAnsi="Arial"/>
          <w:bCs w:val="false"/>
          <w:sz w:val="26"/>
          <w:szCs w:val="26"/>
          <w:lang w:val="cs-CZ" w:eastAsia="cs-CZ"/>
        </w:rPr>
      </w:r>
    </w:p>
    <w:sectPr>
      <w:headerReference w:type="default" r:id="rId2"/>
      <w:type w:val="nextPage"/>
      <w:pgSz w:w="11906" w:h="16838"/>
      <w:pgMar w:left="1134" w:right="1134" w:gutter="0" w:header="1134" w:top="1693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Arial">
    <w:charset w:val="01"/>
    <w:family w:val="swiss"/>
    <w:pitch w:val="variable"/>
  </w:font>
  <w:font w:name="Arial Black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suppressLineNumbers/>
      <w:bidi w:val="0"/>
      <w:jc w:val="start"/>
      <w:rPr/>
    </w:pPr>
    <w:r>
      <w:rPr/>
    </w:r>
  </w:p>
</w:hdr>
</file>

<file path=word/settings.xml><?xml version="1.0" encoding="utf-8"?>
<w:settings xmlns:w="http://schemas.openxmlformats.org/wordprocessingml/2006/main">
  <w:zoom w:percent="48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pPr>
      <w:spacing w:lineRule="auto" w:line="276" w:before="0" w:after="140"/>
    </w:pPr>
    <w:rPr/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  <w:lang w:val="zxx" w:eastAsia="zxx" w:bidi="zxx"/>
    </w:rPr>
  </w:style>
  <w:style w:type="paragraph" w:styleId="Default">
    <w:name w:val="Default"/>
    <w:qFormat/>
    <w:pPr>
      <w:widowControl/>
      <w:autoSpaceDE w:val="false"/>
      <w:bidi w:val="0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cs-CZ" w:bidi="ar-SA" w:eastAsia="zh-CN"/>
    </w:rPr>
  </w:style>
  <w:style w:type="paragraph" w:styleId="Zhlavazpat">
    <w:name w:val="Záhlaví a zápatí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Zhlav">
    <w:name w:val="Header"/>
    <w:basedOn w:val="Zhlavazpat"/>
    <w:pPr>
      <w:suppressLineNumbers/>
    </w:pPr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LibreOffice/7.2.7.2$Windows_X86_64 LibreOffice_project/8d71d29d553c0f7dcbfa38fbfda25ee34cce99a2</Application>
  <AppVersion>15.0000</AppVersion>
  <Pages>2</Pages>
  <Words>424</Words>
  <Characters>2380</Characters>
  <CharactersWithSpaces>2814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2024-12-21T11:43:05Z</dcterms:modified>
  <cp:revision>1</cp:revision>
  <dc:subject/>
  <dc:title/>
</cp:coreProperties>
</file>