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0EBF" w:rsidRDefault="00C224F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Poznámky Úč. MUJ 3 – 01</w:t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 xml:space="preserve"> IČO: 50 857 827</w:t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 DIČ: 21 20 504 782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numPr>
          <w:ilvl w:val="0"/>
          <w:numId w:val="1"/>
        </w:numPr>
        <w:spacing w:after="0" w:line="240" w:lineRule="auto"/>
        <w:ind w:left="1080" w:hanging="72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VŠEOBECNÉ ÚDAJE 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numPr>
          <w:ilvl w:val="0"/>
          <w:numId w:val="2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  <w:u w:val="single"/>
        </w:rPr>
        <w:t>Obchodné meno:</w:t>
      </w:r>
      <w:r>
        <w:rPr>
          <w:rFonts w:ascii="Times New Roman" w:eastAsia="Times New Roman" w:hAnsi="Times New Roman" w:cs="Times New Roman"/>
          <w:sz w:val="24"/>
        </w:rPr>
        <w:t xml:space="preserve"> ASWA Consulting s. r.o. (ďalej len „spoločnosť“) </w:t>
      </w:r>
    </w:p>
    <w:p w:rsidR="00CC0EBF" w:rsidRDefault="00C224F0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  <w:u w:val="single"/>
        </w:rPr>
        <w:t>Sídlo:</w:t>
      </w:r>
      <w:r>
        <w:rPr>
          <w:rFonts w:ascii="Times New Roman" w:eastAsia="Times New Roman" w:hAnsi="Times New Roman" w:cs="Times New Roman"/>
          <w:sz w:val="24"/>
        </w:rPr>
        <w:t xml:space="preserve"> Čajkovského 40, 949 11 Nitra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numPr>
          <w:ilvl w:val="0"/>
          <w:numId w:val="3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sz w:val="24"/>
          <w:u w:val="single"/>
        </w:rPr>
      </w:pPr>
      <w:r>
        <w:rPr>
          <w:rFonts w:ascii="Times New Roman" w:eastAsia="Times New Roman" w:hAnsi="Times New Roman" w:cs="Times New Roman"/>
          <w:sz w:val="24"/>
          <w:u w:val="single"/>
        </w:rPr>
        <w:t xml:space="preserve">Údaje o konsolidovanom celku </w:t>
      </w:r>
    </w:p>
    <w:p w:rsidR="00CC0EBF" w:rsidRDefault="00C224F0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ab/>
      </w:r>
    </w:p>
    <w:p w:rsidR="00CC0EBF" w:rsidRDefault="00C224F0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ab/>
        <w:t xml:space="preserve">Spoločnosť nie je súčasťou konsolidovaného celku a spoločnosť nie je materskou </w:t>
      </w:r>
      <w:r>
        <w:rPr>
          <w:rFonts w:ascii="Times New Roman" w:eastAsia="Times New Roman" w:hAnsi="Times New Roman" w:cs="Times New Roman"/>
          <w:sz w:val="24"/>
        </w:rPr>
        <w:tab/>
        <w:t xml:space="preserve">účtovnou jednotkou. 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numPr>
          <w:ilvl w:val="0"/>
          <w:numId w:val="4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sz w:val="24"/>
          <w:u w:val="single"/>
        </w:rPr>
      </w:pPr>
      <w:r>
        <w:rPr>
          <w:rFonts w:ascii="Times New Roman" w:eastAsia="Times New Roman" w:hAnsi="Times New Roman" w:cs="Times New Roman"/>
          <w:sz w:val="24"/>
          <w:u w:val="single"/>
        </w:rPr>
        <w:t xml:space="preserve">Počet zamestnancov </w:t>
      </w:r>
    </w:p>
    <w:p w:rsidR="00CC0EBF" w:rsidRDefault="00CC0EBF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Priemerný </w:t>
      </w:r>
      <w:r w:rsidR="00C71907">
        <w:rPr>
          <w:rFonts w:ascii="Times New Roman" w:eastAsia="Times New Roman" w:hAnsi="Times New Roman" w:cs="Times New Roman"/>
          <w:sz w:val="24"/>
        </w:rPr>
        <w:t>počet zamestnancov ku 31.12.</w:t>
      </w:r>
      <w:r w:rsidR="00E86BCD">
        <w:rPr>
          <w:rFonts w:ascii="Times New Roman" w:eastAsia="Times New Roman" w:hAnsi="Times New Roman" w:cs="Times New Roman"/>
          <w:sz w:val="24"/>
        </w:rPr>
        <w:t>2024</w:t>
      </w:r>
      <w:r>
        <w:rPr>
          <w:rFonts w:ascii="Times New Roman" w:eastAsia="Times New Roman" w:hAnsi="Times New Roman" w:cs="Times New Roman"/>
          <w:sz w:val="24"/>
        </w:rPr>
        <w:t xml:space="preserve"> je 1.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numPr>
          <w:ilvl w:val="0"/>
          <w:numId w:val="5"/>
        </w:numPr>
        <w:spacing w:after="0" w:line="240" w:lineRule="auto"/>
        <w:ind w:left="1080" w:hanging="72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 PRIJATÝCH POSTUPOCH 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numPr>
          <w:ilvl w:val="0"/>
          <w:numId w:val="6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sz w:val="24"/>
          <w:u w:val="single"/>
        </w:rPr>
      </w:pPr>
      <w:r>
        <w:rPr>
          <w:rFonts w:ascii="Times New Roman" w:eastAsia="Times New Roman" w:hAnsi="Times New Roman" w:cs="Times New Roman"/>
          <w:sz w:val="24"/>
          <w:u w:val="single"/>
        </w:rPr>
        <w:t xml:space="preserve">Východiská pre zostavenie účtovnej závierky </w:t>
      </w:r>
    </w:p>
    <w:p w:rsidR="00CC0EBF" w:rsidRDefault="00CC0EBF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Účtovná závierka bola zostavená za predpokladu, že spoločnosť bude nepretržite pokračovať vo svojej činnosti. 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numPr>
          <w:ilvl w:val="0"/>
          <w:numId w:val="7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sz w:val="24"/>
          <w:u w:val="single"/>
        </w:rPr>
      </w:pPr>
      <w:r>
        <w:rPr>
          <w:rFonts w:ascii="Times New Roman" w:eastAsia="Times New Roman" w:hAnsi="Times New Roman" w:cs="Times New Roman"/>
          <w:sz w:val="24"/>
          <w:u w:val="single"/>
        </w:rPr>
        <w:t xml:space="preserve">Spôsob oceňovanie jednotlivých zložiek majetku a záväzkov a to 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647"/>
        <w:gridCol w:w="425"/>
      </w:tblGrid>
      <w:tr w:rsidR="00CC0EBF">
        <w:trPr>
          <w:trHeight w:val="1"/>
          <w:jc w:val="center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Obstarávacou cenou </w:t>
            </w: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hmotný majetok s výnimkou hmotného majetku vytvoreného vlastnou činnosťou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X</w:t>
            </w: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zásoby s výnimkou zásob vytvorených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podiely na ZI obchodných spoločností, cenné papiere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pohľadávky pri odplatnom nadobudnutí alebo pohľadávky nadobudnuté vkladom do ZI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nehmotný majetok s výnimkou nehmotného majetku vytvoreného vlastnou činnosťou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záväzky pri ich prevzatí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647"/>
        <w:gridCol w:w="425"/>
      </w:tblGrid>
      <w:tr w:rsidR="00CC0EBF">
        <w:trPr>
          <w:trHeight w:val="1"/>
          <w:jc w:val="center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Vlastnými nákladmi </w:t>
            </w: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hmotný majetok vytvorený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zásoby vytvorené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nehmotný majetok vytvorený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príchovky a prírastky zvierat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6155E" w:rsidRDefault="00A6155E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bookmarkStart w:id="0" w:name="_GoBack"/>
      <w:bookmarkEnd w:id="0"/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647"/>
        <w:gridCol w:w="425"/>
      </w:tblGrid>
      <w:tr w:rsidR="00CC0EBF">
        <w:trPr>
          <w:trHeight w:val="1"/>
          <w:jc w:val="center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Menovitou hodnotou </w:t>
            </w: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lastRenderedPageBreak/>
              <w:t xml:space="preserve">peňažné prostriedky a ceniny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X</w:t>
            </w: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pohľadávky pri ich vzniku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X</w:t>
            </w: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záväzky pri ich vzniku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X</w:t>
            </w:r>
          </w:p>
        </w:tc>
      </w:tr>
    </w:tbl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647"/>
        <w:gridCol w:w="425"/>
      </w:tblGrid>
      <w:tr w:rsidR="00CC0EBF">
        <w:trPr>
          <w:trHeight w:val="1"/>
          <w:jc w:val="center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Reálnou hodnotou </w:t>
            </w: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nehmotný a hmotný majetok novozistený pri inventarizácii a v účtovníctve doteraz nezachytený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647"/>
        <w:gridCol w:w="425"/>
      </w:tblGrid>
      <w:tr w:rsidR="00CC0EBF">
        <w:trPr>
          <w:trHeight w:val="1"/>
          <w:jc w:val="center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Úbytok zásob rovnakého druhu sa účtuje v ocenení</w:t>
            </w: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Cenou zistenou váženým aritmetickým priemerom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Metódou FIFO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Obstarávacia cena zásob sa rozdeľuje na cenu za ktoré sa zásoby obstarali a náklady súvisiace s obstaraním (VON).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Pri vyskladnení sa VON rozpúšťajú nasledovne: VON/(PS zásob + príjem zásob) x výdaj zásob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642"/>
        <w:gridCol w:w="430"/>
      </w:tblGrid>
      <w:tr w:rsidR="00CC0EBF">
        <w:trPr>
          <w:trHeight w:val="1"/>
          <w:jc w:val="center"/>
        </w:trPr>
        <w:tc>
          <w:tcPr>
            <w:tcW w:w="8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Výdavky budúcich období a príjmy budúcich období sa vykazujú vo výške, ktorá je potrebná na dodržanie zásady vecnej a časovej súvislosti s účtovným obdobím. </w:t>
            </w:r>
          </w:p>
        </w:tc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986856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X</w:t>
            </w:r>
          </w:p>
        </w:tc>
      </w:tr>
      <w:tr w:rsidR="00CC0EBF">
        <w:trPr>
          <w:trHeight w:val="1"/>
          <w:jc w:val="center"/>
        </w:trPr>
        <w:tc>
          <w:tcPr>
            <w:tcW w:w="8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Rezervy sú záväzky s neurčitým časovým vymedzením alebo výškou; tvoria sa na krytie známych rizík alebo strát z podnikania. Oceňujú sa v očakávanej výške záväzku. </w:t>
            </w:r>
          </w:p>
        </w:tc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C0EBF">
        <w:trPr>
          <w:trHeight w:val="1"/>
          <w:jc w:val="center"/>
        </w:trPr>
        <w:tc>
          <w:tcPr>
            <w:tcW w:w="8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Prenajatý majetok a majetok obstaraný na základe zmluvy o kúpe prenajatej veci - v ocenení rovnajúcom istine a náklady súvisiace s obstaraním </w:t>
            </w:r>
          </w:p>
        </w:tc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C0EBF">
        <w:trPr>
          <w:trHeight w:val="1"/>
          <w:jc w:val="center"/>
        </w:trPr>
        <w:tc>
          <w:tcPr>
            <w:tcW w:w="8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Daň z príjmov splatná – daň sa určuje z účtovného zisku pred zdanením, po úpravách na daňové účely podľa zákona o</w:t>
            </w:r>
            <w:r w:rsidR="00712D2A">
              <w:rPr>
                <w:rFonts w:ascii="Times New Roman" w:eastAsia="Times New Roman" w:hAnsi="Times New Roman" w:cs="Times New Roman"/>
                <w:sz w:val="24"/>
              </w:rPr>
              <w:t xml:space="preserve"> daniach z príjmov pri sadzbe 21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%   </w:t>
            </w:r>
          </w:p>
        </w:tc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X</w:t>
            </w:r>
          </w:p>
        </w:tc>
      </w:tr>
      <w:tr w:rsidR="00CC0EBF">
        <w:trPr>
          <w:trHeight w:val="1"/>
          <w:jc w:val="center"/>
        </w:trPr>
        <w:tc>
          <w:tcPr>
            <w:tcW w:w="8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Náklady a výnosy časovo rozlišujú. Časovo sa nerozlišujú náklady a výnosy, ak ide o nevýznamný a stále sa opakujúci účtovný prípad týkajúci sa časového rozlíšenia nákladov alebo výnosov posledného a prvého mesiaca účtovného obdobia.  </w:t>
            </w:r>
          </w:p>
        </w:tc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X</w:t>
            </w:r>
          </w:p>
        </w:tc>
      </w:tr>
      <w:tr w:rsidR="00CC0EBF">
        <w:trPr>
          <w:trHeight w:val="1"/>
          <w:jc w:val="center"/>
        </w:trPr>
        <w:tc>
          <w:tcPr>
            <w:tcW w:w="8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Na účte časového rozlíšenia sa neúčtuje ak ide o nevýznamný a stále sa opakujúci účtovný prípad, ktorý sa týka účtovania nákladov a výnosov medzi dvoma účtovnými obdobiami, pričom nejde o účtovný prípad týkajúci sa účtovania dotácií a emisných kvót.  </w:t>
            </w:r>
          </w:p>
        </w:tc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numPr>
          <w:ilvl w:val="0"/>
          <w:numId w:val="8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sz w:val="24"/>
          <w:u w:val="single"/>
        </w:rPr>
      </w:pPr>
      <w:r>
        <w:rPr>
          <w:rFonts w:ascii="Times New Roman" w:eastAsia="Times New Roman" w:hAnsi="Times New Roman" w:cs="Times New Roman"/>
          <w:sz w:val="24"/>
          <w:u w:val="single"/>
        </w:rPr>
        <w:t xml:space="preserve">Spôsob zostavenia odpisového plánu pre jednotlivé druhy dlhodobého hmotného a nehmotného majetku 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ab/>
        <w:t xml:space="preserve">Odpisy dlhodobého hmotného majetku sú stanovené vychádzajúc z predpokladanej doby jeho používania a predpokladaného priebehu jeho opotrebenia. Odpisovať sa začína v mesiaci, v ktorom bol dlhodobý hmotný majetok uvedený do používania a </w:t>
      </w:r>
      <w:r>
        <w:rPr>
          <w:rFonts w:ascii="Times New Roman" w:eastAsia="Times New Roman" w:hAnsi="Times New Roman" w:cs="Times New Roman"/>
          <w:sz w:val="24"/>
        </w:rPr>
        <w:tab/>
        <w:t xml:space="preserve">zaúčtuje sa ku dňu ku ktorému sú splnené všetky technické predpoklady potrebné k užívaniu majetku a sú splnené všetky povinností stanovené príslušnými predpismi. Drobný dlhodobý hmotný majetok, ktorého obstarávacia cena (resp. vlastné náklady) je 1 700 EUR a nižšia, sa odpisuje jednorazovo pri uvedení do používania. Pozemky sa neodpisujú. Predpokladaná doba používania, metóda odpisovania a odpisová  sadzba sú uvedené v nasledujúcej tabuľke: 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03"/>
        <w:gridCol w:w="2150"/>
        <w:gridCol w:w="1444"/>
        <w:gridCol w:w="1878"/>
      </w:tblGrid>
      <w:tr w:rsidR="00CC0EBF">
        <w:trPr>
          <w:jc w:val="center"/>
        </w:trPr>
        <w:tc>
          <w:tcPr>
            <w:tcW w:w="2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C0EBF" w:rsidRDefault="00C224F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Dlhodobý hmotný majetok - odpisy</w:t>
            </w:r>
          </w:p>
        </w:tc>
        <w:tc>
          <w:tcPr>
            <w:tcW w:w="2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C0EBF" w:rsidRDefault="00C224F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Predpokladaná doba používania v rokoch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C0EBF" w:rsidRDefault="00C224F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Metóda odpisovania</w:t>
            </w:r>
          </w:p>
        </w:tc>
        <w:tc>
          <w:tcPr>
            <w:tcW w:w="1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C0EBF" w:rsidRDefault="00C224F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Ročná odpisová sadzba v %</w:t>
            </w:r>
          </w:p>
        </w:tc>
      </w:tr>
      <w:tr w:rsidR="00CC0EBF">
        <w:trPr>
          <w:trHeight w:val="1"/>
          <w:jc w:val="center"/>
        </w:trPr>
        <w:tc>
          <w:tcPr>
            <w:tcW w:w="2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C0EBF" w:rsidRDefault="00C224F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Dopravné prostriedky</w:t>
            </w:r>
          </w:p>
        </w:tc>
        <w:tc>
          <w:tcPr>
            <w:tcW w:w="2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C0EBF" w:rsidRDefault="00C224F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4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C0EBF" w:rsidRDefault="00C224F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rovnomerná</w:t>
            </w:r>
          </w:p>
        </w:tc>
        <w:tc>
          <w:tcPr>
            <w:tcW w:w="1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C0EBF" w:rsidRDefault="00C224F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25</w:t>
            </w:r>
          </w:p>
        </w:tc>
      </w:tr>
    </w:tbl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numPr>
          <w:ilvl w:val="0"/>
          <w:numId w:val="9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sz w:val="24"/>
          <w:u w:val="single"/>
        </w:rPr>
      </w:pPr>
      <w:r>
        <w:rPr>
          <w:rFonts w:ascii="Times New Roman" w:eastAsia="Times New Roman" w:hAnsi="Times New Roman" w:cs="Times New Roman"/>
          <w:sz w:val="24"/>
          <w:u w:val="single"/>
        </w:rPr>
        <w:t xml:space="preserve">Zmeny účtovných zásad a účtovných metód 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 w:rsidP="00C224F0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Účtovné metódy a všeobecné účtovné zásady boli účtovnou jednotkou konzistentne aplikované počas celého účtovného obdobia. 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numPr>
          <w:ilvl w:val="0"/>
          <w:numId w:val="10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sz w:val="24"/>
          <w:u w:val="single"/>
        </w:rPr>
      </w:pPr>
      <w:r>
        <w:rPr>
          <w:rFonts w:ascii="Times New Roman" w:eastAsia="Times New Roman" w:hAnsi="Times New Roman" w:cs="Times New Roman"/>
          <w:sz w:val="24"/>
          <w:u w:val="single"/>
        </w:rPr>
        <w:t xml:space="preserve">Informácie o účtovaní významných opráv chýb minulých účtovných období 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71907" w:rsidP="00C224F0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V účtovnom období </w:t>
      </w:r>
      <w:r w:rsidR="00E86BCD">
        <w:rPr>
          <w:rFonts w:ascii="Times New Roman" w:eastAsia="Times New Roman" w:hAnsi="Times New Roman" w:cs="Times New Roman"/>
          <w:sz w:val="24"/>
        </w:rPr>
        <w:t>2024</w:t>
      </w:r>
      <w:r w:rsidR="00C224F0">
        <w:rPr>
          <w:rFonts w:ascii="Times New Roman" w:eastAsia="Times New Roman" w:hAnsi="Times New Roman" w:cs="Times New Roman"/>
          <w:sz w:val="24"/>
        </w:rPr>
        <w:t xml:space="preserve"> spoločnosť nevykonala opravu chýb minulých účtovných období.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numPr>
          <w:ilvl w:val="0"/>
          <w:numId w:val="11"/>
        </w:numPr>
        <w:spacing w:after="0" w:line="240" w:lineRule="auto"/>
        <w:ind w:left="1080" w:hanging="72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INFORMÁCIE, KTORÉ VYSVETĽUJÚ A DOPĹŇAJÚ SÚVAHU A VÝKAZ ZISKOV A STRÁT 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numPr>
          <w:ilvl w:val="0"/>
          <w:numId w:val="12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sz w:val="24"/>
          <w:u w:val="single"/>
        </w:rPr>
      </w:pPr>
      <w:r>
        <w:rPr>
          <w:rFonts w:ascii="Times New Roman" w:eastAsia="Times New Roman" w:hAnsi="Times New Roman" w:cs="Times New Roman"/>
          <w:sz w:val="24"/>
          <w:u w:val="single"/>
        </w:rPr>
        <w:t xml:space="preserve">Informácie o záväzkoch 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tbl>
      <w:tblPr>
        <w:tblW w:w="0" w:type="auto"/>
        <w:tblInd w:w="704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670"/>
        <w:gridCol w:w="2682"/>
      </w:tblGrid>
      <w:tr w:rsidR="00CC0EBF">
        <w:trPr>
          <w:trHeight w:val="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Názov položky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Bežné účtovné obdobie</w:t>
            </w:r>
          </w:p>
        </w:tc>
      </w:tr>
      <w:tr w:rsidR="00CC0EBF">
        <w:trPr>
          <w:trHeight w:val="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Dlhodobé záväzky spolu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</w:tr>
      <w:tr w:rsidR="00CC0EBF">
        <w:trPr>
          <w:trHeight w:val="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Záväzky so zostatkovou dobou splatnosti nad päť rokov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</w:tr>
      <w:tr w:rsidR="00CC0EBF">
        <w:trPr>
          <w:trHeight w:val="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Záväzky so zostatkovou dobou splatnosti jeden rok až päť rokov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</w:tr>
      <w:tr w:rsidR="00CC0EBF">
        <w:trPr>
          <w:trHeight w:val="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Krátkodobé záväzky spolu            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98685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25</w:t>
            </w:r>
          </w:p>
        </w:tc>
      </w:tr>
      <w:tr w:rsidR="00CC0EBF">
        <w:trPr>
          <w:trHeight w:val="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Záväzky so zostatkovou dobou splatnosti do jedného roka vrátane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98685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25</w:t>
            </w:r>
          </w:p>
        </w:tc>
      </w:tr>
      <w:tr w:rsidR="00CC0EBF">
        <w:trPr>
          <w:trHeight w:val="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Záväzky po lehote splatnosti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</w:tr>
    </w:tbl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numPr>
          <w:ilvl w:val="0"/>
          <w:numId w:val="13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sz w:val="24"/>
          <w:u w:val="single"/>
        </w:rPr>
      </w:pPr>
      <w:r>
        <w:rPr>
          <w:rFonts w:ascii="Times New Roman" w:eastAsia="Times New Roman" w:hAnsi="Times New Roman" w:cs="Times New Roman"/>
          <w:sz w:val="24"/>
          <w:u w:val="single"/>
        </w:rPr>
        <w:t xml:space="preserve">Informácie o povinnostiach účtovnej jednotky 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224F0" w:rsidRDefault="00C224F0" w:rsidP="00C224F0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Vzhľadom na to, že mnohé oblasti slovenského daňového práva doteraz neboli </w:t>
      </w:r>
    </w:p>
    <w:p w:rsidR="00CC0EBF" w:rsidRDefault="00C224F0" w:rsidP="00C224F0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 </w:t>
      </w:r>
    </w:p>
    <w:p w:rsidR="00CC0EBF" w:rsidRDefault="00CC0EB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CC0EBF" w:rsidRDefault="00CC0EBF">
      <w:pPr>
        <w:spacing w:after="0" w:line="240" w:lineRule="auto"/>
        <w:rPr>
          <w:rFonts w:ascii="Calibri" w:eastAsia="Calibri" w:hAnsi="Calibri" w:cs="Calibri"/>
          <w:sz w:val="24"/>
        </w:rPr>
      </w:pPr>
    </w:p>
    <w:sectPr w:rsidR="00CC0EBF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C250FD"/>
    <w:multiLevelType w:val="multilevel"/>
    <w:tmpl w:val="933AC3C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289F0ADA"/>
    <w:multiLevelType w:val="multilevel"/>
    <w:tmpl w:val="12140E7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3A093512"/>
    <w:multiLevelType w:val="multilevel"/>
    <w:tmpl w:val="76EEE57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3C6B180B"/>
    <w:multiLevelType w:val="multilevel"/>
    <w:tmpl w:val="190A074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3D77514F"/>
    <w:multiLevelType w:val="multilevel"/>
    <w:tmpl w:val="0B6693F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40E250FD"/>
    <w:multiLevelType w:val="multilevel"/>
    <w:tmpl w:val="833C0A9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566232BD"/>
    <w:multiLevelType w:val="multilevel"/>
    <w:tmpl w:val="6142A34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61EF6C08"/>
    <w:multiLevelType w:val="multilevel"/>
    <w:tmpl w:val="616AB9F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65BB11E9"/>
    <w:multiLevelType w:val="multilevel"/>
    <w:tmpl w:val="872E777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6E5A4905"/>
    <w:multiLevelType w:val="multilevel"/>
    <w:tmpl w:val="0BD6789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72643491"/>
    <w:multiLevelType w:val="multilevel"/>
    <w:tmpl w:val="B0E61D3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77430FE6"/>
    <w:multiLevelType w:val="multilevel"/>
    <w:tmpl w:val="5272421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786222EF"/>
    <w:multiLevelType w:val="multilevel"/>
    <w:tmpl w:val="CE6CA58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6"/>
  </w:num>
  <w:num w:numId="2">
    <w:abstractNumId w:val="10"/>
  </w:num>
  <w:num w:numId="3">
    <w:abstractNumId w:val="4"/>
  </w:num>
  <w:num w:numId="4">
    <w:abstractNumId w:val="11"/>
  </w:num>
  <w:num w:numId="5">
    <w:abstractNumId w:val="12"/>
  </w:num>
  <w:num w:numId="6">
    <w:abstractNumId w:val="7"/>
  </w:num>
  <w:num w:numId="7">
    <w:abstractNumId w:val="5"/>
  </w:num>
  <w:num w:numId="8">
    <w:abstractNumId w:val="3"/>
  </w:num>
  <w:num w:numId="9">
    <w:abstractNumId w:val="1"/>
  </w:num>
  <w:num w:numId="10">
    <w:abstractNumId w:val="0"/>
  </w:num>
  <w:num w:numId="11">
    <w:abstractNumId w:val="9"/>
  </w:num>
  <w:num w:numId="12">
    <w:abstractNumId w:val="2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0EBF"/>
    <w:rsid w:val="00127FD3"/>
    <w:rsid w:val="0029347E"/>
    <w:rsid w:val="00657DAD"/>
    <w:rsid w:val="00712D2A"/>
    <w:rsid w:val="00986856"/>
    <w:rsid w:val="00A6155E"/>
    <w:rsid w:val="00BA4474"/>
    <w:rsid w:val="00C224F0"/>
    <w:rsid w:val="00C71907"/>
    <w:rsid w:val="00CC0EBF"/>
    <w:rsid w:val="00E005AA"/>
    <w:rsid w:val="00E86B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043A54"/>
  <w15:docId w15:val="{7D84F243-540F-458F-87CC-24DDBD28FD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762</Words>
  <Characters>4344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samkomario</dc:creator>
  <cp:lastModifiedBy>samkomario</cp:lastModifiedBy>
  <cp:revision>5</cp:revision>
  <dcterms:created xsi:type="dcterms:W3CDTF">2025-01-19T11:07:00Z</dcterms:created>
  <dcterms:modified xsi:type="dcterms:W3CDTF">2025-01-19T11:11:00Z</dcterms:modified>
</cp:coreProperties>
</file>