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648FA" w14:textId="77777777" w:rsidR="00BF1376" w:rsidRDefault="00BF1376" w:rsidP="00AB6E10">
      <w:pPr>
        <w:pStyle w:val="Default"/>
        <w:ind w:left="3540" w:firstLine="708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Čl. I </w:t>
      </w:r>
    </w:p>
    <w:p w14:paraId="03AA97FC" w14:textId="77777777" w:rsidR="00BF1376" w:rsidRDefault="00BF1376" w:rsidP="00AB6E10">
      <w:pPr>
        <w:pStyle w:val="Default"/>
        <w:ind w:left="2832" w:firstLine="708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Všeobecné údaje </w:t>
      </w:r>
    </w:p>
    <w:p w14:paraId="42954702" w14:textId="77777777" w:rsidR="00AB6E10" w:rsidRDefault="00AB6E10" w:rsidP="00BF1376">
      <w:pPr>
        <w:pStyle w:val="Default"/>
        <w:rPr>
          <w:sz w:val="23"/>
          <w:szCs w:val="23"/>
        </w:rPr>
      </w:pPr>
    </w:p>
    <w:p w14:paraId="73D1F4DC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3"/>
          <w:szCs w:val="23"/>
        </w:rPr>
        <w:t xml:space="preserve">1) </w:t>
      </w:r>
      <w:r>
        <w:rPr>
          <w:sz w:val="26"/>
          <w:szCs w:val="26"/>
        </w:rPr>
        <w:t xml:space="preserve">Názov právnickej osoby a jej sídlo: </w:t>
      </w:r>
    </w:p>
    <w:p w14:paraId="58AB93A8" w14:textId="77777777" w:rsidR="00EF5D10" w:rsidRDefault="00EF5D10" w:rsidP="00BF1376">
      <w:pPr>
        <w:pStyle w:val="Default"/>
        <w:rPr>
          <w:sz w:val="26"/>
          <w:szCs w:val="26"/>
        </w:rPr>
      </w:pPr>
    </w:p>
    <w:p w14:paraId="494C780F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LUFI </w:t>
      </w:r>
      <w:proofErr w:type="spellStart"/>
      <w:r>
        <w:rPr>
          <w:sz w:val="26"/>
          <w:szCs w:val="26"/>
        </w:rPr>
        <w:t>Co</w:t>
      </w:r>
      <w:proofErr w:type="spellEnd"/>
      <w:r>
        <w:rPr>
          <w:sz w:val="26"/>
          <w:szCs w:val="26"/>
        </w:rPr>
        <w:t xml:space="preserve"> s.r.o.</w:t>
      </w:r>
      <w:r w:rsidR="0090675E">
        <w:rPr>
          <w:sz w:val="26"/>
          <w:szCs w:val="26"/>
        </w:rPr>
        <w:t xml:space="preserve">, </w:t>
      </w:r>
      <w:r>
        <w:rPr>
          <w:sz w:val="26"/>
          <w:szCs w:val="26"/>
        </w:rPr>
        <w:t>Jasovská 5</w:t>
      </w:r>
      <w:r w:rsidR="0090675E">
        <w:rPr>
          <w:sz w:val="26"/>
          <w:szCs w:val="26"/>
        </w:rPr>
        <w:t xml:space="preserve">, </w:t>
      </w:r>
      <w:r>
        <w:rPr>
          <w:sz w:val="26"/>
          <w:szCs w:val="26"/>
        </w:rPr>
        <w:t xml:space="preserve">851 07 BRATISLAVA </w:t>
      </w:r>
    </w:p>
    <w:p w14:paraId="15A6C419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ORSR Okresný súd Bratislava I. </w:t>
      </w:r>
    </w:p>
    <w:p w14:paraId="39BDB518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Oddiel: </w:t>
      </w:r>
      <w:proofErr w:type="spellStart"/>
      <w:r>
        <w:rPr>
          <w:sz w:val="26"/>
          <w:szCs w:val="26"/>
        </w:rPr>
        <w:t>Sro</w:t>
      </w:r>
      <w:proofErr w:type="spellEnd"/>
      <w:r>
        <w:rPr>
          <w:sz w:val="26"/>
          <w:szCs w:val="26"/>
        </w:rPr>
        <w:t xml:space="preserve"> Vložka číslo: 76642/B </w:t>
      </w:r>
    </w:p>
    <w:p w14:paraId="3DD93488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Dátum zápisu: 22.10.2011 </w:t>
      </w:r>
    </w:p>
    <w:p w14:paraId="50C124F0" w14:textId="77777777" w:rsidR="00EF5D10" w:rsidRDefault="00EF5D10" w:rsidP="00BF1376">
      <w:pPr>
        <w:pStyle w:val="Default"/>
        <w:rPr>
          <w:sz w:val="26"/>
          <w:szCs w:val="26"/>
        </w:rPr>
      </w:pPr>
    </w:p>
    <w:p w14:paraId="1CB2FBBB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>Prevažujúca činnosť v r.</w:t>
      </w:r>
      <w:r w:rsidR="005E69E3">
        <w:rPr>
          <w:sz w:val="26"/>
          <w:szCs w:val="26"/>
        </w:rPr>
        <w:t xml:space="preserve"> </w:t>
      </w:r>
      <w:r>
        <w:rPr>
          <w:sz w:val="26"/>
          <w:szCs w:val="26"/>
        </w:rPr>
        <w:t>20</w:t>
      </w:r>
      <w:r w:rsidR="005E69E3">
        <w:rPr>
          <w:sz w:val="26"/>
          <w:szCs w:val="26"/>
        </w:rPr>
        <w:t>2</w:t>
      </w:r>
      <w:r w:rsidR="00CE3013">
        <w:rPr>
          <w:sz w:val="26"/>
          <w:szCs w:val="26"/>
        </w:rPr>
        <w:t>4</w:t>
      </w:r>
      <w:r>
        <w:rPr>
          <w:sz w:val="26"/>
          <w:szCs w:val="26"/>
        </w:rPr>
        <w:t xml:space="preserve">: </w:t>
      </w:r>
      <w:r w:rsidR="00EF5D10">
        <w:rPr>
          <w:sz w:val="26"/>
          <w:szCs w:val="26"/>
        </w:rPr>
        <w:t>81</w:t>
      </w:r>
      <w:r w:rsidR="00EA3989">
        <w:rPr>
          <w:sz w:val="26"/>
          <w:szCs w:val="26"/>
        </w:rPr>
        <w:t>.</w:t>
      </w:r>
      <w:r w:rsidR="00EF5D10">
        <w:rPr>
          <w:sz w:val="26"/>
          <w:szCs w:val="26"/>
        </w:rPr>
        <w:t>29</w:t>
      </w:r>
      <w:r w:rsidR="00EA3989">
        <w:rPr>
          <w:sz w:val="26"/>
          <w:szCs w:val="26"/>
        </w:rPr>
        <w:t>.</w:t>
      </w:r>
      <w:r w:rsidR="00EF5D10">
        <w:rPr>
          <w:sz w:val="26"/>
          <w:szCs w:val="26"/>
        </w:rPr>
        <w:t xml:space="preserve">0 Ostatné čistiace činnosti </w:t>
      </w:r>
    </w:p>
    <w:p w14:paraId="19700808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Štatutárny orgán: konateľ Ľudovít </w:t>
      </w:r>
      <w:proofErr w:type="spellStart"/>
      <w:r>
        <w:rPr>
          <w:sz w:val="26"/>
          <w:szCs w:val="26"/>
        </w:rPr>
        <w:t>Böhm</w:t>
      </w:r>
      <w:proofErr w:type="spellEnd"/>
      <w:r>
        <w:rPr>
          <w:sz w:val="26"/>
          <w:szCs w:val="26"/>
        </w:rPr>
        <w:t xml:space="preserve"> </w:t>
      </w:r>
    </w:p>
    <w:p w14:paraId="79F0DF3D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Spoločníci : Ľudovít </w:t>
      </w:r>
      <w:proofErr w:type="spellStart"/>
      <w:r>
        <w:rPr>
          <w:sz w:val="26"/>
          <w:szCs w:val="26"/>
        </w:rPr>
        <w:t>Böhm</w:t>
      </w:r>
      <w:proofErr w:type="spellEnd"/>
      <w:r>
        <w:rPr>
          <w:sz w:val="26"/>
          <w:szCs w:val="26"/>
        </w:rPr>
        <w:t xml:space="preserve"> 100 % ZI 5 000.- EUR </w:t>
      </w:r>
    </w:p>
    <w:p w14:paraId="28B11A2D" w14:textId="77777777" w:rsidR="00EF5D10" w:rsidRDefault="00EF5D10" w:rsidP="00BF1376">
      <w:pPr>
        <w:pStyle w:val="Default"/>
        <w:rPr>
          <w:sz w:val="26"/>
          <w:szCs w:val="26"/>
        </w:rPr>
      </w:pPr>
    </w:p>
    <w:p w14:paraId="2D46034B" w14:textId="77777777" w:rsidR="0090675E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UJ nie je súčasťou žiadneho konsolidovaného celku a nezostavuje konsolidovanú účtovnú závierku, nakoľko nespĺňa podmienky podľa § 22 </w:t>
      </w:r>
    </w:p>
    <w:p w14:paraId="71F93101" w14:textId="77777777" w:rsidR="00BF1376" w:rsidRDefault="00BF1376" w:rsidP="00BF1376">
      <w:pPr>
        <w:pStyle w:val="Default"/>
        <w:rPr>
          <w:sz w:val="26"/>
          <w:szCs w:val="26"/>
        </w:rPr>
      </w:pPr>
      <w:proofErr w:type="spellStart"/>
      <w:r>
        <w:rPr>
          <w:sz w:val="26"/>
          <w:szCs w:val="26"/>
        </w:rPr>
        <w:t>odst</w:t>
      </w:r>
      <w:proofErr w:type="spellEnd"/>
      <w:r>
        <w:rPr>
          <w:sz w:val="26"/>
          <w:szCs w:val="26"/>
        </w:rPr>
        <w:t xml:space="preserve"> 10 Zákona o účtovníctve. </w:t>
      </w:r>
    </w:p>
    <w:p w14:paraId="7FD9EE9E" w14:textId="77777777" w:rsidR="00AB6E10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UJ spĺňa v zmysle § 2 odst.6 Zákona o účtovníctve podmienky zatriedenia </w:t>
      </w:r>
    </w:p>
    <w:p w14:paraId="66A41BF5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6"/>
          <w:szCs w:val="26"/>
        </w:rPr>
        <w:t xml:space="preserve">do </w:t>
      </w:r>
      <w:proofErr w:type="spellStart"/>
      <w:r>
        <w:rPr>
          <w:sz w:val="26"/>
          <w:szCs w:val="26"/>
        </w:rPr>
        <w:t>mikro</w:t>
      </w:r>
      <w:proofErr w:type="spellEnd"/>
      <w:r>
        <w:rPr>
          <w:sz w:val="26"/>
          <w:szCs w:val="26"/>
        </w:rPr>
        <w:t xml:space="preserve"> účtovnej jednotky. </w:t>
      </w:r>
    </w:p>
    <w:p w14:paraId="40D169E2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sz w:val="23"/>
          <w:szCs w:val="23"/>
        </w:rPr>
        <w:t xml:space="preserve">2) </w:t>
      </w:r>
      <w:r>
        <w:rPr>
          <w:sz w:val="26"/>
          <w:szCs w:val="26"/>
        </w:rPr>
        <w:t xml:space="preserve">Priemerný prepočítaný počet zamestnancov: </w:t>
      </w:r>
      <w:r w:rsidR="00AB6E10">
        <w:rPr>
          <w:sz w:val="26"/>
          <w:szCs w:val="26"/>
        </w:rPr>
        <w:t>0</w:t>
      </w:r>
    </w:p>
    <w:p w14:paraId="3CD7E1D0" w14:textId="77777777" w:rsidR="00AB6E10" w:rsidRDefault="00AB6E10" w:rsidP="00AB6E10">
      <w:pPr>
        <w:pStyle w:val="Default"/>
        <w:ind w:left="3540" w:firstLine="708"/>
        <w:rPr>
          <w:b/>
          <w:bCs/>
          <w:sz w:val="26"/>
          <w:szCs w:val="26"/>
        </w:rPr>
      </w:pPr>
    </w:p>
    <w:p w14:paraId="40FEB2D1" w14:textId="77777777" w:rsidR="00BF1376" w:rsidRDefault="00BF1376" w:rsidP="0090675E">
      <w:pPr>
        <w:pStyle w:val="Default"/>
        <w:ind w:left="4248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Čl. II </w:t>
      </w:r>
    </w:p>
    <w:p w14:paraId="061ED5FE" w14:textId="77777777" w:rsidR="00BF1376" w:rsidRDefault="00BF1376" w:rsidP="00AB6E10">
      <w:pPr>
        <w:pStyle w:val="Default"/>
        <w:ind w:left="2124" w:firstLine="708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Informácie o prijatých postupoch </w:t>
      </w:r>
    </w:p>
    <w:p w14:paraId="6804317C" w14:textId="77777777" w:rsidR="00AB6E10" w:rsidRDefault="00AB6E10" w:rsidP="00BF1376">
      <w:pPr>
        <w:pStyle w:val="Default"/>
        <w:rPr>
          <w:sz w:val="26"/>
          <w:szCs w:val="26"/>
        </w:rPr>
      </w:pPr>
    </w:p>
    <w:p w14:paraId="03EB5571" w14:textId="77777777" w:rsidR="00BF1376" w:rsidRDefault="00BF1376" w:rsidP="00BF1376">
      <w:pPr>
        <w:pStyle w:val="Default"/>
        <w:rPr>
          <w:sz w:val="26"/>
          <w:szCs w:val="26"/>
        </w:rPr>
      </w:pPr>
      <w:r w:rsidRPr="00EA3989">
        <w:rPr>
          <w:b/>
          <w:sz w:val="26"/>
          <w:szCs w:val="26"/>
        </w:rPr>
        <w:t>1)</w:t>
      </w:r>
      <w:r>
        <w:rPr>
          <w:sz w:val="26"/>
          <w:szCs w:val="26"/>
        </w:rPr>
        <w:t xml:space="preserve"> Účtovná závierka je zostavená za splnenia predpokladu, že účtovná jednotka bude nepretržite pokračovať vo svojej činnosti. </w:t>
      </w:r>
    </w:p>
    <w:p w14:paraId="76397909" w14:textId="77777777" w:rsidR="00BF1376" w:rsidRDefault="00BF1376" w:rsidP="00BF1376">
      <w:pPr>
        <w:pStyle w:val="Default"/>
        <w:rPr>
          <w:sz w:val="26"/>
          <w:szCs w:val="26"/>
        </w:rPr>
      </w:pPr>
      <w:r w:rsidRPr="00EA3989">
        <w:rPr>
          <w:b/>
          <w:sz w:val="26"/>
          <w:szCs w:val="26"/>
        </w:rPr>
        <w:t>2)</w:t>
      </w:r>
      <w:r>
        <w:rPr>
          <w:sz w:val="26"/>
          <w:szCs w:val="26"/>
        </w:rPr>
        <w:t xml:space="preserve"> Spôsob oceňovania jednotlivých položiek majetku a záväzkov, a to </w:t>
      </w:r>
    </w:p>
    <w:p w14:paraId="15E535D3" w14:textId="77777777" w:rsidR="00BF1376" w:rsidRDefault="00EA3989" w:rsidP="00BF1376">
      <w:pPr>
        <w:pStyle w:val="Default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BF1376">
        <w:rPr>
          <w:b/>
          <w:bCs/>
          <w:sz w:val="26"/>
          <w:szCs w:val="26"/>
        </w:rPr>
        <w:t>a</w:t>
      </w:r>
      <w:r>
        <w:rPr>
          <w:b/>
          <w:bCs/>
          <w:sz w:val="26"/>
          <w:szCs w:val="26"/>
        </w:rPr>
        <w:t>/</w:t>
      </w:r>
      <w:r w:rsidR="00BF1376">
        <w:rPr>
          <w:b/>
          <w:bCs/>
          <w:sz w:val="26"/>
          <w:szCs w:val="26"/>
        </w:rPr>
        <w:t xml:space="preserve"> </w:t>
      </w:r>
      <w:r w:rsidR="00BF1376">
        <w:rPr>
          <w:sz w:val="26"/>
          <w:szCs w:val="26"/>
        </w:rPr>
        <w:t xml:space="preserve">dlhodobého nehmotného majetku, dlhodobého hmotného majetku a dlhodobého finančného majetku. UJ oceňuje dlhodobý nehmotný a hmotný majetok obstarávacou cenou. Nehmotný majetok s obstarávacou cenou nižšou ako 2400.- EUR za kus UJ účtuje ako ostatnú službu na účet 518 priamo do nákladov. Hmotný majetok s obstarávacou cenou nižšou ako 1700.- EUR za kus UJ účtuje ako spotrebu materiálu na účet 501 priamo do nákladov. </w:t>
      </w:r>
    </w:p>
    <w:p w14:paraId="154E9454" w14:textId="77777777" w:rsidR="00BF1376" w:rsidRDefault="00EA3989" w:rsidP="00BF1376">
      <w:pPr>
        <w:pStyle w:val="Default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BF1376">
        <w:rPr>
          <w:b/>
          <w:bCs/>
          <w:sz w:val="26"/>
          <w:szCs w:val="26"/>
        </w:rPr>
        <w:t>b</w:t>
      </w:r>
      <w:r>
        <w:rPr>
          <w:b/>
          <w:bCs/>
          <w:sz w:val="26"/>
          <w:szCs w:val="26"/>
        </w:rPr>
        <w:t>/</w:t>
      </w:r>
      <w:r w:rsidR="00BF1376">
        <w:rPr>
          <w:b/>
          <w:bCs/>
          <w:sz w:val="26"/>
          <w:szCs w:val="26"/>
        </w:rPr>
        <w:t xml:space="preserve"> </w:t>
      </w:r>
      <w:r w:rsidR="00BF1376">
        <w:rPr>
          <w:sz w:val="26"/>
          <w:szCs w:val="26"/>
        </w:rPr>
        <w:t>zásob tovaru obstaraných kúpou, ktoré UJ oceňuje obstarávacou cenou, vrátane dopravných nákladov a iných súvisiacich nákladov obstarania, ktoré sú rozpočítavané na mernú jednotku nakupovanej zásoby. Skladové zásoby sa účtujú spôsobom B. V r. 20</w:t>
      </w:r>
      <w:r w:rsidR="0090675E">
        <w:rPr>
          <w:sz w:val="26"/>
          <w:szCs w:val="26"/>
        </w:rPr>
        <w:t>2</w:t>
      </w:r>
      <w:r w:rsidR="00CE3013">
        <w:rPr>
          <w:sz w:val="26"/>
          <w:szCs w:val="26"/>
        </w:rPr>
        <w:t>4</w:t>
      </w:r>
      <w:r w:rsidR="00BF1376">
        <w:rPr>
          <w:sz w:val="26"/>
          <w:szCs w:val="26"/>
        </w:rPr>
        <w:t xml:space="preserve"> UJ </w:t>
      </w:r>
      <w:r w:rsidR="0090675E">
        <w:rPr>
          <w:sz w:val="26"/>
          <w:szCs w:val="26"/>
        </w:rPr>
        <w:t>ne</w:t>
      </w:r>
      <w:r w:rsidR="00BF1376">
        <w:rPr>
          <w:sz w:val="26"/>
          <w:szCs w:val="26"/>
        </w:rPr>
        <w:t xml:space="preserve">nakupovala zásoby. </w:t>
      </w:r>
    </w:p>
    <w:p w14:paraId="029D2898" w14:textId="77777777" w:rsidR="00BF1376" w:rsidRDefault="00EA3989" w:rsidP="00BF1376">
      <w:pPr>
        <w:pStyle w:val="Default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BF1376">
        <w:rPr>
          <w:b/>
          <w:bCs/>
          <w:sz w:val="26"/>
          <w:szCs w:val="26"/>
        </w:rPr>
        <w:t>c</w:t>
      </w:r>
      <w:r>
        <w:rPr>
          <w:b/>
          <w:bCs/>
          <w:sz w:val="26"/>
          <w:szCs w:val="26"/>
        </w:rPr>
        <w:t>/</w:t>
      </w:r>
      <w:r w:rsidR="00BF1376">
        <w:rPr>
          <w:b/>
          <w:bCs/>
          <w:sz w:val="26"/>
          <w:szCs w:val="26"/>
        </w:rPr>
        <w:t xml:space="preserve"> </w:t>
      </w:r>
      <w:r w:rsidR="00BF1376">
        <w:rPr>
          <w:sz w:val="26"/>
          <w:szCs w:val="26"/>
        </w:rPr>
        <w:t xml:space="preserve">pohľadávok, ktoré UJ oceňuje menovitou hodnotou pri ich vzniku </w:t>
      </w:r>
    </w:p>
    <w:p w14:paraId="622B0D08" w14:textId="77777777" w:rsidR="00BF1376" w:rsidRDefault="00EA3989" w:rsidP="00BF1376">
      <w:pPr>
        <w:pStyle w:val="Default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BF1376">
        <w:rPr>
          <w:b/>
          <w:bCs/>
          <w:sz w:val="26"/>
          <w:szCs w:val="26"/>
        </w:rPr>
        <w:t>d</w:t>
      </w:r>
      <w:r>
        <w:rPr>
          <w:b/>
          <w:bCs/>
          <w:sz w:val="26"/>
          <w:szCs w:val="26"/>
        </w:rPr>
        <w:t>/</w:t>
      </w:r>
      <w:r w:rsidR="00BF1376">
        <w:rPr>
          <w:b/>
          <w:bCs/>
          <w:sz w:val="26"/>
          <w:szCs w:val="26"/>
        </w:rPr>
        <w:t xml:space="preserve"> </w:t>
      </w:r>
      <w:r w:rsidR="00BF1376">
        <w:rPr>
          <w:sz w:val="26"/>
          <w:szCs w:val="26"/>
        </w:rPr>
        <w:t xml:space="preserve">krátkodobého finančného majetku, peňažné prostriedky a ceniny oceňuje UJ menovitou hodnotou. Cudzia mena sa prepočítava kurzom ECB ku dňu uskutočnenia účtovného prípadu a v účtovnej závierke ku dňu jej zostavenia. </w:t>
      </w:r>
    </w:p>
    <w:p w14:paraId="289FE67E" w14:textId="77777777" w:rsidR="00BF1376" w:rsidRDefault="00EA3989" w:rsidP="00BF1376">
      <w:pPr>
        <w:pStyle w:val="Default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BF1376">
        <w:rPr>
          <w:b/>
          <w:bCs/>
          <w:sz w:val="26"/>
          <w:szCs w:val="26"/>
        </w:rPr>
        <w:t>e</w:t>
      </w:r>
      <w:r>
        <w:rPr>
          <w:b/>
          <w:bCs/>
          <w:sz w:val="26"/>
          <w:szCs w:val="26"/>
        </w:rPr>
        <w:t>/</w:t>
      </w:r>
      <w:r w:rsidR="00BF1376">
        <w:rPr>
          <w:b/>
          <w:bCs/>
          <w:sz w:val="26"/>
          <w:szCs w:val="26"/>
        </w:rPr>
        <w:t xml:space="preserve"> </w:t>
      </w:r>
      <w:r w:rsidR="00BF1376">
        <w:rPr>
          <w:sz w:val="26"/>
          <w:szCs w:val="26"/>
        </w:rPr>
        <w:t xml:space="preserve">záväzkov, ktoré UJ oceňuje menovitou hodnotou pri ich vzniku. </w:t>
      </w:r>
    </w:p>
    <w:p w14:paraId="195A408C" w14:textId="77777777" w:rsidR="00BF1376" w:rsidRDefault="00BF1376" w:rsidP="00AB6E10">
      <w:pPr>
        <w:pStyle w:val="Default"/>
        <w:rPr>
          <w:sz w:val="26"/>
          <w:szCs w:val="26"/>
        </w:rPr>
      </w:pPr>
      <w:r w:rsidRPr="00EA3989">
        <w:rPr>
          <w:b/>
          <w:sz w:val="26"/>
          <w:szCs w:val="26"/>
        </w:rPr>
        <w:t>3)</w:t>
      </w:r>
      <w:r>
        <w:rPr>
          <w:sz w:val="26"/>
          <w:szCs w:val="26"/>
        </w:rPr>
        <w:t xml:space="preserve"> Dlhodobý hmotný a nehmotný majetok sa odpisuje podľa odpisového plánu. Spôsob zostavenia odpisového plánu pre jednotlivé druhy dlhodobého hmotného majetku a dlhodobého nehmotného majetku, pričom sa uvádza </w:t>
      </w:r>
      <w:r>
        <w:rPr>
          <w:sz w:val="26"/>
          <w:szCs w:val="26"/>
        </w:rPr>
        <w:lastRenderedPageBreak/>
        <w:t>doba odpisovania, použité sadzby odpisov a odpisové metódy pri určení odpisov. UJ v priebehu r. 20</w:t>
      </w:r>
      <w:r w:rsidR="0090675E">
        <w:rPr>
          <w:sz w:val="26"/>
          <w:szCs w:val="26"/>
        </w:rPr>
        <w:t>2</w:t>
      </w:r>
      <w:r w:rsidR="00CE3013">
        <w:rPr>
          <w:sz w:val="26"/>
          <w:szCs w:val="26"/>
        </w:rPr>
        <w:t>4</w:t>
      </w:r>
      <w:r>
        <w:rPr>
          <w:sz w:val="26"/>
          <w:szCs w:val="26"/>
        </w:rPr>
        <w:t xml:space="preserve"> neevidovala žiadne prírastky ani úbytky dlhodobého nehmotného a hmotného majetku. </w:t>
      </w:r>
    </w:p>
    <w:p w14:paraId="366B0D5B" w14:textId="77777777" w:rsidR="00BF1376" w:rsidRDefault="00BF1376" w:rsidP="00BF1376">
      <w:pPr>
        <w:pStyle w:val="Default"/>
        <w:rPr>
          <w:sz w:val="26"/>
          <w:szCs w:val="26"/>
        </w:rPr>
      </w:pPr>
      <w:r w:rsidRPr="00EA3989">
        <w:rPr>
          <w:b/>
          <w:sz w:val="26"/>
          <w:szCs w:val="26"/>
        </w:rPr>
        <w:t>4)</w:t>
      </w:r>
      <w:r>
        <w:rPr>
          <w:sz w:val="26"/>
          <w:szCs w:val="26"/>
        </w:rPr>
        <w:t xml:space="preserve"> UJ neúčtovala v priebehu r. 20</w:t>
      </w:r>
      <w:r w:rsidR="0090675E">
        <w:rPr>
          <w:sz w:val="26"/>
          <w:szCs w:val="26"/>
        </w:rPr>
        <w:t>2</w:t>
      </w:r>
      <w:r w:rsidR="00CE3013">
        <w:rPr>
          <w:sz w:val="26"/>
          <w:szCs w:val="26"/>
        </w:rPr>
        <w:t>4</w:t>
      </w:r>
      <w:r>
        <w:rPr>
          <w:sz w:val="26"/>
          <w:szCs w:val="26"/>
        </w:rPr>
        <w:t xml:space="preserve"> o významných opravách chýb minulých účtovných období v bežnom účtovnom období s vplyvom na nerozdelený zisk minulých rokov alebo neuhradenú stratu minulých rokov a súčasne UJ neúčtovala ani o nevýznamných chybách minulých účtovných období v bežnom účtovnom období s vplyvom na výsledok hospodárenia bežného účtovného obdobia. </w:t>
      </w:r>
    </w:p>
    <w:p w14:paraId="43EC3560" w14:textId="77777777" w:rsidR="00AB6E10" w:rsidRDefault="00AB6E10" w:rsidP="00AB6E10">
      <w:pPr>
        <w:pStyle w:val="Default"/>
        <w:ind w:left="2832" w:firstLine="708"/>
        <w:rPr>
          <w:b/>
          <w:bCs/>
          <w:sz w:val="26"/>
          <w:szCs w:val="26"/>
        </w:rPr>
      </w:pPr>
    </w:p>
    <w:p w14:paraId="57C86B21" w14:textId="77777777" w:rsidR="00BF1376" w:rsidRDefault="00BF1376" w:rsidP="0090675E">
      <w:pPr>
        <w:pStyle w:val="Default"/>
        <w:ind w:left="3540" w:firstLine="708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Čl. III </w:t>
      </w:r>
    </w:p>
    <w:p w14:paraId="3EC2C73A" w14:textId="77777777" w:rsidR="00BF1376" w:rsidRDefault="00BF1376" w:rsidP="00BF1376">
      <w:pPr>
        <w:pStyle w:val="Default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Informácie, ktoré vysvetľujú a dopĺňajú súvahu a výkaz ziskov a strát </w:t>
      </w:r>
    </w:p>
    <w:p w14:paraId="5161C7AC" w14:textId="77777777" w:rsidR="00AB6E10" w:rsidRDefault="00AB6E10" w:rsidP="00BF1376">
      <w:pPr>
        <w:pStyle w:val="Default"/>
        <w:rPr>
          <w:sz w:val="26"/>
          <w:szCs w:val="26"/>
        </w:rPr>
      </w:pPr>
    </w:p>
    <w:p w14:paraId="2F35F5E4" w14:textId="77777777" w:rsidR="00BF1376" w:rsidRDefault="00BF1376" w:rsidP="00BF1376">
      <w:pPr>
        <w:pStyle w:val="Default"/>
        <w:rPr>
          <w:sz w:val="26"/>
          <w:szCs w:val="26"/>
        </w:rPr>
      </w:pPr>
      <w:r w:rsidRPr="00EA3989">
        <w:rPr>
          <w:b/>
          <w:sz w:val="26"/>
          <w:szCs w:val="26"/>
        </w:rPr>
        <w:t>1)</w:t>
      </w:r>
      <w:r>
        <w:rPr>
          <w:sz w:val="26"/>
          <w:szCs w:val="26"/>
        </w:rPr>
        <w:t xml:space="preserve"> UJ neúčtovala v priebehu r.</w:t>
      </w:r>
      <w:r w:rsidR="0090675E">
        <w:rPr>
          <w:sz w:val="26"/>
          <w:szCs w:val="26"/>
        </w:rPr>
        <w:t xml:space="preserve"> </w:t>
      </w:r>
      <w:r>
        <w:rPr>
          <w:sz w:val="26"/>
          <w:szCs w:val="26"/>
        </w:rPr>
        <w:t>20</w:t>
      </w:r>
      <w:r w:rsidR="0090675E">
        <w:rPr>
          <w:sz w:val="26"/>
          <w:szCs w:val="26"/>
        </w:rPr>
        <w:t>2</w:t>
      </w:r>
      <w:r w:rsidR="00CE3013">
        <w:rPr>
          <w:sz w:val="26"/>
          <w:szCs w:val="26"/>
        </w:rPr>
        <w:t>4</w:t>
      </w:r>
      <w:r>
        <w:rPr>
          <w:sz w:val="26"/>
          <w:szCs w:val="26"/>
        </w:rPr>
        <w:t xml:space="preserve"> o žiadnych položkách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426EE97" w14:textId="77777777" w:rsidR="00BF1376" w:rsidRDefault="00BF1376" w:rsidP="00BF1376">
      <w:pPr>
        <w:pStyle w:val="Default"/>
        <w:rPr>
          <w:sz w:val="26"/>
          <w:szCs w:val="26"/>
        </w:rPr>
      </w:pPr>
      <w:r w:rsidRPr="00EA3989">
        <w:rPr>
          <w:b/>
          <w:sz w:val="26"/>
          <w:szCs w:val="26"/>
        </w:rPr>
        <w:t>2)</w:t>
      </w:r>
      <w:r>
        <w:rPr>
          <w:sz w:val="26"/>
          <w:szCs w:val="26"/>
        </w:rPr>
        <w:t xml:space="preserve"> UJ neúčtovala o záväzkoch, ktoré by mali zostatkovú dobu splatnosti dlhšiu ako päť rokov a o žiadnych zabezpečených záväzkoch. UJ nemala žiadny majetok prenajatý formou finančného prenájmu. </w:t>
      </w:r>
    </w:p>
    <w:p w14:paraId="249BEAA1" w14:textId="77777777" w:rsidR="00FB22CC" w:rsidRDefault="00BF1376" w:rsidP="00BF1376">
      <w:pPr>
        <w:rPr>
          <w:rFonts w:ascii="Arial" w:hAnsi="Arial" w:cs="Arial"/>
          <w:sz w:val="26"/>
          <w:szCs w:val="26"/>
        </w:rPr>
      </w:pPr>
      <w:r w:rsidRPr="00EA3989">
        <w:rPr>
          <w:rFonts w:ascii="Arial" w:hAnsi="Arial" w:cs="Arial"/>
          <w:b/>
          <w:sz w:val="26"/>
          <w:szCs w:val="26"/>
        </w:rPr>
        <w:t>3)</w:t>
      </w:r>
      <w:r w:rsidRPr="00AB6E10">
        <w:rPr>
          <w:rFonts w:ascii="Arial" w:hAnsi="Arial" w:cs="Arial"/>
          <w:sz w:val="26"/>
          <w:szCs w:val="26"/>
        </w:rPr>
        <w:t xml:space="preserve"> UJ nevyplácala v priebehu r. 20</w:t>
      </w:r>
      <w:r w:rsidR="0090675E">
        <w:rPr>
          <w:rFonts w:ascii="Arial" w:hAnsi="Arial" w:cs="Arial"/>
          <w:sz w:val="26"/>
          <w:szCs w:val="26"/>
        </w:rPr>
        <w:t>2</w:t>
      </w:r>
      <w:r w:rsidR="00CE3013">
        <w:rPr>
          <w:rFonts w:ascii="Arial" w:hAnsi="Arial" w:cs="Arial"/>
          <w:sz w:val="26"/>
          <w:szCs w:val="26"/>
        </w:rPr>
        <w:t>4</w:t>
      </w:r>
      <w:r w:rsidRPr="00AB6E10">
        <w:rPr>
          <w:rFonts w:ascii="Arial" w:hAnsi="Arial" w:cs="Arial"/>
          <w:sz w:val="26"/>
          <w:szCs w:val="26"/>
        </w:rPr>
        <w:t xml:space="preserve"> žiadne podiely na zisku a ani neposkytla žiadne pôžičky členom štatutárneho orgánu.</w:t>
      </w:r>
    </w:p>
    <w:p w14:paraId="0C84D8D1" w14:textId="77777777" w:rsidR="00EF5D10" w:rsidRDefault="00EF5D10" w:rsidP="00BF1376">
      <w:pPr>
        <w:rPr>
          <w:rFonts w:ascii="Arial" w:hAnsi="Arial" w:cs="Arial"/>
          <w:sz w:val="26"/>
          <w:szCs w:val="26"/>
        </w:rPr>
      </w:pPr>
    </w:p>
    <w:p w14:paraId="5F7E717D" w14:textId="77777777" w:rsidR="00EF5D10" w:rsidRDefault="00EF5D10" w:rsidP="00BF1376">
      <w:pPr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 Bratislave, dňa 31.12.202</w:t>
      </w:r>
      <w:r w:rsidR="00CE3013">
        <w:rPr>
          <w:rFonts w:ascii="Arial" w:hAnsi="Arial" w:cs="Arial"/>
          <w:sz w:val="26"/>
          <w:szCs w:val="26"/>
        </w:rPr>
        <w:t>4</w:t>
      </w:r>
    </w:p>
    <w:sectPr w:rsidR="00EF5D10" w:rsidSect="00FB22CC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B09EC0" w14:textId="77777777" w:rsidR="00C0799F" w:rsidRDefault="00C0799F" w:rsidP="00EF5D10">
      <w:pPr>
        <w:spacing w:after="0" w:line="240" w:lineRule="auto"/>
      </w:pPr>
      <w:r>
        <w:separator/>
      </w:r>
    </w:p>
  </w:endnote>
  <w:endnote w:type="continuationSeparator" w:id="0">
    <w:p w14:paraId="2682D059" w14:textId="77777777" w:rsidR="00C0799F" w:rsidRDefault="00C0799F" w:rsidP="00EF5D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D74921" w14:textId="77777777" w:rsidR="00C0799F" w:rsidRDefault="00C0799F" w:rsidP="00EF5D10">
      <w:pPr>
        <w:spacing w:after="0" w:line="240" w:lineRule="auto"/>
      </w:pPr>
      <w:r>
        <w:separator/>
      </w:r>
    </w:p>
  </w:footnote>
  <w:footnote w:type="continuationSeparator" w:id="0">
    <w:p w14:paraId="65875D1E" w14:textId="77777777" w:rsidR="00C0799F" w:rsidRDefault="00C0799F" w:rsidP="00EF5D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1371B" w14:textId="77777777" w:rsidR="00EF5D10" w:rsidRDefault="00EF5D10" w:rsidP="00EF5D10">
    <w:pPr>
      <w:pStyle w:val="Default"/>
      <w:ind w:left="1416" w:firstLine="708"/>
      <w:rPr>
        <w:sz w:val="36"/>
        <w:szCs w:val="36"/>
      </w:rPr>
    </w:pPr>
    <w:r>
      <w:rPr>
        <w:b/>
        <w:bCs/>
        <w:sz w:val="36"/>
        <w:szCs w:val="36"/>
      </w:rPr>
      <w:t xml:space="preserve">Poznámky </w:t>
    </w:r>
    <w:proofErr w:type="spellStart"/>
    <w:r>
      <w:rPr>
        <w:b/>
        <w:bCs/>
        <w:sz w:val="36"/>
        <w:szCs w:val="36"/>
      </w:rPr>
      <w:t>Úč</w:t>
    </w:r>
    <w:proofErr w:type="spellEnd"/>
    <w:r>
      <w:rPr>
        <w:b/>
        <w:bCs/>
        <w:sz w:val="36"/>
        <w:szCs w:val="36"/>
      </w:rPr>
      <w:t xml:space="preserve"> MÚJ 3-01 </w:t>
    </w:r>
  </w:p>
  <w:p w14:paraId="563BE6CA" w14:textId="77777777" w:rsidR="00EF5D10" w:rsidRDefault="00EF5D10" w:rsidP="00EF5D10">
    <w:pPr>
      <w:pStyle w:val="Default"/>
      <w:ind w:left="1416" w:firstLine="708"/>
      <w:rPr>
        <w:sz w:val="26"/>
        <w:szCs w:val="26"/>
      </w:rPr>
    </w:pPr>
    <w:r>
      <w:rPr>
        <w:sz w:val="26"/>
        <w:szCs w:val="26"/>
      </w:rPr>
      <w:t xml:space="preserve">IČO 46396331,    DIČ 2023360867 </w:t>
    </w:r>
  </w:p>
  <w:p w14:paraId="5311C75F" w14:textId="77777777" w:rsidR="00EF5D10" w:rsidRDefault="00EF5D1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1376"/>
    <w:rsid w:val="000E58F9"/>
    <w:rsid w:val="002F47DC"/>
    <w:rsid w:val="004F3F36"/>
    <w:rsid w:val="005E69E3"/>
    <w:rsid w:val="00685FA8"/>
    <w:rsid w:val="00702C92"/>
    <w:rsid w:val="00743C57"/>
    <w:rsid w:val="0090675E"/>
    <w:rsid w:val="00986801"/>
    <w:rsid w:val="00AB6E10"/>
    <w:rsid w:val="00B91CAC"/>
    <w:rsid w:val="00BF1376"/>
    <w:rsid w:val="00C0799F"/>
    <w:rsid w:val="00C20B43"/>
    <w:rsid w:val="00C61E19"/>
    <w:rsid w:val="00CB433A"/>
    <w:rsid w:val="00CE3013"/>
    <w:rsid w:val="00EA3989"/>
    <w:rsid w:val="00EF5D10"/>
    <w:rsid w:val="00FB2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004C1"/>
  <w15:docId w15:val="{5F64A25D-DBF1-4AE4-B4CD-37DFBDDCE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22C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F137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EF5D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F5D10"/>
  </w:style>
  <w:style w:type="paragraph" w:styleId="Pta">
    <w:name w:val="footer"/>
    <w:basedOn w:val="Normlny"/>
    <w:link w:val="PtaChar"/>
    <w:uiPriority w:val="99"/>
    <w:semiHidden/>
    <w:unhideWhenUsed/>
    <w:rsid w:val="00EF5D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F5D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509</Words>
  <Characters>2907</Characters>
  <Application>Microsoft Office Word</Application>
  <DocSecurity>0</DocSecurity>
  <Lines>24</Lines>
  <Paragraphs>6</Paragraphs>
  <ScaleCrop>false</ScaleCrop>
  <Company/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EVULA</dc:creator>
  <cp:lastModifiedBy>Liska BA</cp:lastModifiedBy>
  <cp:revision>2</cp:revision>
  <cp:lastPrinted>2024-03-30T11:08:00Z</cp:lastPrinted>
  <dcterms:created xsi:type="dcterms:W3CDTF">2025-02-27T12:12:00Z</dcterms:created>
  <dcterms:modified xsi:type="dcterms:W3CDTF">2025-02-27T12:12:00Z</dcterms:modified>
</cp:coreProperties>
</file>