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tbl>
      <w:tblPr>
        <w:tblW w:w="10300" w:type="dxa"/>
        <w:jc w:val="left"/>
        <w:tblInd w:w="-16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48" w:type="dxa"/>
          <w:bottom w:w="0" w:type="dxa"/>
          <w:right w:w="108" w:type="dxa"/>
        </w:tblCellMar>
        <w:tblLook w:val="00a0"/>
      </w:tblPr>
      <w:tblGrid>
        <w:gridCol w:w="3033"/>
        <w:gridCol w:w="2635"/>
        <w:gridCol w:w="332"/>
        <w:gridCol w:w="339"/>
        <w:gridCol w:w="339"/>
        <w:gridCol w:w="339"/>
        <w:gridCol w:w="339"/>
        <w:gridCol w:w="339"/>
        <w:gridCol w:w="339"/>
        <w:gridCol w:w="332"/>
        <w:gridCol w:w="566"/>
        <w:gridCol w:w="338"/>
        <w:gridCol w:w="332"/>
        <w:gridCol w:w="335"/>
        <w:gridCol w:w="363"/>
      </w:tblGrid>
      <w:tr>
        <w:trPr/>
        <w:tc>
          <w:tcPr>
            <w:tcW w:w="30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60" w:after="60"/>
              <w:jc w:val="left"/>
              <w:outlineLvl w:val="2"/>
              <w:rPr>
                <w:b/>
                <w:b/>
                <w:bCs/>
                <w:sz w:val="22"/>
                <w:szCs w:val="22"/>
              </w:rPr>
            </w:pPr>
            <w:r>
              <w:rPr>
                <w:sz w:val="22"/>
                <w:szCs w:val="22"/>
                <w:lang w:eastAsia="sk-SK"/>
              </w:rPr>
              <w:t>Poznámky (Úč  NUJ 3 – 01)</w:t>
            </w:r>
          </w:p>
        </w:tc>
        <w:tc>
          <w:tcPr>
            <w:tcW w:w="26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60" w:after="60"/>
              <w:jc w:val="left"/>
              <w:outlineLvl w:val="2"/>
              <w:rPr>
                <w:b/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 xml:space="preserve">IČO </w:t>
            </w:r>
          </w:p>
        </w:tc>
        <w:tc>
          <w:tcPr>
            <w:tcW w:w="3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b/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3</w:t>
            </w:r>
          </w:p>
        </w:tc>
        <w:tc>
          <w:tcPr>
            <w:tcW w:w="3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b/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3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b/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8</w:t>
            </w:r>
          </w:p>
        </w:tc>
        <w:tc>
          <w:tcPr>
            <w:tcW w:w="3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b/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1</w:t>
            </w:r>
          </w:p>
        </w:tc>
        <w:tc>
          <w:tcPr>
            <w:tcW w:w="3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b/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3</w:t>
            </w:r>
          </w:p>
        </w:tc>
        <w:tc>
          <w:tcPr>
            <w:tcW w:w="3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b/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8</w:t>
            </w:r>
          </w:p>
        </w:tc>
        <w:tc>
          <w:tcPr>
            <w:tcW w:w="3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b/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9</w:t>
            </w:r>
          </w:p>
        </w:tc>
        <w:tc>
          <w:tcPr>
            <w:tcW w:w="3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b/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1</w:t>
            </w:r>
          </w:p>
        </w:tc>
        <w:tc>
          <w:tcPr>
            <w:tcW w:w="5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b/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/SID</w:t>
            </w:r>
          </w:p>
        </w:tc>
        <w:tc>
          <w:tcPr>
            <w:tcW w:w="3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b/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</w:r>
          </w:p>
        </w:tc>
        <w:tc>
          <w:tcPr>
            <w:tcW w:w="3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b/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</w:r>
          </w:p>
        </w:tc>
        <w:tc>
          <w:tcPr>
            <w:tcW w:w="3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b/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</w:r>
          </w:p>
        </w:tc>
        <w:tc>
          <w:tcPr>
            <w:tcW w:w="3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b/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</w:r>
          </w:p>
        </w:tc>
      </w:tr>
    </w:tbl>
    <w:p>
      <w:pPr>
        <w:pStyle w:val="Normal"/>
        <w:keepNext/>
        <w:numPr>
          <w:ilvl w:val="0"/>
          <w:numId w:val="0"/>
        </w:numPr>
        <w:spacing w:lineRule="auto" w:line="240" w:before="0" w:after="0"/>
        <w:jc w:val="center"/>
        <w:outlineLvl w:val="2"/>
        <w:rPr>
          <w:b/>
          <w:b/>
          <w:bCs/>
          <w:sz w:val="24"/>
          <w:szCs w:val="24"/>
        </w:rPr>
      </w:pPr>
      <w:r>
        <w:rPr>
          <w:b/>
          <w:bCs/>
          <w:sz w:val="24"/>
          <w:szCs w:val="24"/>
        </w:rPr>
      </w:r>
    </w:p>
    <w:p>
      <w:pPr>
        <w:pStyle w:val="Normal"/>
        <w:keepNext/>
        <w:numPr>
          <w:ilvl w:val="0"/>
          <w:numId w:val="0"/>
        </w:numPr>
        <w:spacing w:lineRule="auto" w:line="240" w:before="0" w:after="0"/>
        <w:jc w:val="center"/>
        <w:outlineLvl w:val="2"/>
        <w:rPr>
          <w:b/>
          <w:b/>
          <w:bCs/>
          <w:sz w:val="24"/>
          <w:szCs w:val="24"/>
        </w:rPr>
      </w:pPr>
      <w:r>
        <w:rPr>
          <w:b/>
          <w:bCs/>
          <w:sz w:val="24"/>
          <w:szCs w:val="24"/>
        </w:rPr>
      </w:r>
    </w:p>
    <w:p>
      <w:pPr>
        <w:pStyle w:val="Normal"/>
        <w:keepNext/>
        <w:numPr>
          <w:ilvl w:val="0"/>
          <w:numId w:val="0"/>
        </w:numPr>
        <w:spacing w:lineRule="auto" w:line="240" w:before="0" w:after="0"/>
        <w:jc w:val="center"/>
        <w:outlineLvl w:val="2"/>
        <w:rPr>
          <w:b/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Čl. I.</w:t>
      </w:r>
    </w:p>
    <w:p>
      <w:pPr>
        <w:pStyle w:val="Normal"/>
        <w:keepNext/>
        <w:numPr>
          <w:ilvl w:val="0"/>
          <w:numId w:val="0"/>
        </w:numPr>
        <w:spacing w:lineRule="auto" w:line="240" w:before="0" w:after="200"/>
        <w:jc w:val="center"/>
        <w:outlineLvl w:val="1"/>
        <w:rPr>
          <w:b/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Všeobecné údaje</w:t>
      </w:r>
    </w:p>
    <w:p>
      <w:pPr>
        <w:pStyle w:val="Normal"/>
        <w:numPr>
          <w:ilvl w:val="0"/>
          <w:numId w:val="2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Údaje o zakladateľovi alebo zriaďovateľovi účtovnej jednotky:</w:t>
      </w:r>
    </w:p>
    <w:tbl>
      <w:tblPr>
        <w:tblW w:w="9834" w:type="dxa"/>
        <w:jc w:val="left"/>
        <w:tblInd w:w="-16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48" w:type="dxa"/>
          <w:bottom w:w="0" w:type="dxa"/>
          <w:right w:w="108" w:type="dxa"/>
        </w:tblCellMar>
        <w:tblLook w:val="00a0"/>
      </w:tblPr>
      <w:tblGrid>
        <w:gridCol w:w="2865"/>
        <w:gridCol w:w="6968"/>
      </w:tblGrid>
      <w:tr>
        <w:trPr>
          <w:trHeight w:val="284" w:hRule="atLeast"/>
        </w:trPr>
        <w:tc>
          <w:tcPr>
            <w:tcW w:w="2865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Údaje o zakladateľovi alebo zriaďovateľovi účtovnej jednotky:</w:t>
            </w:r>
          </w:p>
        </w:tc>
        <w:tc>
          <w:tcPr>
            <w:tcW w:w="69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 a priezvisko fyzickej osoby alebo názov právnickej osoby, ktorá je zakladateľom alebo zriaďovateľom účtovnej jednotky</w:t>
            </w:r>
          </w:p>
        </w:tc>
      </w:tr>
      <w:tr>
        <w:trPr>
          <w:trHeight w:val="284" w:hRule="atLeast"/>
        </w:trPr>
        <w:tc>
          <w:tcPr>
            <w:tcW w:w="2865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69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Impulz, Združenie na pomoc ľuďom s mentálnym postihnutím v Petržalke</w:t>
            </w:r>
          </w:p>
        </w:tc>
      </w:tr>
      <w:tr>
        <w:trPr>
          <w:trHeight w:val="284" w:hRule="atLeast"/>
        </w:trPr>
        <w:tc>
          <w:tcPr>
            <w:tcW w:w="2865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69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/>
            </w:pPr>
            <w:r>
              <w:rPr>
                <w:b/>
                <w:bCs/>
                <w:sz w:val="16"/>
                <w:szCs w:val="16"/>
              </w:rPr>
              <w:t>Turnianska 10, 851 07 Bratislava</w:t>
            </w:r>
          </w:p>
        </w:tc>
      </w:tr>
      <w:tr>
        <w:trPr>
          <w:trHeight w:val="284" w:hRule="atLeast"/>
        </w:trPr>
        <w:tc>
          <w:tcPr>
            <w:tcW w:w="2865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69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</w:tr>
      <w:tr>
        <w:trPr>
          <w:trHeight w:val="178" w:hRule="atLeast"/>
        </w:trPr>
        <w:tc>
          <w:tcPr>
            <w:tcW w:w="28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Dátum</w:t>
            </w:r>
            <w:r>
              <w:rPr>
                <w:sz w:val="16"/>
                <w:szCs w:val="16"/>
              </w:rPr>
              <w:t xml:space="preserve"> založenia alebo zriadenia účtovnej jednotky</w:t>
            </w:r>
          </w:p>
        </w:tc>
        <w:tc>
          <w:tcPr>
            <w:tcW w:w="69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21. 10. 2001</w:t>
            </w:r>
          </w:p>
        </w:tc>
      </w:tr>
    </w:tbl>
    <w:p>
      <w:pPr>
        <w:pStyle w:val="Normal"/>
        <w:spacing w:lineRule="auto" w:line="240" w:before="0" w:after="0"/>
        <w:ind w:left="360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2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Informácie o členoch štatutárnych orgánov, dozorných orgánov  a iných orgánov účtovnej jednotky; uvádzajú sa mená a priezviská členov štatutárnych orgánov, dozorných orgánov a iných orgánov účtovnej jednotky.</w:t>
      </w:r>
    </w:p>
    <w:tbl>
      <w:tblPr>
        <w:tblW w:w="9802" w:type="dxa"/>
        <w:jc w:val="right"/>
        <w:tblInd w:w="0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48" w:type="dxa"/>
          <w:bottom w:w="0" w:type="dxa"/>
          <w:right w:w="108" w:type="dxa"/>
        </w:tblCellMar>
        <w:tblLook w:val="01e0"/>
      </w:tblPr>
      <w:tblGrid>
        <w:gridCol w:w="2831"/>
        <w:gridCol w:w="6970"/>
      </w:tblGrid>
      <w:tr>
        <w:trPr>
          <w:trHeight w:val="284" w:hRule="atLeast"/>
        </w:trPr>
        <w:tc>
          <w:tcPr>
            <w:tcW w:w="2831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Štatutárne orgány:</w:t>
            </w:r>
          </w:p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(Štatutár, správna rada, predsedníctvo)</w:t>
            </w:r>
          </w:p>
        </w:tc>
        <w:tc>
          <w:tcPr>
            <w:tcW w:w="69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</w:rPr>
            </w:pPr>
            <w:r>
              <w:rPr>
                <w:color w:val="00000A"/>
                <w:sz w:val="16"/>
                <w:szCs w:val="16"/>
              </w:rPr>
              <w:t>Mgr. Jana Mareková - predseda výboru</w:t>
            </w:r>
          </w:p>
        </w:tc>
      </w:tr>
      <w:tr>
        <w:trPr>
          <w:trHeight w:val="284" w:hRule="atLeast"/>
        </w:trPr>
        <w:tc>
          <w:tcPr>
            <w:tcW w:w="2831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69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</w:rPr>
            </w:pPr>
            <w:r>
              <w:rPr>
                <w:color w:val="00000A"/>
                <w:sz w:val="16"/>
                <w:szCs w:val="16"/>
              </w:rPr>
              <w:t>Mgr. Adriena Pekárová - podpredseda výboru</w:t>
            </w:r>
          </w:p>
        </w:tc>
      </w:tr>
      <w:tr>
        <w:trPr>
          <w:trHeight w:val="284" w:hRule="atLeast"/>
        </w:trPr>
        <w:tc>
          <w:tcPr>
            <w:tcW w:w="2831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69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</w:rPr>
            </w:pPr>
            <w:r>
              <w:rPr>
                <w:color w:val="00000A"/>
                <w:sz w:val="16"/>
                <w:szCs w:val="16"/>
              </w:rPr>
              <w:t xml:space="preserve">Mária Pozorová - člen výboru </w:t>
            </w:r>
          </w:p>
        </w:tc>
      </w:tr>
      <w:tr>
        <w:trPr>
          <w:trHeight w:val="284" w:hRule="atLeast"/>
        </w:trPr>
        <w:tc>
          <w:tcPr>
            <w:tcW w:w="2831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69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/>
            </w:pPr>
            <w:r>
              <w:rPr>
                <w:color w:val="00000A"/>
                <w:sz w:val="16"/>
                <w:szCs w:val="16"/>
              </w:rPr>
              <w:t xml:space="preserve"> </w:t>
            </w:r>
            <w:r>
              <w:rPr>
                <w:color w:val="00000A"/>
                <w:sz w:val="16"/>
                <w:szCs w:val="16"/>
              </w:rPr>
              <w:t>Mgr. Silvia Lakotová - člen výboru</w:t>
            </w:r>
          </w:p>
        </w:tc>
      </w:tr>
      <w:tr>
        <w:trPr>
          <w:trHeight w:val="284" w:hRule="atLeast"/>
        </w:trPr>
        <w:tc>
          <w:tcPr>
            <w:tcW w:w="2831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69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1C1C1C"/>
                <w:sz w:val="16"/>
                <w:szCs w:val="16"/>
              </w:rPr>
            </w:pPr>
            <w:r>
              <w:rPr>
                <w:color w:val="1C1C1C"/>
                <w:sz w:val="16"/>
                <w:szCs w:val="16"/>
              </w:rPr>
              <w:t>Alena Novotná-člen výboru</w:t>
            </w:r>
          </w:p>
        </w:tc>
      </w:tr>
      <w:tr>
        <w:trPr>
          <w:trHeight w:val="284" w:hRule="atLeast"/>
        </w:trPr>
        <w:tc>
          <w:tcPr>
            <w:tcW w:w="2831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69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1C1C1C"/>
                <w:sz w:val="16"/>
                <w:szCs w:val="16"/>
              </w:rPr>
            </w:pPr>
            <w:r>
              <w:rPr>
                <w:color w:val="1C1C1C"/>
                <w:sz w:val="16"/>
                <w:szCs w:val="16"/>
              </w:rPr>
              <w:t xml:space="preserve">Šarlota Štrompachová, akademická maliarka </w:t>
            </w:r>
          </w:p>
        </w:tc>
      </w:tr>
      <w:tr>
        <w:trPr>
          <w:trHeight w:val="284" w:hRule="atLeast"/>
        </w:trPr>
        <w:tc>
          <w:tcPr>
            <w:tcW w:w="2831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69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1C1C1C"/>
              </w:rPr>
            </w:pPr>
            <w:r>
              <w:rPr>
                <w:color w:val="1C1C1C"/>
              </w:rPr>
            </w:r>
          </w:p>
        </w:tc>
      </w:tr>
      <w:tr>
        <w:trPr>
          <w:trHeight w:val="284" w:hRule="atLeast"/>
        </w:trPr>
        <w:tc>
          <w:tcPr>
            <w:tcW w:w="2831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69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1C1C1C"/>
              </w:rPr>
            </w:pPr>
            <w:r>
              <w:rPr>
                <w:color w:val="1C1C1C"/>
              </w:rPr>
            </w:r>
          </w:p>
        </w:tc>
      </w:tr>
      <w:tr>
        <w:trPr>
          <w:trHeight w:val="284" w:hRule="atLeast"/>
        </w:trPr>
        <w:tc>
          <w:tcPr>
            <w:tcW w:w="2831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Dozorný orgán:</w:t>
            </w:r>
          </w:p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(Dozorná rada, revízor)</w:t>
            </w:r>
          </w:p>
        </w:tc>
        <w:tc>
          <w:tcPr>
            <w:tcW w:w="69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/>
            </w:pPr>
            <w:r>
              <w:rPr>
                <w:color w:val="1C1C1C"/>
                <w:sz w:val="16"/>
                <w:szCs w:val="16"/>
              </w:rPr>
              <w:t>PhDr. Katarína Jaloviarová  - člen revíznej komisie</w:t>
            </w:r>
          </w:p>
        </w:tc>
      </w:tr>
      <w:tr>
        <w:trPr>
          <w:trHeight w:val="284" w:hRule="atLeast"/>
        </w:trPr>
        <w:tc>
          <w:tcPr>
            <w:tcW w:w="2831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69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2831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69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</w:tr>
    </w:tbl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2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Opis činnosti, na účel ktorej bola účtovná jednotka zriadená a opis druhu podnikateľskej činnosti, ak ju účtovná jednotka vykonáva.</w:t>
      </w:r>
    </w:p>
    <w:tbl>
      <w:tblPr>
        <w:tblW w:w="9802" w:type="dxa"/>
        <w:jc w:val="right"/>
        <w:tblInd w:w="0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48" w:type="dxa"/>
          <w:bottom w:w="0" w:type="dxa"/>
          <w:right w:w="108" w:type="dxa"/>
        </w:tblCellMar>
        <w:tblLook w:val="01e0"/>
      </w:tblPr>
      <w:tblGrid>
        <w:gridCol w:w="2831"/>
        <w:gridCol w:w="6970"/>
      </w:tblGrid>
      <w:tr>
        <w:trPr>
          <w:trHeight w:val="284" w:hRule="atLeast"/>
        </w:trPr>
        <w:tc>
          <w:tcPr>
            <w:tcW w:w="2831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Hlavná činnosť:</w:t>
            </w:r>
          </w:p>
        </w:tc>
        <w:tc>
          <w:tcPr>
            <w:tcW w:w="69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Poskytovanie sociálnych služieb v rehabilitačnom stredisku v zmysle zákona 448/2008 Z.z. §37  </w:t>
            </w:r>
          </w:p>
        </w:tc>
      </w:tr>
      <w:tr>
        <w:trPr>
          <w:trHeight w:val="284" w:hRule="atLeast"/>
        </w:trPr>
        <w:tc>
          <w:tcPr>
            <w:tcW w:w="2831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69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2831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69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2831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69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2831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69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2831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69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2831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69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2831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Podnikateľská činnosť:</w:t>
            </w:r>
          </w:p>
        </w:tc>
        <w:tc>
          <w:tcPr>
            <w:tcW w:w="69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Prevádzka chránenej dielne na výrobu darčekových predmetov v zmysle zákona 5/2004 Z.z. §§59 a 60</w:t>
            </w:r>
          </w:p>
        </w:tc>
      </w:tr>
      <w:tr>
        <w:trPr>
          <w:trHeight w:val="284" w:hRule="atLeast"/>
        </w:trPr>
        <w:tc>
          <w:tcPr>
            <w:tcW w:w="2831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69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2831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69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</w:tbl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2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 xml:space="preserve">Priemerný prepočítaný počet zamestnancov, a z toho počet vedúcich zamestnancov účtovnej jednotky za účtovné obdobie, za ktoré sa zostavuje účtovná závierka (ďalej len „bežné účtovné obdobie“) a za bezprostredne predchádzajúce účtovné obdobie. Počet dobrovoľníkov vyslaných účtovnou jednotkou a počet dobrovoľníkov, ktorí vykonávali dobrovoľnícku činnosť pre účtovnú jednotku počas účtovného obdobia. </w:t>
      </w:r>
    </w:p>
    <w:tbl>
      <w:tblPr>
        <w:tblW w:w="4700" w:type="pct"/>
        <w:jc w:val="left"/>
        <w:tblInd w:w="331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48" w:type="dxa"/>
          <w:bottom w:w="0" w:type="dxa"/>
          <w:right w:w="108" w:type="dxa"/>
        </w:tblCellMar>
        <w:tblLook w:val="00a0"/>
      </w:tblPr>
      <w:tblGrid>
        <w:gridCol w:w="4683"/>
        <w:gridCol w:w="2208"/>
        <w:gridCol w:w="2488"/>
      </w:tblGrid>
      <w:tr>
        <w:trPr>
          <w:trHeight w:val="284" w:hRule="atLeast"/>
        </w:trPr>
        <w:tc>
          <w:tcPr>
            <w:tcW w:w="46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</w:tcPr>
          <w:p>
            <w:pPr>
              <w:pStyle w:val="Textopatrenia"/>
              <w:spacing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22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4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Bezprostredne predchádzajúce účtovné obdobie</w:t>
            </w:r>
          </w:p>
        </w:tc>
      </w:tr>
      <w:tr>
        <w:trPr>
          <w:trHeight w:val="284" w:hRule="atLeast"/>
        </w:trPr>
        <w:tc>
          <w:tcPr>
            <w:tcW w:w="46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Textopatrenia"/>
              <w:spacing w:before="0" w:after="0"/>
              <w:jc w:val="left"/>
              <w:rPr/>
            </w:pPr>
            <w:r>
              <w:rPr>
                <w:sz w:val="16"/>
                <w:szCs w:val="16"/>
              </w:rPr>
              <w:t>Stav pracovníkov k 31.12.2023</w:t>
            </w:r>
          </w:p>
        </w:tc>
        <w:tc>
          <w:tcPr>
            <w:tcW w:w="22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Textopatrenia"/>
              <w:spacing w:before="0" w:after="0"/>
              <w:jc w:val="center"/>
              <w:rPr/>
            </w:pPr>
            <w:r>
              <w:rPr>
                <w:color w:val="1C1C1C"/>
                <w:sz w:val="16"/>
                <w:szCs w:val="16"/>
              </w:rPr>
              <w:t>0</w:t>
            </w:r>
          </w:p>
        </w:tc>
        <w:tc>
          <w:tcPr>
            <w:tcW w:w="24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Textopatrenia"/>
              <w:spacing w:before="0" w:after="0"/>
              <w:jc w:val="center"/>
              <w:rPr/>
            </w:pPr>
            <w:r>
              <w:rPr>
                <w:color w:val="00000A"/>
                <w:sz w:val="16"/>
                <w:szCs w:val="16"/>
              </w:rPr>
              <w:t>0</w:t>
            </w:r>
          </w:p>
        </w:tc>
      </w:tr>
      <w:tr>
        <w:trPr>
          <w:trHeight w:val="284" w:hRule="atLeast"/>
        </w:trPr>
        <w:tc>
          <w:tcPr>
            <w:tcW w:w="46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Textopatrenia"/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Priemerný prepočítaný počet zamestnancov</w:t>
            </w:r>
          </w:p>
        </w:tc>
        <w:tc>
          <w:tcPr>
            <w:tcW w:w="22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Textopatrenia"/>
              <w:spacing w:before="0" w:after="0"/>
              <w:jc w:val="center"/>
              <w:rPr/>
            </w:pPr>
            <w:r>
              <w:rPr>
                <w:color w:val="1C1C1C"/>
                <w:sz w:val="16"/>
                <w:szCs w:val="16"/>
              </w:rPr>
              <w:t>2</w:t>
            </w:r>
          </w:p>
        </w:tc>
        <w:tc>
          <w:tcPr>
            <w:tcW w:w="24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Textopatrenia"/>
              <w:spacing w:before="0" w:after="0"/>
              <w:jc w:val="center"/>
              <w:rPr/>
            </w:pPr>
            <w:r>
              <w:rPr>
                <w:color w:val="00000A"/>
                <w:sz w:val="16"/>
                <w:szCs w:val="16"/>
              </w:rPr>
              <w:t>10</w:t>
            </w:r>
          </w:p>
        </w:tc>
      </w:tr>
      <w:tr>
        <w:trPr>
          <w:trHeight w:val="284" w:hRule="atLeast"/>
        </w:trPr>
        <w:tc>
          <w:tcPr>
            <w:tcW w:w="46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Textopatrenia"/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 toho  počet vedúcich zamestnancov</w:t>
            </w:r>
          </w:p>
        </w:tc>
        <w:tc>
          <w:tcPr>
            <w:tcW w:w="22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Textopatrenia"/>
              <w:spacing w:before="0" w:after="0"/>
              <w:jc w:val="center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1</w:t>
            </w:r>
          </w:p>
        </w:tc>
        <w:tc>
          <w:tcPr>
            <w:tcW w:w="24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Textopatrenia"/>
              <w:spacing w:before="0" w:after="0"/>
              <w:jc w:val="center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1</w:t>
            </w:r>
          </w:p>
        </w:tc>
      </w:tr>
      <w:tr>
        <w:trPr>
          <w:trHeight w:val="284" w:hRule="atLeast"/>
        </w:trPr>
        <w:tc>
          <w:tcPr>
            <w:tcW w:w="46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Textopatrenia"/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Počet dobrovoľníkov vyslaných účtovnou jednotkou </w:t>
            </w:r>
          </w:p>
        </w:tc>
        <w:tc>
          <w:tcPr>
            <w:tcW w:w="22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Textopatrenia"/>
              <w:spacing w:before="0" w:after="0"/>
              <w:jc w:val="center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0</w:t>
            </w:r>
          </w:p>
        </w:tc>
        <w:tc>
          <w:tcPr>
            <w:tcW w:w="24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Textopatrenia"/>
              <w:spacing w:before="0" w:after="0"/>
              <w:jc w:val="center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0</w:t>
            </w:r>
          </w:p>
        </w:tc>
      </w:tr>
      <w:tr>
        <w:trPr>
          <w:trHeight w:val="284" w:hRule="atLeast"/>
        </w:trPr>
        <w:tc>
          <w:tcPr>
            <w:tcW w:w="46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Textopatrenia"/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2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Textopatrenia"/>
              <w:spacing w:before="0" w:after="0"/>
              <w:jc w:val="center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0</w:t>
            </w:r>
          </w:p>
        </w:tc>
        <w:tc>
          <w:tcPr>
            <w:tcW w:w="24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Textopatrenia"/>
              <w:spacing w:before="0" w:after="0"/>
              <w:jc w:val="center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0</w:t>
            </w:r>
          </w:p>
        </w:tc>
      </w:tr>
    </w:tbl>
    <w:p>
      <w:pPr>
        <w:pStyle w:val="Normal"/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2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Informácia o organizáciách v zriaďovateľskej pôsobnosti účtovnej jednotky.</w:t>
      </w:r>
    </w:p>
    <w:p>
      <w:pPr>
        <w:pStyle w:val="Normal"/>
        <w:spacing w:lineRule="auto" w:line="240" w:before="0" w:after="120"/>
        <w:ind w:left="360" w:hanging="0"/>
        <w:rPr>
          <w:sz w:val="18"/>
          <w:szCs w:val="18"/>
        </w:rPr>
      </w:pPr>
      <w:r>
        <w:rPr>
          <w:sz w:val="18"/>
          <w:szCs w:val="18"/>
        </w:rPr>
        <w:t>Nezisková organizácia nemá vo svojej zriaďovateľskej pôsobnosti žiadne organizácie.</w:t>
      </w:r>
    </w:p>
    <w:p>
      <w:pPr>
        <w:pStyle w:val="Normal"/>
        <w:spacing w:lineRule="auto" w:line="240" w:before="0" w:after="120"/>
        <w:ind w:left="360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2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 xml:space="preserve">Údaje podľa čl. I, III a IV  sa uvádzajú v textovej podobe a tabuľkovej podobe. </w:t>
      </w:r>
    </w:p>
    <w:p>
      <w:pPr>
        <w:pStyle w:val="Normal"/>
        <w:spacing w:lineRule="auto" w:line="240" w:before="0" w:after="120"/>
        <w:ind w:left="360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keepNext/>
        <w:numPr>
          <w:ilvl w:val="0"/>
          <w:numId w:val="0"/>
        </w:numPr>
        <w:spacing w:lineRule="auto" w:line="240" w:before="0" w:after="0"/>
        <w:jc w:val="center"/>
        <w:outlineLvl w:val="0"/>
        <w:rPr>
          <w:b/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Čl. II</w:t>
      </w:r>
    </w:p>
    <w:p>
      <w:pPr>
        <w:pStyle w:val="Normal"/>
        <w:keepNext/>
        <w:numPr>
          <w:ilvl w:val="0"/>
          <w:numId w:val="0"/>
        </w:numPr>
        <w:spacing w:lineRule="auto" w:line="240" w:before="0" w:after="200"/>
        <w:jc w:val="center"/>
        <w:outlineLvl w:val="1"/>
        <w:rPr>
          <w:b/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Informácie o účtovných zásadách a účtovných metódach</w:t>
      </w:r>
    </w:p>
    <w:p>
      <w:pPr>
        <w:pStyle w:val="Normal"/>
        <w:numPr>
          <w:ilvl w:val="0"/>
          <w:numId w:val="3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Informácia, či je účtovná závierka zostavená za splnenia predpokladu, že účtovná jednotka bude nepretržite pokračovať vo svojej činnosti.</w:t>
      </w:r>
    </w:p>
    <w:p>
      <w:pPr>
        <w:pStyle w:val="Normal"/>
        <w:spacing w:lineRule="auto" w:line="240" w:before="0" w:after="120"/>
        <w:ind w:left="360" w:hanging="0"/>
        <w:rPr>
          <w:sz w:val="18"/>
          <w:szCs w:val="18"/>
        </w:rPr>
      </w:pPr>
      <w:r>
        <w:rPr>
          <w:sz w:val="18"/>
          <w:szCs w:val="18"/>
          <w:bdr w:val="single" w:sz="4" w:space="0" w:color="00000A"/>
        </w:rPr>
        <w:t>ÁNO</w:t>
        <w:tab/>
      </w:r>
      <w:r>
        <w:rPr>
          <w:sz w:val="18"/>
          <w:szCs w:val="18"/>
        </w:rPr>
        <w:tab/>
        <w:t xml:space="preserve"> </w:t>
      </w:r>
    </w:p>
    <w:p>
      <w:pPr>
        <w:pStyle w:val="Normal"/>
        <w:numPr>
          <w:ilvl w:val="0"/>
          <w:numId w:val="3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Zmeny účtovných zásad a zmeny účtovných metód s uvedením dôvodu týchto zmien a vyčíslením ich vplyvu na finančnú hodnotu majetku, záväzkov, základného imania a výsledku hospodárenia účtovnej jednotky.</w:t>
      </w:r>
    </w:p>
    <w:tbl>
      <w:tblPr>
        <w:tblW w:w="4750" w:type="pct"/>
        <w:jc w:val="left"/>
        <w:tblInd w:w="294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10" w:type="dxa"/>
          <w:bottom w:w="0" w:type="dxa"/>
          <w:right w:w="70" w:type="dxa"/>
        </w:tblCellMar>
        <w:tblLook w:val="0000"/>
      </w:tblPr>
      <w:tblGrid>
        <w:gridCol w:w="2785"/>
        <w:gridCol w:w="3346"/>
        <w:gridCol w:w="3348"/>
      </w:tblGrid>
      <w:tr>
        <w:trPr>
          <w:trHeight w:val="284" w:hRule="atLeast"/>
        </w:trPr>
        <w:tc>
          <w:tcPr>
            <w:tcW w:w="27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b/>
                <w:b/>
                <w:bCs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b/>
                <w:bCs/>
                <w:sz w:val="16"/>
                <w:szCs w:val="16"/>
                <w:lang w:val="sk-SK"/>
              </w:rPr>
              <w:t>Druh zmeny</w:t>
            </w:r>
          </w:p>
        </w:tc>
        <w:tc>
          <w:tcPr>
            <w:tcW w:w="33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b/>
                <w:b/>
                <w:bCs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b/>
                <w:bCs/>
                <w:sz w:val="16"/>
                <w:szCs w:val="16"/>
                <w:lang w:val="sk-SK"/>
              </w:rPr>
              <w:t>Dôvod</w:t>
            </w:r>
          </w:p>
        </w:tc>
        <w:tc>
          <w:tcPr>
            <w:tcW w:w="33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b/>
                <w:b/>
                <w:bCs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b/>
                <w:bCs/>
                <w:sz w:val="16"/>
                <w:szCs w:val="16"/>
                <w:lang w:val="sk-SK"/>
              </w:rPr>
              <w:t>Vplyv na hodnotu majetku, záväzkov, základného imania a výsledku hospodárenia</w:t>
            </w:r>
          </w:p>
        </w:tc>
      </w:tr>
      <w:tr>
        <w:trPr>
          <w:trHeight w:val="284" w:hRule="atLeast"/>
        </w:trPr>
        <w:tc>
          <w:tcPr>
            <w:tcW w:w="27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sz w:val="16"/>
                <w:szCs w:val="16"/>
                <w:lang w:val="sk-SK"/>
              </w:rPr>
              <w:t>Nenastali</w:t>
            </w:r>
          </w:p>
        </w:tc>
        <w:tc>
          <w:tcPr>
            <w:tcW w:w="33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sz w:val="16"/>
                <w:szCs w:val="16"/>
                <w:lang w:val="sk-SK"/>
              </w:rPr>
            </w:r>
          </w:p>
        </w:tc>
        <w:tc>
          <w:tcPr>
            <w:tcW w:w="33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sz w:val="16"/>
                <w:szCs w:val="16"/>
                <w:lang w:val="sk-SK"/>
              </w:rPr>
            </w:r>
          </w:p>
        </w:tc>
      </w:tr>
    </w:tbl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3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Spôsob oceňovania jednotlivých položiek majetku a záväzkov v členení na</w:t>
      </w:r>
    </w:p>
    <w:tbl>
      <w:tblPr>
        <w:tblW w:w="9802" w:type="dxa"/>
        <w:jc w:val="right"/>
        <w:tblInd w:w="0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48" w:type="dxa"/>
          <w:bottom w:w="0" w:type="dxa"/>
          <w:right w:w="108" w:type="dxa"/>
        </w:tblCellMar>
        <w:tblLook w:val="01e0"/>
      </w:tblPr>
      <w:tblGrid>
        <w:gridCol w:w="6294"/>
        <w:gridCol w:w="3507"/>
      </w:tblGrid>
      <w:tr>
        <w:trPr>
          <w:trHeight w:val="284" w:hRule="atLeas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Majetok a záväzky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Spôsob oceňovania</w:t>
            </w:r>
          </w:p>
        </w:tc>
      </w:tr>
      <w:tr>
        <w:trPr>
          <w:trHeight w:val="284" w:hRule="atLeas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dlhodobý nehmotný majetok obstaraný kúpou 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Nebol obstaraný</w:t>
            </w:r>
          </w:p>
        </w:tc>
      </w:tr>
      <w:tr>
        <w:trPr>
          <w:trHeight w:val="284" w:hRule="atLeas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dlhodobý nehmotný majetok obstaraný vlastnou činnosťou 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Nebol obstaraný</w:t>
            </w:r>
          </w:p>
        </w:tc>
      </w:tr>
      <w:tr>
        <w:trPr>
          <w:trHeight w:val="284" w:hRule="atLeas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dlhodobý nehmotný majetok obstaraný iným spôsobom 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Nebol obstaraný</w:t>
            </w:r>
          </w:p>
        </w:tc>
      </w:tr>
      <w:tr>
        <w:trPr>
          <w:trHeight w:val="284" w:hRule="atLeas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dlhodobý hmotný majetok obstaraný kúpou 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Obstarávacia cena</w:t>
            </w:r>
          </w:p>
        </w:tc>
      </w:tr>
      <w:tr>
        <w:trPr>
          <w:trHeight w:val="284" w:hRule="atLeas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dlhodobý hmotný majetok obstaraný vlastnou činnosťou 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Nebol obstaraný</w:t>
            </w:r>
          </w:p>
        </w:tc>
      </w:tr>
      <w:tr>
        <w:trPr>
          <w:trHeight w:val="284" w:hRule="atLeas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dlhodobý hmotný majetok obstaraný iným spôsobom 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Nebol obstaraný</w:t>
            </w:r>
          </w:p>
        </w:tc>
      </w:tr>
      <w:tr>
        <w:trPr>
          <w:trHeight w:val="284" w:hRule="atLeas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dlhodobý finančný majetok 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Nebol obstaraný</w:t>
            </w:r>
          </w:p>
        </w:tc>
      </w:tr>
      <w:tr>
        <w:trPr>
          <w:trHeight w:val="284" w:hRule="atLeas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zásoby obstarané kúpou 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Obstarávacia cena</w:t>
            </w:r>
          </w:p>
        </w:tc>
      </w:tr>
      <w:tr>
        <w:trPr>
          <w:trHeight w:val="284" w:hRule="atLeas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zásoby vytvorené vlastnou činnosťou 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Neboli vytvorené</w:t>
            </w:r>
          </w:p>
        </w:tc>
      </w:tr>
      <w:tr>
        <w:trPr>
          <w:trHeight w:val="284" w:hRule="atLeas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zásoby obstarané iným spôsobom 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Neboli obstarané</w:t>
            </w:r>
          </w:p>
        </w:tc>
      </w:tr>
      <w:tr>
        <w:trPr>
          <w:trHeight w:val="284" w:hRule="atLeas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pohľadávky 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Menovitou hodnotou</w:t>
            </w:r>
          </w:p>
        </w:tc>
      </w:tr>
      <w:tr>
        <w:trPr>
          <w:trHeight w:val="284" w:hRule="atLeas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krátkodobý finančný majetok 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Menovitou hodnotou</w:t>
            </w:r>
          </w:p>
        </w:tc>
      </w:tr>
      <w:tr>
        <w:trPr>
          <w:trHeight w:val="284" w:hRule="atLeas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časové rozlíšenie na strane aktív súvahy 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Menovitou hodnotou</w:t>
            </w:r>
          </w:p>
        </w:tc>
      </w:tr>
      <w:tr>
        <w:trPr>
          <w:trHeight w:val="284" w:hRule="atLeas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záväzky, vrátane rezerv, dlhopisov, pôžičiek a úverov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Menovitou hodnotou</w:t>
            </w:r>
          </w:p>
        </w:tc>
      </w:tr>
      <w:tr>
        <w:trPr>
          <w:trHeight w:val="284" w:hRule="atLeas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časové rozlíšenie na strane pasív súvahy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Menovitou hodnotou</w:t>
            </w:r>
          </w:p>
        </w:tc>
      </w:tr>
      <w:tr>
        <w:trPr>
          <w:trHeight w:val="284" w:hRule="atLeas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deriváty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Netýka sa</w:t>
            </w:r>
          </w:p>
        </w:tc>
      </w:tr>
      <w:tr>
        <w:trPr>
          <w:trHeight w:val="284" w:hRule="atLeas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majetok a záväzky zabezpečené derivátmi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Netýka sa</w:t>
            </w:r>
          </w:p>
        </w:tc>
      </w:tr>
      <w:tr>
        <w:trPr>
          <w:trHeight w:val="284" w:hRule="atLeas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prenajatý majetok a majetok obstaraný na základe finančného prenájmu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Netýka sa</w:t>
            </w:r>
          </w:p>
        </w:tc>
      </w:tr>
    </w:tbl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3"/>
        </w:numPr>
        <w:spacing w:lineRule="auto" w:line="240" w:before="0" w:after="120"/>
        <w:rPr>
          <w:color w:val="FF0000"/>
          <w:sz w:val="18"/>
          <w:szCs w:val="18"/>
        </w:rPr>
      </w:pPr>
      <w:r>
        <w:rPr>
          <w:color w:val="1C1C1C"/>
          <w:sz w:val="18"/>
          <w:szCs w:val="18"/>
        </w:rPr>
        <w:t xml:space="preserve">Spôsob zostavenia odpisového plánu pre jednotlivé druhy dlhodobého hmotného majetku  a dlhodobého nehmotného majetku, pričom sa uvádza doba odpisovania, použité sadzby odpisov a odpisové metódy pri určení účtovných odpisov. </w:t>
      </w:r>
    </w:p>
    <w:tbl>
      <w:tblPr>
        <w:tblW w:w="4800" w:type="pct"/>
        <w:jc w:val="left"/>
        <w:tblInd w:w="294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10" w:type="dxa"/>
          <w:bottom w:w="0" w:type="dxa"/>
          <w:right w:w="70" w:type="dxa"/>
        </w:tblCellMar>
        <w:tblLook w:val="0000"/>
      </w:tblPr>
      <w:tblGrid>
        <w:gridCol w:w="2359"/>
        <w:gridCol w:w="1973"/>
        <w:gridCol w:w="2372"/>
        <w:gridCol w:w="2873"/>
      </w:tblGrid>
      <w:tr>
        <w:trPr>
          <w:trHeight w:val="284" w:hRule="atLeast"/>
        </w:trPr>
        <w:tc>
          <w:tcPr>
            <w:tcW w:w="23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" w:type="dxa"/>
            </w:tcMar>
            <w:vAlign w:val="center"/>
          </w:tcPr>
          <w:p>
            <w:pPr>
              <w:pStyle w:val="Telotextu"/>
              <w:jc w:val="left"/>
              <w:rPr>
                <w:rFonts w:ascii="Arial Narrow" w:hAnsi="Arial Narrow" w:cs="Arial Narrow"/>
                <w:b/>
                <w:b/>
                <w:bCs/>
                <w:color w:val="FF0000"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b/>
                <w:bCs/>
                <w:color w:val="1C1C1C"/>
                <w:sz w:val="16"/>
                <w:szCs w:val="16"/>
                <w:lang w:val="sk-SK"/>
              </w:rPr>
              <w:t>Druh dlhodobého majetku</w:t>
            </w:r>
          </w:p>
        </w:tc>
        <w:tc>
          <w:tcPr>
            <w:tcW w:w="19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b/>
                <w:b/>
                <w:bCs/>
                <w:color w:val="FF0000"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b/>
                <w:bCs/>
                <w:color w:val="1C1C1C"/>
                <w:sz w:val="16"/>
                <w:szCs w:val="16"/>
                <w:lang w:val="sk-SK"/>
              </w:rPr>
              <w:t>Doba odpisovania</w:t>
            </w:r>
          </w:p>
        </w:tc>
        <w:tc>
          <w:tcPr>
            <w:tcW w:w="237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b/>
                <w:b/>
                <w:bCs/>
                <w:color w:val="FF0000"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b/>
                <w:bCs/>
                <w:color w:val="1C1C1C"/>
                <w:sz w:val="16"/>
                <w:szCs w:val="16"/>
                <w:lang w:val="sk-SK"/>
              </w:rPr>
              <w:t>Sadzby odpisov</w:t>
            </w:r>
          </w:p>
        </w:tc>
        <w:tc>
          <w:tcPr>
            <w:tcW w:w="28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b/>
                <w:b/>
                <w:bCs/>
                <w:color w:val="FF0000"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b/>
                <w:bCs/>
                <w:color w:val="1C1C1C"/>
                <w:sz w:val="16"/>
                <w:szCs w:val="16"/>
                <w:lang w:val="sk-SK"/>
              </w:rPr>
              <w:t>Odpisová metóda</w:t>
            </w:r>
          </w:p>
        </w:tc>
      </w:tr>
      <w:tr>
        <w:trPr>
          <w:trHeight w:val="284" w:hRule="atLeast"/>
        </w:trPr>
        <w:tc>
          <w:tcPr>
            <w:tcW w:w="23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" w:type="dxa"/>
            </w:tcMar>
            <w:vAlign w:val="center"/>
          </w:tcPr>
          <w:p>
            <w:pPr>
              <w:pStyle w:val="Telotextu"/>
              <w:jc w:val="left"/>
              <w:rPr>
                <w:rFonts w:ascii="Arial Narrow" w:hAnsi="Arial Narrow" w:cs="Arial Narrow"/>
                <w:color w:val="FF0000"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color w:val="1C1C1C"/>
                <w:sz w:val="16"/>
                <w:szCs w:val="16"/>
                <w:lang w:val="sk-SK"/>
              </w:rPr>
              <w:t>Samostatné hnuteľné veci</w:t>
            </w:r>
          </w:p>
        </w:tc>
        <w:tc>
          <w:tcPr>
            <w:tcW w:w="19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color w:val="1C1C1C"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color w:val="1C1C1C"/>
                <w:sz w:val="16"/>
                <w:szCs w:val="16"/>
                <w:lang w:val="sk-SK"/>
              </w:rPr>
              <w:t>48 mesiacov</w:t>
            </w:r>
          </w:p>
        </w:tc>
        <w:tc>
          <w:tcPr>
            <w:tcW w:w="237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color w:val="1C1C1C"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color w:val="1C1C1C"/>
                <w:sz w:val="16"/>
                <w:szCs w:val="16"/>
                <w:lang w:val="sk-SK"/>
              </w:rPr>
            </w:r>
          </w:p>
        </w:tc>
        <w:tc>
          <w:tcPr>
            <w:tcW w:w="28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color w:val="1C1C1C"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color w:val="1C1C1C"/>
                <w:sz w:val="16"/>
                <w:szCs w:val="16"/>
                <w:lang w:val="sk-SK"/>
              </w:rPr>
            </w:r>
          </w:p>
        </w:tc>
      </w:tr>
      <w:tr>
        <w:trPr>
          <w:trHeight w:val="284" w:hRule="atLeast"/>
        </w:trPr>
        <w:tc>
          <w:tcPr>
            <w:tcW w:w="23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" w:type="dxa"/>
            </w:tcMar>
            <w:vAlign w:val="center"/>
          </w:tcPr>
          <w:p>
            <w:pPr>
              <w:pStyle w:val="Telotextu"/>
              <w:jc w:val="left"/>
              <w:rPr>
                <w:rFonts w:ascii="Arial Narrow" w:hAnsi="Arial Narrow" w:cs="Arial Narrow"/>
                <w:color w:val="FF0000"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color w:val="1C1C1C"/>
                <w:sz w:val="16"/>
                <w:szCs w:val="16"/>
                <w:lang w:val="sk-SK"/>
              </w:rPr>
              <w:t>Drobný dlhodobý hmotný majetok</w:t>
            </w:r>
          </w:p>
        </w:tc>
        <w:tc>
          <w:tcPr>
            <w:tcW w:w="19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color w:val="1C1C1C"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color w:val="1C1C1C"/>
                <w:sz w:val="16"/>
                <w:szCs w:val="16"/>
                <w:lang w:val="sk-SK"/>
              </w:rPr>
              <w:t>24 mesiacov</w:t>
            </w:r>
          </w:p>
        </w:tc>
        <w:tc>
          <w:tcPr>
            <w:tcW w:w="237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color w:val="1C1C1C"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color w:val="1C1C1C"/>
                <w:sz w:val="16"/>
                <w:szCs w:val="16"/>
                <w:lang w:val="sk-SK"/>
              </w:rPr>
            </w:r>
          </w:p>
        </w:tc>
        <w:tc>
          <w:tcPr>
            <w:tcW w:w="28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color w:val="1C1C1C"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color w:val="1C1C1C"/>
                <w:sz w:val="16"/>
                <w:szCs w:val="16"/>
                <w:lang w:val="sk-SK"/>
              </w:rPr>
            </w:r>
          </w:p>
        </w:tc>
      </w:tr>
    </w:tbl>
    <w:p>
      <w:pPr>
        <w:pStyle w:val="Normal"/>
        <w:spacing w:lineRule="auto" w:line="240" w:before="0" w:after="0"/>
        <w:rPr>
          <w:color w:val="1C1C1C"/>
          <w:sz w:val="18"/>
          <w:szCs w:val="18"/>
        </w:rPr>
      </w:pPr>
      <w:r>
        <w:rPr>
          <w:color w:val="1C1C1C"/>
          <w:sz w:val="18"/>
          <w:szCs w:val="18"/>
        </w:rPr>
      </w:r>
    </w:p>
    <w:p>
      <w:pPr>
        <w:pStyle w:val="Normal"/>
        <w:numPr>
          <w:ilvl w:val="0"/>
          <w:numId w:val="3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 xml:space="preserve">Zásady pre zohľadnenie zníženia hodnoty majetku – účtovná jednotka uplatňuje: </w:t>
      </w:r>
    </w:p>
    <w:tbl>
      <w:tblPr>
        <w:tblW w:w="9781" w:type="dxa"/>
        <w:jc w:val="left"/>
        <w:tblInd w:w="331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48" w:type="dxa"/>
          <w:bottom w:w="0" w:type="dxa"/>
          <w:right w:w="108" w:type="dxa"/>
        </w:tblCellMar>
        <w:tblLook w:val="00a0"/>
      </w:tblPr>
      <w:tblGrid>
        <w:gridCol w:w="4365"/>
        <w:gridCol w:w="5415"/>
      </w:tblGrid>
      <w:tr>
        <w:trPr>
          <w:trHeight w:val="284" w:hRule="atLeast"/>
        </w:trPr>
        <w:tc>
          <w:tcPr>
            <w:tcW w:w="43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b/>
                <w:b/>
                <w:bCs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b/>
                <w:bCs/>
                <w:sz w:val="16"/>
                <w:szCs w:val="16"/>
                <w:lang w:val="sk-SK"/>
              </w:rPr>
              <w:t>Opravné položky</w:t>
            </w:r>
          </w:p>
        </w:tc>
        <w:tc>
          <w:tcPr>
            <w:tcW w:w="54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b/>
                <w:b/>
                <w:bCs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b/>
                <w:bCs/>
                <w:sz w:val="16"/>
                <w:szCs w:val="16"/>
                <w:lang w:val="sk-SK"/>
              </w:rPr>
              <w:t>Rezervy</w:t>
            </w:r>
          </w:p>
        </w:tc>
      </w:tr>
      <w:tr>
        <w:trPr>
          <w:trHeight w:val="284" w:hRule="atLeast"/>
        </w:trPr>
        <w:tc>
          <w:tcPr>
            <w:tcW w:w="43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Nie</w:t>
            </w:r>
          </w:p>
        </w:tc>
        <w:tc>
          <w:tcPr>
            <w:tcW w:w="54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nie </w:t>
            </w:r>
          </w:p>
        </w:tc>
      </w:tr>
    </w:tbl>
    <w:p>
      <w:pPr>
        <w:pStyle w:val="Normal"/>
        <w:spacing w:lineRule="auto" w:line="240" w:before="0" w:after="120"/>
        <w:rPr>
          <w:sz w:val="16"/>
          <w:szCs w:val="16"/>
        </w:rPr>
      </w:pPr>
      <w:r>
        <w:rPr>
          <w:sz w:val="16"/>
          <w:szCs w:val="16"/>
        </w:rPr>
      </w:r>
    </w:p>
    <w:p>
      <w:pPr>
        <w:pStyle w:val="Normal"/>
        <w:spacing w:lineRule="auto" w:line="240" w:before="0" w:after="120"/>
        <w:rPr>
          <w:sz w:val="16"/>
          <w:szCs w:val="16"/>
        </w:rPr>
      </w:pPr>
      <w:r>
        <w:rPr>
          <w:sz w:val="16"/>
          <w:szCs w:val="16"/>
        </w:rPr>
      </w:r>
    </w:p>
    <w:p>
      <w:pPr>
        <w:pStyle w:val="Normal"/>
        <w:keepNext/>
        <w:numPr>
          <w:ilvl w:val="0"/>
          <w:numId w:val="0"/>
        </w:numPr>
        <w:spacing w:lineRule="auto" w:line="240" w:before="0" w:after="0"/>
        <w:jc w:val="center"/>
        <w:outlineLvl w:val="0"/>
        <w:rPr>
          <w:b/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Čl. III</w:t>
      </w:r>
    </w:p>
    <w:p>
      <w:pPr>
        <w:pStyle w:val="Normal"/>
        <w:keepNext/>
        <w:numPr>
          <w:ilvl w:val="0"/>
          <w:numId w:val="0"/>
        </w:numPr>
        <w:spacing w:lineRule="auto" w:line="240" w:before="0" w:after="120"/>
        <w:jc w:val="center"/>
        <w:outlineLvl w:val="1"/>
        <w:rPr>
          <w:b/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Informácie, ktoré dopĺňajú a vysvetľujú údaje v súvahe</w:t>
      </w:r>
    </w:p>
    <w:p>
      <w:pPr>
        <w:pStyle w:val="Normal"/>
        <w:numPr>
          <w:ilvl w:val="0"/>
          <w:numId w:val="5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Údaje o dlhodobom nehmotnom majetku a dlhodobom hmotnom majetku za bežné účtovné obdobie:</w:t>
      </w:r>
    </w:p>
    <w:p>
      <w:pPr>
        <w:pStyle w:val="Normal"/>
        <w:numPr>
          <w:ilvl w:val="0"/>
          <w:numId w:val="6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prehľad o dlhodobom majetku podľa položiek tohto majetku v členení podľa položiek súvahy; uvádza sa stav dlhodobého majetku v prvotnom ocenení na začiatku bežného účtovného obdobia, prírastky, úbytky a presuny tohto majetku a zostatok na konci bežného účtovného obdobia,</w:t>
      </w:r>
    </w:p>
    <w:p>
      <w:pPr>
        <w:pStyle w:val="Normal"/>
        <w:numPr>
          <w:ilvl w:val="0"/>
          <w:numId w:val="6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prehľad oprávok a opravných položiek k dlhodobému majetku podľa jednotlivých položiek tohto majetku v členení podľa položiek súvahy; uvádza sa stav oprávok a opravných položiek k dlhodobému majetku na začiatku bežného účtovného obdobia, ich prírastky a úbytky počas bežného účtovného obdobia a zostatok na konci bežného účtovného obdobia,</w:t>
      </w:r>
    </w:p>
    <w:p>
      <w:pPr>
        <w:pStyle w:val="Normal"/>
        <w:numPr>
          <w:ilvl w:val="0"/>
          <w:numId w:val="6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prehľad o zostatkových cenách dlhodobého majetku na začiatku bežného účtovného obdobia a na konci bežného účtovného obdobia.</w:t>
      </w:r>
    </w:p>
    <w:p>
      <w:pPr>
        <w:pStyle w:val="Normal"/>
        <w:spacing w:lineRule="auto" w:line="240" w:before="0" w:after="120"/>
        <w:rPr>
          <w:b/>
          <w:b/>
          <w:bCs/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Tabuľka č. 1</w:t>
      </w:r>
    </w:p>
    <w:tbl>
      <w:tblPr>
        <w:tblW w:w="5000" w:type="pct"/>
        <w:jc w:val="left"/>
        <w:tblInd w:w="-12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5" w:type="dxa"/>
          <w:bottom w:w="0" w:type="dxa"/>
          <w:right w:w="70" w:type="dxa"/>
        </w:tblCellMar>
        <w:tblLook w:val="00a0"/>
      </w:tblPr>
      <w:tblGrid>
        <w:gridCol w:w="2288"/>
        <w:gridCol w:w="1124"/>
        <w:gridCol w:w="1041"/>
        <w:gridCol w:w="1089"/>
        <w:gridCol w:w="1074"/>
        <w:gridCol w:w="1231"/>
        <w:gridCol w:w="1132"/>
        <w:gridCol w:w="997"/>
      </w:tblGrid>
      <w:tr>
        <w:trPr>
          <w:trHeight w:val="1224" w:hRule="atLeast"/>
        </w:trPr>
        <w:tc>
          <w:tcPr>
            <w:tcW w:w="22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Nehmotné výsledky z vývojovej a obdobnej činnosti</w:t>
            </w:r>
          </w:p>
        </w:tc>
        <w:tc>
          <w:tcPr>
            <w:tcW w:w="10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Softvér</w:t>
            </w:r>
          </w:p>
        </w:tc>
        <w:tc>
          <w:tcPr>
            <w:tcW w:w="10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Oceniteľné práva</w:t>
            </w:r>
          </w:p>
        </w:tc>
        <w:tc>
          <w:tcPr>
            <w:tcW w:w="10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Ostatný dlhodobý nehmotný majetok</w:t>
            </w:r>
          </w:p>
        </w:tc>
        <w:tc>
          <w:tcPr>
            <w:tcW w:w="12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Obstaranie dlhodobého nehmotného majetku</w:t>
            </w:r>
          </w:p>
        </w:tc>
        <w:tc>
          <w:tcPr>
            <w:tcW w:w="11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Poskytnuté preddavky na dlhodobý nehmotný majetok</w:t>
            </w:r>
          </w:p>
        </w:tc>
        <w:tc>
          <w:tcPr>
            <w:tcW w:w="9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Spolu</w:t>
            </w:r>
          </w:p>
        </w:tc>
      </w:tr>
      <w:tr>
        <w:trPr>
          <w:trHeight w:val="612" w:hRule="atLeast"/>
        </w:trPr>
        <w:tc>
          <w:tcPr>
            <w:tcW w:w="22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Prvotné ocenenie</w:t>
            </w:r>
            <w:r>
              <w:rPr>
                <w:sz w:val="16"/>
                <w:szCs w:val="16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11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0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0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0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0</w:t>
            </w:r>
          </w:p>
        </w:tc>
      </w:tr>
      <w:tr>
        <w:trPr>
          <w:trHeight w:val="288" w:hRule="atLeast"/>
        </w:trPr>
        <w:tc>
          <w:tcPr>
            <w:tcW w:w="22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11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0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0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0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2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1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9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</w:tr>
      <w:tr>
        <w:trPr>
          <w:trHeight w:val="288" w:hRule="atLeast"/>
        </w:trPr>
        <w:tc>
          <w:tcPr>
            <w:tcW w:w="22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11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0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0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0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2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1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9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</w:tr>
      <w:tr>
        <w:trPr>
          <w:trHeight w:val="288" w:hRule="atLeast"/>
        </w:trPr>
        <w:tc>
          <w:tcPr>
            <w:tcW w:w="22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11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0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0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0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2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1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9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</w:tr>
      <w:tr>
        <w:trPr>
          <w:trHeight w:val="408" w:hRule="atLeast"/>
        </w:trPr>
        <w:tc>
          <w:tcPr>
            <w:tcW w:w="22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11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0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0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0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2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1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9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</w:tr>
      <w:tr>
        <w:trPr>
          <w:trHeight w:val="408" w:hRule="atLeast"/>
        </w:trPr>
        <w:tc>
          <w:tcPr>
            <w:tcW w:w="22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 xml:space="preserve">Oprávky – </w:t>
            </w:r>
            <w:r>
              <w:rPr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1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0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0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0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2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1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9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</w:tr>
      <w:tr>
        <w:trPr>
          <w:trHeight w:val="288" w:hRule="atLeast"/>
        </w:trPr>
        <w:tc>
          <w:tcPr>
            <w:tcW w:w="22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11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0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0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0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2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1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9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</w:tr>
      <w:tr>
        <w:trPr>
          <w:trHeight w:val="288" w:hRule="atLeast"/>
        </w:trPr>
        <w:tc>
          <w:tcPr>
            <w:tcW w:w="22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11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0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0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0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2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1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9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</w:tr>
      <w:tr>
        <w:trPr>
          <w:trHeight w:val="408" w:hRule="atLeast"/>
        </w:trPr>
        <w:tc>
          <w:tcPr>
            <w:tcW w:w="22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11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0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0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0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2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1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9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</w:tr>
      <w:tr>
        <w:trPr>
          <w:trHeight w:val="612" w:hRule="atLeast"/>
        </w:trPr>
        <w:tc>
          <w:tcPr>
            <w:tcW w:w="22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Opravné položky</w:t>
            </w:r>
            <w:r>
              <w:rPr>
                <w:sz w:val="16"/>
                <w:szCs w:val="16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11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0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0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0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2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1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9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</w:tr>
      <w:tr>
        <w:trPr>
          <w:trHeight w:val="288" w:hRule="atLeast"/>
        </w:trPr>
        <w:tc>
          <w:tcPr>
            <w:tcW w:w="22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11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0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0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0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2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1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9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</w:tr>
      <w:tr>
        <w:trPr>
          <w:trHeight w:val="288" w:hRule="atLeast"/>
        </w:trPr>
        <w:tc>
          <w:tcPr>
            <w:tcW w:w="22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11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0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0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0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2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1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9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</w:tr>
      <w:tr>
        <w:trPr>
          <w:trHeight w:val="408" w:hRule="atLeast"/>
        </w:trPr>
        <w:tc>
          <w:tcPr>
            <w:tcW w:w="22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11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0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0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0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2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1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9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</w:tr>
      <w:tr>
        <w:trPr>
          <w:trHeight w:val="288" w:hRule="atLeast"/>
        </w:trPr>
        <w:tc>
          <w:tcPr>
            <w:tcW w:w="9976" w:type="dxa"/>
            <w:gridSpan w:val="8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Zostatková hodnota</w:t>
            </w:r>
          </w:p>
        </w:tc>
      </w:tr>
      <w:tr>
        <w:trPr>
          <w:trHeight w:val="408" w:hRule="atLeast"/>
        </w:trPr>
        <w:tc>
          <w:tcPr>
            <w:tcW w:w="22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1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2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1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9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>
        <w:trPr>
          <w:trHeight w:val="408" w:hRule="atLeast"/>
        </w:trPr>
        <w:tc>
          <w:tcPr>
            <w:tcW w:w="22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11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</w:rPr>
              <w:t>0</w:t>
            </w:r>
          </w:p>
        </w:tc>
        <w:tc>
          <w:tcPr>
            <w:tcW w:w="10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</w:rPr>
              <w:t>0</w:t>
            </w:r>
          </w:p>
        </w:tc>
        <w:tc>
          <w:tcPr>
            <w:tcW w:w="10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</w:rPr>
              <w:t>0</w:t>
            </w:r>
          </w:p>
        </w:tc>
        <w:tc>
          <w:tcPr>
            <w:tcW w:w="10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</w:rPr>
              <w:t>0</w:t>
            </w:r>
          </w:p>
        </w:tc>
        <w:tc>
          <w:tcPr>
            <w:tcW w:w="12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</w:rPr>
              <w:t>0</w:t>
            </w:r>
          </w:p>
        </w:tc>
        <w:tc>
          <w:tcPr>
            <w:tcW w:w="11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</w:rPr>
              <w:t>0</w:t>
            </w:r>
          </w:p>
        </w:tc>
        <w:tc>
          <w:tcPr>
            <w:tcW w:w="9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</w:rPr>
              <w:t>0</w:t>
            </w:r>
          </w:p>
        </w:tc>
      </w:tr>
    </w:tbl>
    <w:p>
      <w:pPr>
        <w:pStyle w:val="Normal"/>
        <w:spacing w:lineRule="auto" w:line="240"/>
        <w:rPr>
          <w:b/>
          <w:b/>
          <w:bCs/>
          <w:i/>
          <w:i/>
          <w:iCs/>
          <w:color w:val="00000A"/>
          <w:sz w:val="18"/>
          <w:szCs w:val="18"/>
        </w:rPr>
      </w:pPr>
      <w:r>
        <w:rPr>
          <w:b/>
          <w:bCs/>
          <w:i/>
          <w:iCs/>
          <w:color w:val="00000A"/>
          <w:sz w:val="18"/>
          <w:szCs w:val="18"/>
        </w:rPr>
      </w:r>
    </w:p>
    <w:p>
      <w:pPr>
        <w:pStyle w:val="Normal"/>
        <w:spacing w:lineRule="auto" w:line="240"/>
        <w:rPr>
          <w:b/>
          <w:b/>
          <w:bCs/>
          <w:i/>
          <w:i/>
          <w:iCs/>
          <w:color w:val="00000A"/>
          <w:sz w:val="18"/>
          <w:szCs w:val="18"/>
        </w:rPr>
      </w:pPr>
      <w:r>
        <w:rPr>
          <w:b/>
          <w:bCs/>
          <w:i/>
          <w:iCs/>
          <w:color w:val="00000A"/>
          <w:sz w:val="18"/>
          <w:szCs w:val="18"/>
        </w:rPr>
        <w:t>Tabuľka č. 2</w:t>
      </w:r>
    </w:p>
    <w:tbl>
      <w:tblPr>
        <w:tblW w:w="10475" w:type="dxa"/>
        <w:jc w:val="left"/>
        <w:tblInd w:w="-12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5" w:type="dxa"/>
          <w:bottom w:w="0" w:type="dxa"/>
          <w:right w:w="70" w:type="dxa"/>
        </w:tblCellMar>
        <w:tblLook w:val="00a0"/>
      </w:tblPr>
      <w:tblGrid>
        <w:gridCol w:w="1487"/>
        <w:gridCol w:w="709"/>
        <w:gridCol w:w="850"/>
        <w:gridCol w:w="849"/>
        <w:gridCol w:w="850"/>
        <w:gridCol w:w="992"/>
        <w:gridCol w:w="709"/>
        <w:gridCol w:w="854"/>
        <w:gridCol w:w="849"/>
        <w:gridCol w:w="709"/>
        <w:gridCol w:w="142"/>
        <w:gridCol w:w="565"/>
        <w:gridCol w:w="4"/>
        <w:gridCol w:w="905"/>
      </w:tblGrid>
      <w:tr>
        <w:trPr>
          <w:trHeight w:val="1020" w:hRule="atLeast"/>
        </w:trPr>
        <w:tc>
          <w:tcPr>
            <w:tcW w:w="14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00000A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  <w:t>Pozemky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  <w:t>Umelecké diela a zbierky</w:t>
            </w:r>
          </w:p>
        </w:tc>
        <w:tc>
          <w:tcPr>
            <w:tcW w:w="8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  <w:t>Stavby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  <w:t>Samost. hnuteľné veci a súbory hnut. vecí</w:t>
            </w:r>
          </w:p>
        </w:tc>
        <w:tc>
          <w:tcPr>
            <w:tcW w:w="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  <w:t>Dopravné prostriedky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  <w:t>Pestova-teľské celky trvalých porastov</w:t>
            </w:r>
          </w:p>
        </w:tc>
        <w:tc>
          <w:tcPr>
            <w:tcW w:w="8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  <w:t>Základné stádo a ťažné zvieratá</w:t>
            </w:r>
          </w:p>
        </w:tc>
        <w:tc>
          <w:tcPr>
            <w:tcW w:w="8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  <w:t>Drobný a ostatný dlhodobý hmotný majetok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  <w:t>Obst.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  <w:t>dlhodob. hmot. majetku</w:t>
            </w:r>
          </w:p>
        </w:tc>
        <w:tc>
          <w:tcPr>
            <w:tcW w:w="711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  <w:t>Poskyt predd. na dlho-dobý hmotný majetok</w:t>
            </w:r>
          </w:p>
        </w:tc>
        <w:tc>
          <w:tcPr>
            <w:tcW w:w="9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  <w:t>Spolu</w:t>
            </w:r>
          </w:p>
        </w:tc>
      </w:tr>
      <w:tr>
        <w:trPr>
          <w:trHeight w:val="408" w:hRule="atLeast"/>
        </w:trPr>
        <w:tc>
          <w:tcPr>
            <w:tcW w:w="14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00000A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  <w:t>Prvotné ocenenie</w:t>
            </w:r>
            <w:r>
              <w:rPr>
                <w:color w:val="00000A"/>
                <w:sz w:val="16"/>
                <w:szCs w:val="16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8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7 893</w:t>
            </w:r>
          </w:p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8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8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3 965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711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9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11 858</w:t>
            </w:r>
          </w:p>
        </w:tc>
      </w:tr>
      <w:tr>
        <w:trPr>
          <w:trHeight w:val="288" w:hRule="atLeast"/>
        </w:trPr>
        <w:tc>
          <w:tcPr>
            <w:tcW w:w="14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8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8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8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711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9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</w:tr>
      <w:tr>
        <w:trPr>
          <w:trHeight w:val="288" w:hRule="atLeast"/>
        </w:trPr>
        <w:tc>
          <w:tcPr>
            <w:tcW w:w="14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8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8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8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 xml:space="preserve">      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711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9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</w:tr>
      <w:tr>
        <w:trPr>
          <w:trHeight w:val="288" w:hRule="atLeast"/>
        </w:trPr>
        <w:tc>
          <w:tcPr>
            <w:tcW w:w="14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8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8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8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711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9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</w:tr>
      <w:tr>
        <w:trPr>
          <w:trHeight w:val="408" w:hRule="atLeast"/>
        </w:trPr>
        <w:tc>
          <w:tcPr>
            <w:tcW w:w="14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8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7 893</w:t>
            </w:r>
          </w:p>
        </w:tc>
        <w:tc>
          <w:tcPr>
            <w:tcW w:w="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8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8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3 965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711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9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11 858</w:t>
            </w:r>
          </w:p>
        </w:tc>
      </w:tr>
      <w:tr>
        <w:trPr>
          <w:trHeight w:val="408" w:hRule="atLeast"/>
        </w:trPr>
        <w:tc>
          <w:tcPr>
            <w:tcW w:w="14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00000A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  <w:t xml:space="preserve">Oprávky – </w:t>
            </w:r>
            <w:r>
              <w:rPr>
                <w:color w:val="00000A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8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7 893</w:t>
            </w:r>
          </w:p>
        </w:tc>
        <w:tc>
          <w:tcPr>
            <w:tcW w:w="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8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8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3 965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711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9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11 858</w:t>
            </w:r>
          </w:p>
        </w:tc>
      </w:tr>
      <w:tr>
        <w:trPr>
          <w:trHeight w:val="288" w:hRule="atLeast"/>
        </w:trPr>
        <w:tc>
          <w:tcPr>
            <w:tcW w:w="14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8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8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8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711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9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</w:tr>
      <w:tr>
        <w:trPr>
          <w:trHeight w:val="288" w:hRule="atLeast"/>
        </w:trPr>
        <w:tc>
          <w:tcPr>
            <w:tcW w:w="14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8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8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8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 xml:space="preserve">           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711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9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</w:tr>
      <w:tr>
        <w:trPr>
          <w:trHeight w:val="408" w:hRule="atLeast"/>
        </w:trPr>
        <w:tc>
          <w:tcPr>
            <w:tcW w:w="14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8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7 893</w:t>
            </w:r>
          </w:p>
        </w:tc>
        <w:tc>
          <w:tcPr>
            <w:tcW w:w="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8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8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3 965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711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9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11 858</w:t>
            </w:r>
          </w:p>
        </w:tc>
      </w:tr>
      <w:tr>
        <w:trPr>
          <w:trHeight w:val="408" w:hRule="atLeast"/>
        </w:trPr>
        <w:tc>
          <w:tcPr>
            <w:tcW w:w="14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00000A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  <w:t>Opravné položky</w:t>
            </w:r>
            <w:r>
              <w:rPr>
                <w:color w:val="00000A"/>
                <w:sz w:val="16"/>
                <w:szCs w:val="16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8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11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</w:tr>
      <w:tr>
        <w:trPr>
          <w:trHeight w:val="288" w:hRule="atLeast"/>
        </w:trPr>
        <w:tc>
          <w:tcPr>
            <w:tcW w:w="14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8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11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</w:tr>
      <w:tr>
        <w:trPr>
          <w:trHeight w:val="288" w:hRule="atLeast"/>
        </w:trPr>
        <w:tc>
          <w:tcPr>
            <w:tcW w:w="14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8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11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</w:tr>
      <w:tr>
        <w:trPr>
          <w:trHeight w:val="408" w:hRule="atLeast"/>
        </w:trPr>
        <w:tc>
          <w:tcPr>
            <w:tcW w:w="14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11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</w:tr>
      <w:tr>
        <w:trPr>
          <w:trHeight w:val="288" w:hRule="atLeast"/>
        </w:trPr>
        <w:tc>
          <w:tcPr>
            <w:tcW w:w="10474" w:type="dxa"/>
            <w:gridSpan w:val="14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00000A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  <w:t>Zostatková hodnota</w:t>
            </w:r>
          </w:p>
        </w:tc>
      </w:tr>
      <w:tr>
        <w:trPr>
          <w:trHeight w:val="408" w:hRule="atLeast"/>
        </w:trPr>
        <w:tc>
          <w:tcPr>
            <w:tcW w:w="14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8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8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8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0</w:t>
            </w:r>
          </w:p>
        </w:tc>
        <w:tc>
          <w:tcPr>
            <w:tcW w:w="85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5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909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0</w:t>
            </w:r>
          </w:p>
        </w:tc>
      </w:tr>
      <w:tr>
        <w:trPr>
          <w:trHeight w:val="408" w:hRule="atLeast"/>
        </w:trPr>
        <w:tc>
          <w:tcPr>
            <w:tcW w:w="14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8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8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8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0</w:t>
            </w:r>
          </w:p>
        </w:tc>
        <w:tc>
          <w:tcPr>
            <w:tcW w:w="85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5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909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0</w:t>
            </w:r>
          </w:p>
        </w:tc>
      </w:tr>
    </w:tbl>
    <w:p>
      <w:pPr>
        <w:pStyle w:val="Normal"/>
        <w:spacing w:lineRule="auto" w:line="240" w:before="0" w:after="120"/>
        <w:ind w:left="360" w:hanging="0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</w:r>
    </w:p>
    <w:p>
      <w:pPr>
        <w:pStyle w:val="Normal"/>
        <w:numPr>
          <w:ilvl w:val="0"/>
          <w:numId w:val="5"/>
        </w:numPr>
        <w:spacing w:lineRule="auto" w:line="240" w:before="0" w:after="120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  <w:t>Prehľad dlhodobého majetku, na ktorý je zriadené záložné právo a dlhodobého majetku, pri ktorom má účtovná jednotka obmedzené právo s ním nakladať:</w:t>
      </w:r>
    </w:p>
    <w:tbl>
      <w:tblPr>
        <w:tblW w:w="10300" w:type="dxa"/>
        <w:jc w:val="left"/>
        <w:tblInd w:w="-16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48" w:type="dxa"/>
          <w:bottom w:w="0" w:type="dxa"/>
          <w:right w:w="108" w:type="dxa"/>
        </w:tblCellMar>
        <w:tblLook w:val="00a0"/>
      </w:tblPr>
      <w:tblGrid>
        <w:gridCol w:w="6035"/>
        <w:gridCol w:w="4264"/>
      </w:tblGrid>
      <w:tr>
        <w:trPr>
          <w:trHeight w:val="284" w:hRule="atLeast"/>
        </w:trPr>
        <w:tc>
          <w:tcPr>
            <w:tcW w:w="60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Prehľad dlhodobého majetku</w:t>
            </w:r>
          </w:p>
        </w:tc>
        <w:tc>
          <w:tcPr>
            <w:tcW w:w="42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Výška majetku</w:t>
            </w:r>
          </w:p>
        </w:tc>
      </w:tr>
      <w:tr>
        <w:trPr>
          <w:trHeight w:val="284" w:hRule="atLeast"/>
        </w:trPr>
        <w:tc>
          <w:tcPr>
            <w:tcW w:w="60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42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</w:tr>
    </w:tbl>
    <w:p>
      <w:pPr>
        <w:pStyle w:val="Normal"/>
        <w:spacing w:lineRule="auto" w:line="240" w:before="0" w:after="0"/>
        <w:jc w:val="center"/>
        <w:rPr/>
      </w:pPr>
      <w:r>
        <w:rPr>
          <w:color w:val="00000A"/>
          <w:sz w:val="18"/>
          <w:szCs w:val="18"/>
        </w:rPr>
        <w:t>Netýka sa.</w:t>
      </w:r>
    </w:p>
    <w:p>
      <w:pPr>
        <w:pStyle w:val="Normal"/>
        <w:spacing w:lineRule="auto" w:line="240" w:before="0" w:after="0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</w:r>
    </w:p>
    <w:p>
      <w:pPr>
        <w:pStyle w:val="Normal"/>
        <w:spacing w:lineRule="auto" w:line="240" w:before="0" w:after="0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</w:r>
    </w:p>
    <w:p>
      <w:pPr>
        <w:pStyle w:val="Normal"/>
        <w:numPr>
          <w:ilvl w:val="0"/>
          <w:numId w:val="5"/>
        </w:numPr>
        <w:spacing w:lineRule="auto" w:line="240" w:before="0" w:after="120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  <w:t>Údaje o spôsobe a výške poistenia dlhodobého nehmotného majetku a dlhodobého hmotného majetku.</w:t>
      </w:r>
    </w:p>
    <w:tbl>
      <w:tblPr>
        <w:tblW w:w="10300" w:type="dxa"/>
        <w:jc w:val="left"/>
        <w:tblInd w:w="-16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48" w:type="dxa"/>
          <w:bottom w:w="0" w:type="dxa"/>
          <w:right w:w="108" w:type="dxa"/>
        </w:tblCellMar>
        <w:tblLook w:val="00a0"/>
      </w:tblPr>
      <w:tblGrid>
        <w:gridCol w:w="4342"/>
        <w:gridCol w:w="2978"/>
        <w:gridCol w:w="2980"/>
      </w:tblGrid>
      <w:tr>
        <w:trPr>
          <w:trHeight w:val="284" w:hRule="atLeast"/>
        </w:trPr>
        <w:tc>
          <w:tcPr>
            <w:tcW w:w="434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Poistná spoločnosť</w:t>
            </w:r>
          </w:p>
        </w:tc>
        <w:tc>
          <w:tcPr>
            <w:tcW w:w="29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Druh poistenia</w:t>
            </w:r>
          </w:p>
        </w:tc>
        <w:tc>
          <w:tcPr>
            <w:tcW w:w="29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Výška poistenia</w:t>
            </w:r>
          </w:p>
        </w:tc>
      </w:tr>
      <w:tr>
        <w:trPr>
          <w:trHeight w:val="284" w:hRule="atLeast"/>
        </w:trPr>
        <w:tc>
          <w:tcPr>
            <w:tcW w:w="434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29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29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434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29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29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</w:tr>
    </w:tbl>
    <w:p>
      <w:pPr>
        <w:pStyle w:val="Normal"/>
        <w:spacing w:lineRule="auto" w:line="240" w:before="0" w:after="0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</w:r>
    </w:p>
    <w:p>
      <w:pPr>
        <w:pStyle w:val="Normal"/>
        <w:spacing w:lineRule="auto" w:line="240" w:before="0" w:after="0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</w:r>
    </w:p>
    <w:p>
      <w:pPr>
        <w:pStyle w:val="Normal"/>
        <w:spacing w:lineRule="auto" w:line="240" w:before="0" w:after="0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</w:r>
    </w:p>
    <w:p>
      <w:pPr>
        <w:pStyle w:val="Normal"/>
        <w:numPr>
          <w:ilvl w:val="0"/>
          <w:numId w:val="5"/>
        </w:numPr>
        <w:spacing w:lineRule="auto" w:line="240" w:before="0" w:after="120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  <w:t>Údaje o štruktúre dlhodobého finančného majetku za bežné účtovné obdobie a jeho umiestnenie v členení podľa položiek súvahy a o zmenách, ktoré sa uskutočnili v priebehu bežného účtovného obdobia v jednotlivých položkách dlhodobého  finančného  majetku.</w:t>
      </w:r>
    </w:p>
    <w:tbl>
      <w:tblPr>
        <w:tblW w:w="5000" w:type="pct"/>
        <w:jc w:val="left"/>
        <w:tblInd w:w="-12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5" w:type="dxa"/>
          <w:bottom w:w="0" w:type="dxa"/>
          <w:right w:w="70" w:type="dxa"/>
        </w:tblCellMar>
        <w:tblLook w:val="00a0"/>
      </w:tblPr>
      <w:tblGrid>
        <w:gridCol w:w="2207"/>
        <w:gridCol w:w="964"/>
        <w:gridCol w:w="1001"/>
        <w:gridCol w:w="966"/>
        <w:gridCol w:w="966"/>
        <w:gridCol w:w="966"/>
        <w:gridCol w:w="968"/>
        <w:gridCol w:w="966"/>
        <w:gridCol w:w="973"/>
      </w:tblGrid>
      <w:tr>
        <w:trPr>
          <w:trHeight w:val="1632" w:hRule="atLeast"/>
        </w:trPr>
        <w:tc>
          <w:tcPr>
            <w:tcW w:w="22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  <w:t>Podielové cenné papiere a podiely v obchodnej spoločnosti v ovládanej osobe</w:t>
            </w:r>
          </w:p>
        </w:tc>
        <w:tc>
          <w:tcPr>
            <w:tcW w:w="10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  <w:t>Podielové cenné papiere a podiely v obchodnej spoločnosti s podstatným vplyvom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  <w:t>Dlhové cenné papiere držané do splatnosti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  <w:t>Pôžičky podnikom v skupine a ostatné pôžičky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  <w:t>Ostatný dlhodobý finančný majetok</w:t>
            </w:r>
          </w:p>
        </w:tc>
        <w:tc>
          <w:tcPr>
            <w:tcW w:w="9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  <w:t>Obstaranie dlhodobého finančného majetku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  <w:t>Poskytnuté preddavky na dlhodobý finančný  majetok</w:t>
            </w:r>
          </w:p>
        </w:tc>
        <w:tc>
          <w:tcPr>
            <w:tcW w:w="9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  <w:t>Spolu</w:t>
            </w:r>
          </w:p>
        </w:tc>
      </w:tr>
      <w:tr>
        <w:trPr>
          <w:trHeight w:val="288" w:hRule="atLeast"/>
        </w:trPr>
        <w:tc>
          <w:tcPr>
            <w:tcW w:w="9977" w:type="dxa"/>
            <w:gridSpan w:val="9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color w:val="00000A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  <w:t>Prvotné ocenenie</w:t>
            </w:r>
          </w:p>
        </w:tc>
      </w:tr>
      <w:tr>
        <w:trPr>
          <w:trHeight w:val="408" w:hRule="atLeast"/>
        </w:trPr>
        <w:tc>
          <w:tcPr>
            <w:tcW w:w="22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Stav  na začiatku bežného účtovného obdobia</w:t>
            </w:r>
          </w:p>
        </w:tc>
        <w:tc>
          <w:tcPr>
            <w:tcW w:w="9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</w:tr>
      <w:tr>
        <w:trPr>
          <w:trHeight w:val="288" w:hRule="atLeast"/>
        </w:trPr>
        <w:tc>
          <w:tcPr>
            <w:tcW w:w="22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9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</w:tr>
      <w:tr>
        <w:trPr>
          <w:trHeight w:val="288" w:hRule="atLeast"/>
        </w:trPr>
        <w:tc>
          <w:tcPr>
            <w:tcW w:w="22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9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</w:tr>
      <w:tr>
        <w:trPr>
          <w:trHeight w:val="288" w:hRule="atLeast"/>
        </w:trPr>
        <w:tc>
          <w:tcPr>
            <w:tcW w:w="22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9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</w:tr>
      <w:tr>
        <w:trPr>
          <w:trHeight w:val="408" w:hRule="atLeast"/>
        </w:trPr>
        <w:tc>
          <w:tcPr>
            <w:tcW w:w="22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9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</w:tr>
      <w:tr>
        <w:trPr>
          <w:trHeight w:val="288" w:hRule="atLeast"/>
        </w:trPr>
        <w:tc>
          <w:tcPr>
            <w:tcW w:w="9977" w:type="dxa"/>
            <w:gridSpan w:val="9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color w:val="00000A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  <w:t>Opravné položky</w:t>
            </w:r>
          </w:p>
        </w:tc>
      </w:tr>
      <w:tr>
        <w:trPr>
          <w:trHeight w:val="408" w:hRule="atLeast"/>
        </w:trPr>
        <w:tc>
          <w:tcPr>
            <w:tcW w:w="22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Stav na začiatku bežného účtovného obdobia</w:t>
            </w:r>
          </w:p>
        </w:tc>
        <w:tc>
          <w:tcPr>
            <w:tcW w:w="9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</w:tr>
      <w:tr>
        <w:trPr>
          <w:trHeight w:val="288" w:hRule="atLeast"/>
        </w:trPr>
        <w:tc>
          <w:tcPr>
            <w:tcW w:w="22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9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</w:tr>
      <w:tr>
        <w:trPr>
          <w:trHeight w:val="288" w:hRule="atLeast"/>
        </w:trPr>
        <w:tc>
          <w:tcPr>
            <w:tcW w:w="22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9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</w:tr>
      <w:tr>
        <w:trPr>
          <w:trHeight w:val="408" w:hRule="atLeast"/>
        </w:trPr>
        <w:tc>
          <w:tcPr>
            <w:tcW w:w="22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9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</w:tr>
      <w:tr>
        <w:trPr>
          <w:trHeight w:val="288" w:hRule="atLeast"/>
        </w:trPr>
        <w:tc>
          <w:tcPr>
            <w:tcW w:w="9977" w:type="dxa"/>
            <w:gridSpan w:val="9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color w:val="00000A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  <w:t>Zostatková hodnota </w:t>
            </w:r>
          </w:p>
        </w:tc>
      </w:tr>
      <w:tr>
        <w:trPr>
          <w:trHeight w:val="408" w:hRule="atLeast"/>
        </w:trPr>
        <w:tc>
          <w:tcPr>
            <w:tcW w:w="22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Stav na začiatku bežného účtovného obdobia</w:t>
            </w:r>
          </w:p>
        </w:tc>
        <w:tc>
          <w:tcPr>
            <w:tcW w:w="9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</w:tr>
      <w:tr>
        <w:trPr>
          <w:trHeight w:val="408" w:hRule="atLeast"/>
        </w:trPr>
        <w:tc>
          <w:tcPr>
            <w:tcW w:w="22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9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10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</w:tr>
    </w:tbl>
    <w:p>
      <w:pPr>
        <w:pStyle w:val="Normal"/>
        <w:spacing w:lineRule="auto" w:line="240" w:before="0" w:after="120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</w:r>
    </w:p>
    <w:p>
      <w:pPr>
        <w:pStyle w:val="Normal"/>
        <w:spacing w:lineRule="auto" w:line="240" w:before="0" w:after="120"/>
        <w:jc w:val="center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  <w:t>Netýka sa.</w:t>
      </w:r>
    </w:p>
    <w:p>
      <w:pPr>
        <w:pStyle w:val="Normal"/>
        <w:spacing w:lineRule="auto" w:line="240" w:before="0" w:after="120"/>
        <w:jc w:val="center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</w:r>
    </w:p>
    <w:tbl>
      <w:tblPr>
        <w:tblW w:w="5000" w:type="pct"/>
        <w:jc w:val="left"/>
        <w:tblInd w:w="-12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5" w:type="dxa"/>
          <w:bottom w:w="0" w:type="dxa"/>
          <w:right w:w="70" w:type="dxa"/>
        </w:tblCellMar>
        <w:tblLook w:val="00a0"/>
      </w:tblPr>
      <w:tblGrid>
        <w:gridCol w:w="1833"/>
        <w:gridCol w:w="957"/>
        <w:gridCol w:w="1095"/>
        <w:gridCol w:w="1506"/>
        <w:gridCol w:w="1488"/>
        <w:gridCol w:w="1527"/>
        <w:gridCol w:w="1571"/>
      </w:tblGrid>
      <w:tr>
        <w:trPr>
          <w:trHeight w:val="922" w:hRule="atLeast"/>
        </w:trPr>
        <w:tc>
          <w:tcPr>
            <w:tcW w:w="1833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  <w:t>Názov spoločnosti</w:t>
            </w:r>
          </w:p>
        </w:tc>
        <w:tc>
          <w:tcPr>
            <w:tcW w:w="957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  <w:t>Podiel na základnom imaní (v %)</w:t>
            </w:r>
          </w:p>
        </w:tc>
        <w:tc>
          <w:tcPr>
            <w:tcW w:w="10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  <w:t>Podiel účtovnej jednotky na hlasovacích právach</w:t>
            </w:r>
          </w:p>
        </w:tc>
        <w:tc>
          <w:tcPr>
            <w:tcW w:w="299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  <w:t>Hodnota vlastného imania ku koncu</w:t>
            </w:r>
          </w:p>
        </w:tc>
        <w:tc>
          <w:tcPr>
            <w:tcW w:w="3098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  <w:t>Účtovná hodnota ku koncu</w:t>
            </w:r>
          </w:p>
        </w:tc>
      </w:tr>
      <w:tr>
        <w:trPr>
          <w:trHeight w:val="694" w:hRule="atLeast"/>
        </w:trPr>
        <w:tc>
          <w:tcPr>
            <w:tcW w:w="1833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00000A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957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00000A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10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  <w:t>(v %)</w:t>
            </w:r>
          </w:p>
        </w:tc>
        <w:tc>
          <w:tcPr>
            <w:tcW w:w="15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4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  <w:tc>
          <w:tcPr>
            <w:tcW w:w="15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>
        <w:trPr>
          <w:trHeight w:val="288" w:hRule="atLeast"/>
        </w:trPr>
        <w:tc>
          <w:tcPr>
            <w:tcW w:w="18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95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5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5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5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</w:tr>
    </w:tbl>
    <w:p>
      <w:pPr>
        <w:pStyle w:val="Normal"/>
        <w:spacing w:lineRule="auto" w:line="240" w:before="0" w:after="120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</w:r>
    </w:p>
    <w:p>
      <w:pPr>
        <w:pStyle w:val="Normal"/>
        <w:spacing w:lineRule="auto" w:line="240" w:before="0" w:after="120"/>
        <w:jc w:val="center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  <w:t>Netýka sa.</w:t>
      </w:r>
    </w:p>
    <w:p>
      <w:pPr>
        <w:pStyle w:val="Normal"/>
        <w:spacing w:lineRule="auto" w:line="240" w:before="0" w:after="120"/>
        <w:jc w:val="center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</w:r>
    </w:p>
    <w:p>
      <w:pPr>
        <w:pStyle w:val="Normal"/>
        <w:numPr>
          <w:ilvl w:val="0"/>
          <w:numId w:val="5"/>
        </w:numPr>
        <w:spacing w:lineRule="auto" w:line="240" w:before="0" w:after="120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  <w:t>Informácia o výške tvorby, zníženia a zúčtovania opravných položiek k dlhodobému finančnému majetku a opis dôvodu ich tvorby, zníženia a zúčtovania.</w:t>
      </w:r>
    </w:p>
    <w:tbl>
      <w:tblPr>
        <w:tblW w:w="10299" w:type="dxa"/>
        <w:jc w:val="left"/>
        <w:tblInd w:w="-16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48" w:type="dxa"/>
          <w:bottom w:w="0" w:type="dxa"/>
          <w:right w:w="108" w:type="dxa"/>
        </w:tblCellMar>
        <w:tblLook w:val="00a0"/>
      </w:tblPr>
      <w:tblGrid>
        <w:gridCol w:w="1600"/>
        <w:gridCol w:w="1361"/>
        <w:gridCol w:w="1362"/>
        <w:gridCol w:w="1357"/>
        <w:gridCol w:w="1366"/>
        <w:gridCol w:w="1366"/>
        <w:gridCol w:w="1886"/>
      </w:tblGrid>
      <w:tr>
        <w:trPr>
          <w:trHeight w:val="284" w:hRule="atLeast"/>
        </w:trPr>
        <w:tc>
          <w:tcPr>
            <w:tcW w:w="16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Dlhodobý finančný majetok</w:t>
            </w:r>
          </w:p>
        </w:tc>
        <w:tc>
          <w:tcPr>
            <w:tcW w:w="13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3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35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Zníženie opravnej položky</w:t>
            </w:r>
          </w:p>
        </w:tc>
        <w:tc>
          <w:tcPr>
            <w:tcW w:w="13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Zúčtovanie  opravnej položky</w:t>
            </w:r>
          </w:p>
        </w:tc>
        <w:tc>
          <w:tcPr>
            <w:tcW w:w="13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18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Opis dôvodu ich tvorby, zníženia a zúčtovania</w:t>
            </w:r>
          </w:p>
        </w:tc>
      </w:tr>
      <w:tr>
        <w:trPr>
          <w:trHeight w:val="284" w:hRule="atLeast"/>
        </w:trPr>
        <w:tc>
          <w:tcPr>
            <w:tcW w:w="16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3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3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35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3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3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8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</w:tr>
    </w:tbl>
    <w:p>
      <w:pPr>
        <w:pStyle w:val="Normal"/>
        <w:spacing w:lineRule="auto" w:line="240" w:before="0" w:after="0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</w:r>
    </w:p>
    <w:p>
      <w:pPr>
        <w:pStyle w:val="Normal"/>
        <w:spacing w:lineRule="auto" w:line="240" w:before="0" w:after="0"/>
        <w:jc w:val="center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  <w:t>Netýka sa.</w:t>
      </w:r>
    </w:p>
    <w:p>
      <w:pPr>
        <w:pStyle w:val="Normal"/>
        <w:spacing w:lineRule="auto" w:line="240" w:before="0" w:after="0"/>
        <w:jc w:val="center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</w:r>
    </w:p>
    <w:p>
      <w:pPr>
        <w:pStyle w:val="Normal"/>
        <w:spacing w:lineRule="auto" w:line="240" w:before="0" w:after="0"/>
        <w:jc w:val="center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</w:r>
    </w:p>
    <w:p>
      <w:pPr>
        <w:pStyle w:val="Normal"/>
        <w:spacing w:lineRule="auto" w:line="240" w:before="0" w:after="0"/>
        <w:jc w:val="center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</w:r>
    </w:p>
    <w:p>
      <w:pPr>
        <w:pStyle w:val="Normal"/>
        <w:numPr>
          <w:ilvl w:val="0"/>
          <w:numId w:val="5"/>
        </w:numPr>
        <w:spacing w:lineRule="auto" w:line="240" w:before="0" w:after="120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  <w:t>Prehľad o významných položkách krátkodobého finančného majetku a  o ocenení krátkodobého finančného majetku  reálnou hodnotou ku dňu, ku ktorému sa zostavuje účtovná závierka, pričom sa uvádza vplyv takéhoto ocenenia na výsledok hospodárenia účtovnej jednotky.</w:t>
      </w:r>
    </w:p>
    <w:p>
      <w:pPr>
        <w:pStyle w:val="Normal"/>
        <w:spacing w:lineRule="auto" w:line="240" w:before="0" w:after="120"/>
        <w:rPr>
          <w:b/>
          <w:b/>
          <w:bCs/>
          <w:i/>
          <w:i/>
          <w:iCs/>
          <w:color w:val="00000A"/>
          <w:sz w:val="18"/>
          <w:szCs w:val="18"/>
        </w:rPr>
      </w:pPr>
      <w:r>
        <w:rPr>
          <w:b/>
          <w:bCs/>
          <w:i/>
          <w:iCs/>
          <w:color w:val="00000A"/>
          <w:sz w:val="18"/>
          <w:szCs w:val="18"/>
        </w:rPr>
      </w:r>
    </w:p>
    <w:p>
      <w:pPr>
        <w:pStyle w:val="Normal"/>
        <w:spacing w:lineRule="auto" w:line="240" w:before="0" w:after="120"/>
        <w:rPr>
          <w:i/>
          <w:i/>
          <w:iCs/>
          <w:color w:val="00000A"/>
          <w:sz w:val="18"/>
          <w:szCs w:val="18"/>
        </w:rPr>
      </w:pPr>
      <w:r>
        <w:rPr>
          <w:b/>
          <w:bCs/>
          <w:i/>
          <w:iCs/>
          <w:color w:val="00000A"/>
          <w:sz w:val="18"/>
          <w:szCs w:val="18"/>
        </w:rPr>
        <w:t>Tabuľka č. 1</w:t>
      </w:r>
    </w:p>
    <w:tbl>
      <w:tblPr>
        <w:tblW w:w="10300" w:type="dxa"/>
        <w:jc w:val="left"/>
        <w:tblInd w:w="-16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48" w:type="dxa"/>
          <w:bottom w:w="0" w:type="dxa"/>
          <w:right w:w="108" w:type="dxa"/>
        </w:tblCellMar>
        <w:tblLook w:val="00a0"/>
      </w:tblPr>
      <w:tblGrid>
        <w:gridCol w:w="3299"/>
        <w:gridCol w:w="3492"/>
        <w:gridCol w:w="3509"/>
      </w:tblGrid>
      <w:tr>
        <w:trPr>
          <w:trHeight w:val="284" w:hRule="atLeast"/>
        </w:trPr>
        <w:tc>
          <w:tcPr>
            <w:tcW w:w="32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Krátkodobý finančný majetok</w:t>
            </w:r>
          </w:p>
        </w:tc>
        <w:tc>
          <w:tcPr>
            <w:tcW w:w="34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Stav na konci bežného účtovného obdobia</w:t>
            </w:r>
          </w:p>
        </w:tc>
        <w:tc>
          <w:tcPr>
            <w:tcW w:w="35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Stav na konci bezprostredne predchádzajúceho účtovného obdobia</w:t>
            </w:r>
          </w:p>
        </w:tc>
      </w:tr>
      <w:tr>
        <w:trPr>
          <w:trHeight w:val="284" w:hRule="atLeast"/>
        </w:trPr>
        <w:tc>
          <w:tcPr>
            <w:tcW w:w="32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Pokladnica</w:t>
            </w:r>
          </w:p>
        </w:tc>
        <w:tc>
          <w:tcPr>
            <w:tcW w:w="34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color w:val="00000A"/>
                <w:sz w:val="16"/>
                <w:szCs w:val="16"/>
              </w:rPr>
              <w:t>43,05</w:t>
            </w:r>
          </w:p>
        </w:tc>
        <w:tc>
          <w:tcPr>
            <w:tcW w:w="35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color w:val="00000A"/>
                <w:sz w:val="16"/>
                <w:szCs w:val="16"/>
              </w:rPr>
              <w:t xml:space="preserve">                                                                             </w:t>
            </w:r>
            <w:r>
              <w:rPr>
                <w:color w:val="00000A"/>
                <w:sz w:val="16"/>
                <w:szCs w:val="16"/>
              </w:rPr>
              <w:t>703,95</w:t>
            </w:r>
          </w:p>
        </w:tc>
      </w:tr>
      <w:tr>
        <w:trPr>
          <w:trHeight w:val="284" w:hRule="atLeast"/>
        </w:trPr>
        <w:tc>
          <w:tcPr>
            <w:tcW w:w="32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Ceniny</w:t>
            </w:r>
          </w:p>
        </w:tc>
        <w:tc>
          <w:tcPr>
            <w:tcW w:w="34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</w:rPr>
            </w:pPr>
            <w:r>
              <w:rPr>
                <w:color w:val="00000A"/>
                <w:sz w:val="16"/>
                <w:szCs w:val="16"/>
              </w:rPr>
              <w:t>0</w:t>
            </w:r>
          </w:p>
        </w:tc>
        <w:tc>
          <w:tcPr>
            <w:tcW w:w="35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A"/>
                <w:sz w:val="16"/>
                <w:szCs w:val="16"/>
              </w:rPr>
              <w:t>0</w:t>
            </w:r>
          </w:p>
        </w:tc>
      </w:tr>
      <w:tr>
        <w:trPr>
          <w:trHeight w:val="284" w:hRule="atLeast"/>
        </w:trPr>
        <w:tc>
          <w:tcPr>
            <w:tcW w:w="32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Bežné bankové účty</w:t>
            </w:r>
          </w:p>
        </w:tc>
        <w:tc>
          <w:tcPr>
            <w:tcW w:w="34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A"/>
                <w:sz w:val="16"/>
                <w:szCs w:val="16"/>
              </w:rPr>
              <w:t>33583,35</w:t>
            </w:r>
          </w:p>
        </w:tc>
        <w:tc>
          <w:tcPr>
            <w:tcW w:w="35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A"/>
                <w:sz w:val="16"/>
                <w:szCs w:val="16"/>
              </w:rPr>
              <w:t>41153,58</w:t>
            </w:r>
          </w:p>
        </w:tc>
      </w:tr>
      <w:tr>
        <w:trPr>
          <w:trHeight w:val="284" w:hRule="atLeast"/>
        </w:trPr>
        <w:tc>
          <w:tcPr>
            <w:tcW w:w="32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Bankové účty s dobou viazanosti dlhšou ako jeden rok</w:t>
            </w:r>
          </w:p>
        </w:tc>
        <w:tc>
          <w:tcPr>
            <w:tcW w:w="34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0</w:t>
            </w:r>
          </w:p>
        </w:tc>
        <w:tc>
          <w:tcPr>
            <w:tcW w:w="35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A"/>
                <w:sz w:val="16"/>
                <w:szCs w:val="16"/>
              </w:rPr>
              <w:t>0</w:t>
            </w:r>
          </w:p>
        </w:tc>
      </w:tr>
      <w:tr>
        <w:trPr>
          <w:trHeight w:val="284" w:hRule="atLeast"/>
        </w:trPr>
        <w:tc>
          <w:tcPr>
            <w:tcW w:w="32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Peniaze na ceste</w:t>
            </w:r>
          </w:p>
        </w:tc>
        <w:tc>
          <w:tcPr>
            <w:tcW w:w="34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0</w:t>
            </w:r>
          </w:p>
        </w:tc>
        <w:tc>
          <w:tcPr>
            <w:tcW w:w="35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A"/>
                <w:sz w:val="16"/>
                <w:szCs w:val="16"/>
              </w:rPr>
              <w:t>0</w:t>
            </w:r>
          </w:p>
        </w:tc>
      </w:tr>
      <w:tr>
        <w:trPr>
          <w:trHeight w:val="284" w:hRule="atLeast"/>
        </w:trPr>
        <w:tc>
          <w:tcPr>
            <w:tcW w:w="32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Spolu</w:t>
            </w:r>
          </w:p>
        </w:tc>
        <w:tc>
          <w:tcPr>
            <w:tcW w:w="34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color w:val="00000A"/>
                <w:sz w:val="16"/>
                <w:szCs w:val="16"/>
              </w:rPr>
              <w:t>33626,40</w:t>
            </w:r>
          </w:p>
        </w:tc>
        <w:tc>
          <w:tcPr>
            <w:tcW w:w="35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color w:val="00000A"/>
                <w:sz w:val="16"/>
                <w:szCs w:val="16"/>
              </w:rPr>
              <w:t>41857,53</w:t>
            </w:r>
          </w:p>
        </w:tc>
      </w:tr>
    </w:tbl>
    <w:p>
      <w:pPr>
        <w:pStyle w:val="Normal"/>
        <w:spacing w:lineRule="auto" w:line="240" w:before="0" w:after="0"/>
        <w:rPr>
          <w:i/>
          <w:i/>
          <w:iCs/>
          <w:color w:val="00000A"/>
          <w:sz w:val="18"/>
          <w:szCs w:val="18"/>
        </w:rPr>
      </w:pPr>
      <w:r>
        <w:rPr>
          <w:i/>
          <w:iCs/>
          <w:color w:val="00000A"/>
          <w:sz w:val="18"/>
          <w:szCs w:val="18"/>
        </w:rPr>
      </w:r>
    </w:p>
    <w:p>
      <w:pPr>
        <w:pStyle w:val="Normal"/>
        <w:spacing w:lineRule="auto" w:line="240" w:before="0" w:after="120"/>
        <w:rPr>
          <w:i/>
          <w:i/>
          <w:iCs/>
          <w:color w:val="00000A"/>
          <w:sz w:val="18"/>
          <w:szCs w:val="18"/>
        </w:rPr>
      </w:pPr>
      <w:r>
        <w:rPr>
          <w:b/>
          <w:bCs/>
          <w:i/>
          <w:iCs/>
          <w:color w:val="00000A"/>
          <w:sz w:val="18"/>
          <w:szCs w:val="18"/>
        </w:rPr>
        <w:t>Tabuľka č. 2</w:t>
      </w:r>
    </w:p>
    <w:tbl>
      <w:tblPr>
        <w:tblW w:w="10156" w:type="dxa"/>
        <w:jc w:val="left"/>
        <w:tblInd w:w="-16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48" w:type="dxa"/>
          <w:bottom w:w="0" w:type="dxa"/>
          <w:right w:w="108" w:type="dxa"/>
        </w:tblCellMar>
        <w:tblLook w:val="00a0"/>
      </w:tblPr>
      <w:tblGrid>
        <w:gridCol w:w="3233"/>
        <w:gridCol w:w="1731"/>
        <w:gridCol w:w="1725"/>
        <w:gridCol w:w="1722"/>
        <w:gridCol w:w="1745"/>
      </w:tblGrid>
      <w:tr>
        <w:trPr>
          <w:trHeight w:val="284" w:hRule="atLeast"/>
        </w:trPr>
        <w:tc>
          <w:tcPr>
            <w:tcW w:w="32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Krátkodobý finančný majetok</w:t>
            </w:r>
          </w:p>
        </w:tc>
        <w:tc>
          <w:tcPr>
            <w:tcW w:w="17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Prírastky</w:t>
            </w:r>
          </w:p>
        </w:tc>
        <w:tc>
          <w:tcPr>
            <w:tcW w:w="17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Úbytky</w:t>
            </w:r>
          </w:p>
        </w:tc>
        <w:tc>
          <w:tcPr>
            <w:tcW w:w="17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Stav na konci bežného účtovného obdobia</w:t>
            </w:r>
          </w:p>
        </w:tc>
      </w:tr>
      <w:tr>
        <w:trPr>
          <w:trHeight w:val="284" w:hRule="atLeast"/>
        </w:trPr>
        <w:tc>
          <w:tcPr>
            <w:tcW w:w="32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Majetkové cenné papiere na obchodovanie</w:t>
            </w:r>
          </w:p>
        </w:tc>
        <w:tc>
          <w:tcPr>
            <w:tcW w:w="17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7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7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7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32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7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7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7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7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32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7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7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7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7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32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Ostatné realizovateľné cenné papiere</w:t>
            </w:r>
          </w:p>
        </w:tc>
        <w:tc>
          <w:tcPr>
            <w:tcW w:w="17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7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7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7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32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7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7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7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7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32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Krátkodobý finančný majetok spolu</w:t>
            </w:r>
          </w:p>
        </w:tc>
        <w:tc>
          <w:tcPr>
            <w:tcW w:w="17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</w:r>
          </w:p>
        </w:tc>
        <w:tc>
          <w:tcPr>
            <w:tcW w:w="17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</w:r>
          </w:p>
        </w:tc>
        <w:tc>
          <w:tcPr>
            <w:tcW w:w="17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</w:r>
          </w:p>
        </w:tc>
        <w:tc>
          <w:tcPr>
            <w:tcW w:w="17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</w:r>
          </w:p>
        </w:tc>
      </w:tr>
    </w:tbl>
    <w:p>
      <w:pPr>
        <w:pStyle w:val="Normal"/>
        <w:spacing w:lineRule="auto" w:line="240" w:before="0" w:after="0"/>
        <w:jc w:val="center"/>
        <w:rPr>
          <w:iCs/>
          <w:color w:val="00000A"/>
          <w:sz w:val="18"/>
          <w:szCs w:val="18"/>
        </w:rPr>
      </w:pPr>
      <w:r>
        <w:rPr>
          <w:iCs/>
          <w:color w:val="00000A"/>
          <w:sz w:val="18"/>
          <w:szCs w:val="18"/>
        </w:rPr>
      </w:r>
    </w:p>
    <w:p>
      <w:pPr>
        <w:pStyle w:val="Normal"/>
        <w:spacing w:lineRule="auto" w:line="240" w:before="0" w:after="0"/>
        <w:jc w:val="center"/>
        <w:rPr>
          <w:i/>
          <w:i/>
          <w:iCs/>
          <w:color w:val="00000A"/>
          <w:sz w:val="18"/>
          <w:szCs w:val="18"/>
        </w:rPr>
      </w:pPr>
      <w:r>
        <w:rPr>
          <w:iCs/>
          <w:color w:val="00000A"/>
          <w:sz w:val="18"/>
          <w:szCs w:val="18"/>
        </w:rPr>
        <w:t>Netýka sa</w:t>
      </w:r>
      <w:r>
        <w:rPr>
          <w:i/>
          <w:iCs/>
          <w:color w:val="00000A"/>
          <w:sz w:val="18"/>
          <w:szCs w:val="18"/>
        </w:rPr>
        <w:t>.</w:t>
      </w:r>
    </w:p>
    <w:p>
      <w:pPr>
        <w:pStyle w:val="Normal"/>
        <w:spacing w:lineRule="auto" w:line="240" w:before="0" w:after="0"/>
        <w:rPr>
          <w:i/>
          <w:i/>
          <w:iCs/>
          <w:color w:val="00000A"/>
          <w:sz w:val="18"/>
          <w:szCs w:val="18"/>
        </w:rPr>
      </w:pPr>
      <w:r>
        <w:rPr>
          <w:i/>
          <w:iCs/>
          <w:color w:val="00000A"/>
          <w:sz w:val="18"/>
          <w:szCs w:val="18"/>
        </w:rPr>
      </w:r>
    </w:p>
    <w:p>
      <w:pPr>
        <w:pStyle w:val="Normal"/>
        <w:spacing w:lineRule="auto" w:line="240" w:before="0" w:after="120"/>
        <w:rPr>
          <w:i/>
          <w:i/>
          <w:iCs/>
          <w:color w:val="00000A"/>
          <w:sz w:val="18"/>
          <w:szCs w:val="18"/>
        </w:rPr>
      </w:pPr>
      <w:r>
        <w:rPr>
          <w:b/>
          <w:bCs/>
          <w:i/>
          <w:iCs/>
          <w:color w:val="00000A"/>
          <w:sz w:val="18"/>
          <w:szCs w:val="18"/>
        </w:rPr>
        <w:t>Tabuľka č. 3</w:t>
      </w:r>
    </w:p>
    <w:tbl>
      <w:tblPr>
        <w:tblW w:w="10301" w:type="dxa"/>
        <w:jc w:val="left"/>
        <w:tblInd w:w="-16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48" w:type="dxa"/>
          <w:bottom w:w="0" w:type="dxa"/>
          <w:right w:w="108" w:type="dxa"/>
        </w:tblCellMar>
        <w:tblLook w:val="00a0"/>
      </w:tblPr>
      <w:tblGrid>
        <w:gridCol w:w="3299"/>
        <w:gridCol w:w="2327"/>
        <w:gridCol w:w="2340"/>
        <w:gridCol w:w="2334"/>
      </w:tblGrid>
      <w:tr>
        <w:trPr>
          <w:trHeight w:val="284" w:hRule="atLeast"/>
        </w:trPr>
        <w:tc>
          <w:tcPr>
            <w:tcW w:w="32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Krátkodobý finančný  majetok</w:t>
            </w:r>
          </w:p>
        </w:tc>
        <w:tc>
          <w:tcPr>
            <w:tcW w:w="23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Zvýšenie/ zníženie hodnoty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(+/-)</w:t>
            </w:r>
          </w:p>
        </w:tc>
        <w:tc>
          <w:tcPr>
            <w:tcW w:w="23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23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Vplyv ocenenia na vlastné imanie</w:t>
            </w:r>
          </w:p>
        </w:tc>
      </w:tr>
      <w:tr>
        <w:trPr>
          <w:trHeight w:val="284" w:hRule="atLeast"/>
        </w:trPr>
        <w:tc>
          <w:tcPr>
            <w:tcW w:w="32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Majetkové cenné papiere na obchodovanie</w:t>
            </w:r>
          </w:p>
        </w:tc>
        <w:tc>
          <w:tcPr>
            <w:tcW w:w="23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23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23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32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Dlhové cenné papiere na obchodovanie</w:t>
            </w:r>
          </w:p>
        </w:tc>
        <w:tc>
          <w:tcPr>
            <w:tcW w:w="23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23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23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32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Ostatné realizovateľné cenné papiere</w:t>
            </w:r>
          </w:p>
        </w:tc>
        <w:tc>
          <w:tcPr>
            <w:tcW w:w="23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23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23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32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Krátkodobý finančný  majetok spolu</w:t>
            </w:r>
          </w:p>
        </w:tc>
        <w:tc>
          <w:tcPr>
            <w:tcW w:w="23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23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23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</w:tr>
    </w:tbl>
    <w:p>
      <w:pPr>
        <w:pStyle w:val="Normal"/>
        <w:spacing w:lineRule="auto" w:line="240" w:before="0" w:after="0"/>
        <w:rPr>
          <w:i/>
          <w:i/>
          <w:iCs/>
          <w:color w:val="00000A"/>
          <w:sz w:val="18"/>
          <w:szCs w:val="18"/>
        </w:rPr>
      </w:pPr>
      <w:r>
        <w:rPr>
          <w:i/>
          <w:iCs/>
          <w:color w:val="00000A"/>
          <w:sz w:val="18"/>
          <w:szCs w:val="18"/>
        </w:rPr>
      </w:r>
    </w:p>
    <w:p>
      <w:pPr>
        <w:pStyle w:val="Normal"/>
        <w:spacing w:lineRule="auto" w:line="240" w:before="0" w:after="0"/>
        <w:jc w:val="center"/>
        <w:rPr>
          <w:iCs/>
          <w:color w:val="00000A"/>
          <w:sz w:val="18"/>
          <w:szCs w:val="18"/>
        </w:rPr>
      </w:pPr>
      <w:r>
        <w:rPr>
          <w:iCs/>
          <w:color w:val="00000A"/>
          <w:sz w:val="18"/>
          <w:szCs w:val="18"/>
        </w:rPr>
        <w:t>Netýka sa.</w:t>
      </w:r>
    </w:p>
    <w:p>
      <w:pPr>
        <w:pStyle w:val="Normal"/>
        <w:spacing w:lineRule="auto" w:line="240" w:before="0" w:after="0"/>
        <w:jc w:val="center"/>
        <w:rPr>
          <w:iCs/>
          <w:color w:val="00000A"/>
          <w:sz w:val="18"/>
          <w:szCs w:val="18"/>
        </w:rPr>
      </w:pPr>
      <w:r>
        <w:rPr>
          <w:iCs/>
          <w:color w:val="00000A"/>
          <w:sz w:val="18"/>
          <w:szCs w:val="18"/>
        </w:rPr>
      </w:r>
    </w:p>
    <w:p>
      <w:pPr>
        <w:pStyle w:val="Normal"/>
        <w:numPr>
          <w:ilvl w:val="0"/>
          <w:numId w:val="5"/>
        </w:numPr>
        <w:spacing w:lineRule="auto" w:line="240" w:before="0" w:after="120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  <w:t>Prehľad  opravných položiek k zásobám,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 zásobám.</w:t>
      </w:r>
    </w:p>
    <w:tbl>
      <w:tblPr>
        <w:tblW w:w="5000" w:type="pct"/>
        <w:jc w:val="left"/>
        <w:tblInd w:w="-16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48" w:type="dxa"/>
          <w:bottom w:w="0" w:type="dxa"/>
          <w:right w:w="108" w:type="dxa"/>
        </w:tblCellMar>
        <w:tblLook w:val="00a0"/>
      </w:tblPr>
      <w:tblGrid>
        <w:gridCol w:w="2234"/>
        <w:gridCol w:w="1548"/>
        <w:gridCol w:w="1553"/>
        <w:gridCol w:w="1548"/>
        <w:gridCol w:w="1550"/>
        <w:gridCol w:w="1544"/>
      </w:tblGrid>
      <w:tr>
        <w:trPr>
          <w:trHeight w:val="284" w:hRule="atLeast"/>
        </w:trPr>
        <w:tc>
          <w:tcPr>
            <w:tcW w:w="22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Druh zásob</w:t>
            </w:r>
          </w:p>
        </w:tc>
        <w:tc>
          <w:tcPr>
            <w:tcW w:w="15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5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5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Zníženie opravnej položky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Zúčtovanie  opravnej položky</w:t>
            </w:r>
          </w:p>
        </w:tc>
        <w:tc>
          <w:tcPr>
            <w:tcW w:w="15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>
        <w:trPr>
          <w:trHeight w:val="284" w:hRule="atLeast"/>
        </w:trPr>
        <w:tc>
          <w:tcPr>
            <w:tcW w:w="22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5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5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5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5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22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 xml:space="preserve">Výrobky </w:t>
            </w:r>
          </w:p>
        </w:tc>
        <w:tc>
          <w:tcPr>
            <w:tcW w:w="15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5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5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5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22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Zvieratá</w:t>
            </w:r>
          </w:p>
        </w:tc>
        <w:tc>
          <w:tcPr>
            <w:tcW w:w="15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5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5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5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22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Tovar</w:t>
            </w:r>
          </w:p>
        </w:tc>
        <w:tc>
          <w:tcPr>
            <w:tcW w:w="15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5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5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5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22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Poskytnutý preddavok na zásoby</w:t>
            </w:r>
          </w:p>
        </w:tc>
        <w:tc>
          <w:tcPr>
            <w:tcW w:w="15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</w:r>
          </w:p>
        </w:tc>
        <w:tc>
          <w:tcPr>
            <w:tcW w:w="15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</w:r>
          </w:p>
        </w:tc>
        <w:tc>
          <w:tcPr>
            <w:tcW w:w="15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</w:r>
          </w:p>
        </w:tc>
        <w:tc>
          <w:tcPr>
            <w:tcW w:w="15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22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Zásoby spolu</w:t>
            </w:r>
          </w:p>
        </w:tc>
        <w:tc>
          <w:tcPr>
            <w:tcW w:w="15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</w:r>
          </w:p>
        </w:tc>
        <w:tc>
          <w:tcPr>
            <w:tcW w:w="15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</w:r>
          </w:p>
        </w:tc>
        <w:tc>
          <w:tcPr>
            <w:tcW w:w="15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</w:r>
          </w:p>
        </w:tc>
        <w:tc>
          <w:tcPr>
            <w:tcW w:w="15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</w:r>
          </w:p>
        </w:tc>
      </w:tr>
    </w:tbl>
    <w:p>
      <w:pPr>
        <w:pStyle w:val="Normal"/>
        <w:spacing w:lineRule="auto" w:line="240" w:before="0" w:after="120"/>
        <w:rPr>
          <w:b/>
          <w:b/>
          <w:bCs/>
          <w:i/>
          <w:i/>
          <w:iCs/>
          <w:color w:val="00000A"/>
          <w:sz w:val="18"/>
          <w:szCs w:val="18"/>
        </w:rPr>
      </w:pPr>
      <w:r>
        <w:rPr>
          <w:b/>
          <w:bCs/>
          <w:i/>
          <w:iCs/>
          <w:color w:val="00000A"/>
          <w:sz w:val="18"/>
          <w:szCs w:val="18"/>
        </w:rPr>
      </w:r>
    </w:p>
    <w:p>
      <w:pPr>
        <w:pStyle w:val="Normal"/>
        <w:spacing w:lineRule="auto" w:line="240" w:before="0" w:after="120"/>
        <w:jc w:val="center"/>
        <w:rPr>
          <w:bCs/>
          <w:iCs/>
          <w:color w:val="00000A"/>
          <w:sz w:val="18"/>
          <w:szCs w:val="18"/>
        </w:rPr>
      </w:pPr>
      <w:r>
        <w:rPr>
          <w:bCs/>
          <w:iCs/>
          <w:color w:val="00000A"/>
          <w:sz w:val="18"/>
          <w:szCs w:val="18"/>
        </w:rPr>
        <w:t>Netýka sa.</w:t>
      </w:r>
    </w:p>
    <w:p>
      <w:pPr>
        <w:pStyle w:val="Normal"/>
        <w:spacing w:lineRule="auto" w:line="240" w:before="0" w:after="120"/>
        <w:jc w:val="center"/>
        <w:rPr>
          <w:bCs/>
          <w:iCs/>
          <w:color w:val="00000A"/>
          <w:sz w:val="18"/>
          <w:szCs w:val="18"/>
        </w:rPr>
      </w:pPr>
      <w:r>
        <w:rPr>
          <w:bCs/>
          <w:iCs/>
          <w:color w:val="00000A"/>
          <w:sz w:val="18"/>
          <w:szCs w:val="18"/>
        </w:rPr>
      </w:r>
    </w:p>
    <w:p>
      <w:pPr>
        <w:pStyle w:val="Normal"/>
        <w:numPr>
          <w:ilvl w:val="0"/>
          <w:numId w:val="5"/>
        </w:numPr>
        <w:spacing w:lineRule="auto" w:line="240" w:before="0" w:after="120"/>
        <w:rPr>
          <w:color w:val="FF0000"/>
          <w:sz w:val="18"/>
          <w:szCs w:val="18"/>
        </w:rPr>
      </w:pPr>
      <w:r>
        <w:rPr>
          <w:color w:val="1C1C1C"/>
          <w:sz w:val="18"/>
          <w:szCs w:val="18"/>
        </w:rPr>
        <w:t>Opis významných pohľadávok v nadväznosti na položky súvahy a v členení na pohľadávky za hlavnú činnosť a podnikateľskú činnosť.</w:t>
      </w:r>
    </w:p>
    <w:tbl>
      <w:tblPr>
        <w:tblW w:w="5000" w:type="pct"/>
        <w:jc w:val="left"/>
        <w:tblInd w:w="-16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48" w:type="dxa"/>
          <w:bottom w:w="0" w:type="dxa"/>
          <w:right w:w="108" w:type="dxa"/>
        </w:tblCellMar>
        <w:tblLook w:val="00a0"/>
      </w:tblPr>
      <w:tblGrid>
        <w:gridCol w:w="2991"/>
        <w:gridCol w:w="4989"/>
        <w:gridCol w:w="1998"/>
      </w:tblGrid>
      <w:tr>
        <w:trPr>
          <w:trHeight w:val="284" w:hRule="atLeast"/>
        </w:trPr>
        <w:tc>
          <w:tcPr>
            <w:tcW w:w="29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FF0000"/>
                <w:sz w:val="16"/>
                <w:szCs w:val="16"/>
              </w:rPr>
            </w:pPr>
            <w:r>
              <w:rPr>
                <w:b/>
                <w:bCs/>
                <w:color w:val="1C1C1C"/>
                <w:sz w:val="16"/>
                <w:szCs w:val="16"/>
              </w:rPr>
              <w:t>Významné pohľadávky</w:t>
            </w:r>
          </w:p>
        </w:tc>
        <w:tc>
          <w:tcPr>
            <w:tcW w:w="49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FF0000"/>
                <w:sz w:val="16"/>
                <w:szCs w:val="16"/>
              </w:rPr>
            </w:pPr>
            <w:r>
              <w:rPr>
                <w:b/>
                <w:bCs/>
                <w:color w:val="1C1C1C"/>
                <w:sz w:val="16"/>
                <w:szCs w:val="16"/>
              </w:rPr>
              <w:t xml:space="preserve">Opis </w:t>
            </w:r>
          </w:p>
        </w:tc>
        <w:tc>
          <w:tcPr>
            <w:tcW w:w="19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FF0000"/>
                <w:sz w:val="16"/>
                <w:szCs w:val="16"/>
              </w:rPr>
            </w:pPr>
            <w:r>
              <w:rPr>
                <w:b/>
                <w:bCs/>
                <w:color w:val="1C1C1C"/>
                <w:sz w:val="16"/>
                <w:szCs w:val="16"/>
              </w:rPr>
              <w:t>Suma</w:t>
            </w:r>
          </w:p>
        </w:tc>
      </w:tr>
      <w:tr>
        <w:trPr>
          <w:trHeight w:val="284" w:hRule="atLeast"/>
        </w:trPr>
        <w:tc>
          <w:tcPr>
            <w:tcW w:w="29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1C1C1C"/>
                <w:sz w:val="16"/>
                <w:szCs w:val="16"/>
              </w:rPr>
            </w:pPr>
            <w:r>
              <w:rPr>
                <w:color w:val="1C1C1C"/>
                <w:sz w:val="16"/>
                <w:szCs w:val="16"/>
              </w:rPr>
              <w:t>Zdaňované príjmy</w:t>
            </w:r>
          </w:p>
        </w:tc>
        <w:tc>
          <w:tcPr>
            <w:tcW w:w="49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1C1C1C"/>
                <w:sz w:val="16"/>
                <w:szCs w:val="16"/>
              </w:rPr>
            </w:pPr>
            <w:r>
              <w:rPr>
                <w:color w:val="1C1C1C"/>
                <w:sz w:val="16"/>
                <w:szCs w:val="16"/>
              </w:rPr>
              <w:t>Tržby v chd</w:t>
            </w:r>
          </w:p>
        </w:tc>
        <w:tc>
          <w:tcPr>
            <w:tcW w:w="19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1C1C1C"/>
              </w:rPr>
              <w:t>2800,00</w:t>
            </w:r>
          </w:p>
        </w:tc>
      </w:tr>
      <w:tr>
        <w:trPr>
          <w:trHeight w:val="284" w:hRule="atLeast"/>
        </w:trPr>
        <w:tc>
          <w:tcPr>
            <w:tcW w:w="29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1C1C1C"/>
                <w:sz w:val="16"/>
                <w:szCs w:val="16"/>
              </w:rPr>
            </w:pPr>
            <w:r>
              <w:rPr>
                <w:color w:val="1C1C1C"/>
                <w:sz w:val="16"/>
                <w:szCs w:val="16"/>
              </w:rPr>
              <w:t>Nezdaňované príjmy</w:t>
            </w:r>
          </w:p>
        </w:tc>
        <w:tc>
          <w:tcPr>
            <w:tcW w:w="49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1C1C1C"/>
                <w:sz w:val="16"/>
                <w:szCs w:val="16"/>
              </w:rPr>
            </w:pPr>
            <w:r>
              <w:rPr>
                <w:color w:val="1C1C1C"/>
                <w:sz w:val="16"/>
                <w:szCs w:val="16"/>
              </w:rPr>
              <w:t>Sociálne služby</w:t>
            </w:r>
          </w:p>
        </w:tc>
        <w:tc>
          <w:tcPr>
            <w:tcW w:w="19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1C1C1C"/>
              </w:rPr>
              <w:t>0</w:t>
            </w:r>
          </w:p>
        </w:tc>
      </w:tr>
      <w:tr>
        <w:trPr>
          <w:trHeight w:val="284" w:hRule="atLeast"/>
        </w:trPr>
        <w:tc>
          <w:tcPr>
            <w:tcW w:w="29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1C1C1C"/>
                <w:sz w:val="16"/>
                <w:szCs w:val="16"/>
              </w:rPr>
            </w:pPr>
            <w:r>
              <w:rPr>
                <w:color w:val="1C1C1C"/>
                <w:sz w:val="16"/>
                <w:szCs w:val="16"/>
              </w:rPr>
            </w:r>
          </w:p>
        </w:tc>
        <w:tc>
          <w:tcPr>
            <w:tcW w:w="49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1C1C1C"/>
                <w:sz w:val="16"/>
                <w:szCs w:val="16"/>
              </w:rPr>
            </w:pPr>
            <w:r>
              <w:rPr>
                <w:color w:val="1C1C1C"/>
                <w:sz w:val="16"/>
                <w:szCs w:val="16"/>
              </w:rPr>
            </w:r>
          </w:p>
        </w:tc>
        <w:tc>
          <w:tcPr>
            <w:tcW w:w="19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1C1C1C"/>
              </w:rPr>
            </w:pPr>
            <w:r>
              <w:rPr>
                <w:color w:val="1C1C1C"/>
              </w:rPr>
            </w:r>
          </w:p>
        </w:tc>
      </w:tr>
      <w:tr>
        <w:trPr>
          <w:trHeight w:val="284" w:hRule="atLeast"/>
        </w:trPr>
        <w:tc>
          <w:tcPr>
            <w:tcW w:w="29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1C1C1C"/>
                <w:sz w:val="16"/>
                <w:szCs w:val="16"/>
              </w:rPr>
            </w:pPr>
            <w:r>
              <w:rPr>
                <w:color w:val="1C1C1C"/>
                <w:sz w:val="16"/>
                <w:szCs w:val="16"/>
              </w:rPr>
            </w:r>
          </w:p>
        </w:tc>
        <w:tc>
          <w:tcPr>
            <w:tcW w:w="49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1C1C1C"/>
                <w:sz w:val="16"/>
                <w:szCs w:val="16"/>
              </w:rPr>
            </w:pPr>
            <w:r>
              <w:rPr>
                <w:color w:val="1C1C1C"/>
                <w:sz w:val="16"/>
                <w:szCs w:val="16"/>
              </w:rPr>
            </w:r>
          </w:p>
        </w:tc>
        <w:tc>
          <w:tcPr>
            <w:tcW w:w="19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1C1C1C"/>
              </w:rPr>
            </w:pPr>
            <w:r>
              <w:rPr>
                <w:color w:val="1C1C1C"/>
              </w:rPr>
            </w:r>
          </w:p>
        </w:tc>
      </w:tr>
      <w:tr>
        <w:trPr>
          <w:trHeight w:val="284" w:hRule="atLeast"/>
        </w:trPr>
        <w:tc>
          <w:tcPr>
            <w:tcW w:w="29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1C1C1C"/>
                <w:sz w:val="16"/>
                <w:szCs w:val="16"/>
              </w:rPr>
            </w:pPr>
            <w:r>
              <w:rPr>
                <w:color w:val="1C1C1C"/>
                <w:sz w:val="16"/>
                <w:szCs w:val="16"/>
              </w:rPr>
            </w:r>
          </w:p>
        </w:tc>
        <w:tc>
          <w:tcPr>
            <w:tcW w:w="49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1C1C1C"/>
                <w:sz w:val="16"/>
                <w:szCs w:val="16"/>
              </w:rPr>
            </w:pPr>
            <w:r>
              <w:rPr>
                <w:color w:val="1C1C1C"/>
                <w:sz w:val="16"/>
                <w:szCs w:val="16"/>
              </w:rPr>
            </w:r>
          </w:p>
        </w:tc>
        <w:tc>
          <w:tcPr>
            <w:tcW w:w="19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1C1C1C"/>
              </w:rPr>
            </w:pPr>
            <w:r>
              <w:rPr>
                <w:color w:val="1C1C1C"/>
              </w:rPr>
            </w:r>
          </w:p>
        </w:tc>
      </w:tr>
    </w:tbl>
    <w:p>
      <w:pPr>
        <w:pStyle w:val="Normal"/>
        <w:spacing w:lineRule="auto" w:line="240" w:before="0" w:after="0"/>
        <w:rPr>
          <w:color w:val="1C1C1C"/>
          <w:sz w:val="18"/>
          <w:szCs w:val="18"/>
        </w:rPr>
      </w:pPr>
      <w:r>
        <w:rPr>
          <w:color w:val="1C1C1C"/>
          <w:sz w:val="18"/>
          <w:szCs w:val="18"/>
        </w:rPr>
      </w:r>
    </w:p>
    <w:p>
      <w:pPr>
        <w:pStyle w:val="Normal"/>
        <w:numPr>
          <w:ilvl w:val="0"/>
          <w:numId w:val="5"/>
        </w:numPr>
        <w:spacing w:lineRule="auto" w:line="240" w:before="0" w:after="120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  <w:t>Prehľad  opravných položiek k pohľadávkam,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 pohľadávkam.</w:t>
      </w:r>
    </w:p>
    <w:tbl>
      <w:tblPr>
        <w:tblW w:w="5000" w:type="pct"/>
        <w:jc w:val="left"/>
        <w:tblInd w:w="-16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48" w:type="dxa"/>
          <w:bottom w:w="0" w:type="dxa"/>
          <w:right w:w="108" w:type="dxa"/>
        </w:tblCellMar>
        <w:tblLook w:val="00a0"/>
      </w:tblPr>
      <w:tblGrid>
        <w:gridCol w:w="2412"/>
        <w:gridCol w:w="1515"/>
        <w:gridCol w:w="1514"/>
        <w:gridCol w:w="1512"/>
        <w:gridCol w:w="1515"/>
        <w:gridCol w:w="1509"/>
      </w:tblGrid>
      <w:tr>
        <w:trPr>
          <w:trHeight w:val="608" w:hRule="atLeast"/>
        </w:trPr>
        <w:tc>
          <w:tcPr>
            <w:tcW w:w="24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Druh pohľadávok</w:t>
            </w:r>
          </w:p>
        </w:tc>
        <w:tc>
          <w:tcPr>
            <w:tcW w:w="15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5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5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Zníženie opravnej položky</w:t>
            </w:r>
          </w:p>
        </w:tc>
        <w:tc>
          <w:tcPr>
            <w:tcW w:w="15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Zúčtovanie  opravnej položky</w:t>
            </w:r>
          </w:p>
        </w:tc>
        <w:tc>
          <w:tcPr>
            <w:tcW w:w="15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>
        <w:trPr>
          <w:trHeight w:val="284" w:hRule="atLeast"/>
        </w:trPr>
        <w:tc>
          <w:tcPr>
            <w:tcW w:w="24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Pohľadávky z obchodného styku</w:t>
            </w:r>
          </w:p>
        </w:tc>
        <w:tc>
          <w:tcPr>
            <w:tcW w:w="15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5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5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5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5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24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Ostatné pohľadávky</w:t>
            </w:r>
          </w:p>
        </w:tc>
        <w:tc>
          <w:tcPr>
            <w:tcW w:w="15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5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5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5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5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24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Pohľadávky voči účastníkom združení</w:t>
            </w:r>
          </w:p>
        </w:tc>
        <w:tc>
          <w:tcPr>
            <w:tcW w:w="15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5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5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5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5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24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Iné pohľadávky</w:t>
            </w:r>
          </w:p>
        </w:tc>
        <w:tc>
          <w:tcPr>
            <w:tcW w:w="15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5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5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5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5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24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Pohľadávky spolu</w:t>
            </w:r>
          </w:p>
        </w:tc>
        <w:tc>
          <w:tcPr>
            <w:tcW w:w="15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0</w:t>
            </w:r>
          </w:p>
        </w:tc>
        <w:tc>
          <w:tcPr>
            <w:tcW w:w="15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0</w:t>
            </w:r>
          </w:p>
        </w:tc>
        <w:tc>
          <w:tcPr>
            <w:tcW w:w="15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0</w:t>
            </w:r>
          </w:p>
        </w:tc>
        <w:tc>
          <w:tcPr>
            <w:tcW w:w="15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</w:r>
          </w:p>
        </w:tc>
        <w:tc>
          <w:tcPr>
            <w:tcW w:w="15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0</w:t>
            </w:r>
          </w:p>
        </w:tc>
      </w:tr>
    </w:tbl>
    <w:p>
      <w:pPr>
        <w:pStyle w:val="Normal"/>
        <w:spacing w:lineRule="auto" w:line="240" w:before="0" w:after="0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</w:r>
    </w:p>
    <w:p>
      <w:pPr>
        <w:pStyle w:val="Normal"/>
        <w:spacing w:lineRule="auto" w:line="240" w:before="0" w:after="0"/>
        <w:jc w:val="center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  <w:t>Netýka sa.</w:t>
      </w:r>
    </w:p>
    <w:p>
      <w:pPr>
        <w:pStyle w:val="Normal"/>
        <w:spacing w:lineRule="auto" w:line="240" w:before="0" w:after="0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</w:r>
    </w:p>
    <w:p>
      <w:pPr>
        <w:pStyle w:val="Normal"/>
        <w:numPr>
          <w:ilvl w:val="0"/>
          <w:numId w:val="5"/>
        </w:numPr>
        <w:spacing w:lineRule="auto" w:line="240" w:before="0" w:after="120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  <w:t>Prehľad  pohľadávok do lehoty splatnosti a po lehote splatnosti.</w:t>
      </w:r>
    </w:p>
    <w:tbl>
      <w:tblPr>
        <w:tblW w:w="5000" w:type="pct"/>
        <w:jc w:val="left"/>
        <w:tblInd w:w="-16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48" w:type="dxa"/>
          <w:bottom w:w="0" w:type="dxa"/>
          <w:right w:w="108" w:type="dxa"/>
        </w:tblCellMar>
        <w:tblLook w:val="00a0"/>
      </w:tblPr>
      <w:tblGrid>
        <w:gridCol w:w="3992"/>
        <w:gridCol w:w="2991"/>
        <w:gridCol w:w="2995"/>
      </w:tblGrid>
      <w:tr>
        <w:trPr>
          <w:trHeight w:val="284" w:hRule="atLeast"/>
        </w:trPr>
        <w:tc>
          <w:tcPr>
            <w:tcW w:w="3992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</w:tcPr>
          <w:p>
            <w:pPr>
              <w:pStyle w:val="Normal"/>
              <w:spacing w:lineRule="auto" w:line="240" w:before="0" w:after="0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5986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  <w:t>Stav na konci</w:t>
            </w:r>
          </w:p>
        </w:tc>
      </w:tr>
      <w:tr>
        <w:trPr>
          <w:trHeight w:val="284" w:hRule="atLeast"/>
        </w:trPr>
        <w:tc>
          <w:tcPr>
            <w:tcW w:w="3992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</w:tcPr>
          <w:p>
            <w:pPr>
              <w:pStyle w:val="Normal"/>
              <w:spacing w:lineRule="auto" w:line="240" w:before="0" w:after="0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29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>
        <w:trPr>
          <w:trHeight w:val="284" w:hRule="atLeast"/>
        </w:trPr>
        <w:tc>
          <w:tcPr>
            <w:tcW w:w="3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Pohľadávky do lehoty splatnosti</w:t>
            </w:r>
          </w:p>
        </w:tc>
        <w:tc>
          <w:tcPr>
            <w:tcW w:w="29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color w:val="00000A"/>
                <w:sz w:val="16"/>
                <w:szCs w:val="16"/>
              </w:rPr>
              <w:t>125,00</w:t>
            </w:r>
          </w:p>
        </w:tc>
        <w:tc>
          <w:tcPr>
            <w:tcW w:w="29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color w:val="00000A"/>
                <w:sz w:val="16"/>
                <w:szCs w:val="16"/>
              </w:rPr>
              <w:t>4445,00</w:t>
            </w:r>
          </w:p>
        </w:tc>
      </w:tr>
      <w:tr>
        <w:trPr>
          <w:trHeight w:val="284" w:hRule="atLeast"/>
        </w:trPr>
        <w:tc>
          <w:tcPr>
            <w:tcW w:w="3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Pohľadávky po lehote splatnosti</w:t>
            </w:r>
          </w:p>
        </w:tc>
        <w:tc>
          <w:tcPr>
            <w:tcW w:w="29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0</w:t>
            </w:r>
          </w:p>
        </w:tc>
        <w:tc>
          <w:tcPr>
            <w:tcW w:w="29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color w:val="00000A"/>
                <w:sz w:val="16"/>
                <w:szCs w:val="16"/>
              </w:rPr>
              <w:t>0</w:t>
            </w:r>
          </w:p>
        </w:tc>
      </w:tr>
      <w:tr>
        <w:trPr>
          <w:trHeight w:val="284" w:hRule="atLeast"/>
        </w:trPr>
        <w:tc>
          <w:tcPr>
            <w:tcW w:w="3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Pohľadávky spolu</w:t>
            </w:r>
          </w:p>
        </w:tc>
        <w:tc>
          <w:tcPr>
            <w:tcW w:w="29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b/>
                <w:bCs/>
                <w:color w:val="00000A"/>
                <w:sz w:val="16"/>
                <w:szCs w:val="16"/>
              </w:rPr>
              <w:t>125,00</w:t>
            </w:r>
          </w:p>
        </w:tc>
        <w:tc>
          <w:tcPr>
            <w:tcW w:w="29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b/>
                <w:bCs/>
                <w:color w:val="00000A"/>
                <w:sz w:val="16"/>
                <w:szCs w:val="16"/>
              </w:rPr>
              <w:t>4445,00</w:t>
            </w:r>
          </w:p>
        </w:tc>
      </w:tr>
    </w:tbl>
    <w:p>
      <w:pPr>
        <w:pStyle w:val="Normal"/>
        <w:spacing w:lineRule="auto" w:line="240" w:before="0" w:after="0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</w:r>
    </w:p>
    <w:p>
      <w:pPr>
        <w:pStyle w:val="Normal"/>
        <w:numPr>
          <w:ilvl w:val="0"/>
          <w:numId w:val="5"/>
        </w:numPr>
        <w:spacing w:lineRule="auto" w:line="240" w:before="0" w:after="120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  <w:t>Prehľad významných položiek časového rozlíšenia nákladov budúcich období a príjmov budúcich období.</w:t>
      </w:r>
    </w:p>
    <w:tbl>
      <w:tblPr>
        <w:tblW w:w="5000" w:type="pct"/>
        <w:jc w:val="left"/>
        <w:tblInd w:w="-16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48" w:type="dxa"/>
          <w:bottom w:w="0" w:type="dxa"/>
          <w:right w:w="108" w:type="dxa"/>
        </w:tblCellMar>
        <w:tblLook w:val="00a0"/>
      </w:tblPr>
      <w:tblGrid>
        <w:gridCol w:w="2991"/>
        <w:gridCol w:w="4989"/>
        <w:gridCol w:w="1998"/>
      </w:tblGrid>
      <w:tr>
        <w:trPr>
          <w:trHeight w:val="284" w:hRule="atLeast"/>
        </w:trPr>
        <w:tc>
          <w:tcPr>
            <w:tcW w:w="29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 xml:space="preserve">Významné položky časového rozlíšenia nákladov </w:t>
            </w:r>
          </w:p>
        </w:tc>
        <w:tc>
          <w:tcPr>
            <w:tcW w:w="49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Opis</w:t>
            </w:r>
          </w:p>
        </w:tc>
        <w:tc>
          <w:tcPr>
            <w:tcW w:w="19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Suma</w:t>
            </w:r>
          </w:p>
        </w:tc>
      </w:tr>
      <w:tr>
        <w:trPr>
          <w:trHeight w:val="284" w:hRule="atLeast"/>
        </w:trPr>
        <w:tc>
          <w:tcPr>
            <w:tcW w:w="29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numPr>
                <w:ilvl w:val="0"/>
                <w:numId w:val="7"/>
              </w:numPr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časové rozlíšenie nákladov</w:t>
            </w:r>
          </w:p>
        </w:tc>
        <w:tc>
          <w:tcPr>
            <w:tcW w:w="49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9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29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numPr>
                <w:ilvl w:val="0"/>
                <w:numId w:val="7"/>
              </w:numPr>
              <w:spacing w:lineRule="auto" w:line="240" w:before="0" w:after="0"/>
              <w:jc w:val="left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príjmy budúcich období</w:t>
            </w:r>
          </w:p>
        </w:tc>
        <w:tc>
          <w:tcPr>
            <w:tcW w:w="49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9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</w:rPr>
            </w:pPr>
            <w:r>
              <w:rPr>
                <w:bCs/>
                <w:color w:val="00000A"/>
                <w:sz w:val="16"/>
                <w:szCs w:val="16"/>
              </w:rPr>
              <w:t>0</w:t>
            </w:r>
          </w:p>
        </w:tc>
      </w:tr>
    </w:tbl>
    <w:p>
      <w:pPr>
        <w:pStyle w:val="Normal"/>
        <w:spacing w:lineRule="auto" w:line="240" w:before="0" w:after="120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</w:r>
    </w:p>
    <w:p>
      <w:pPr>
        <w:pStyle w:val="Normal"/>
        <w:spacing w:lineRule="auto" w:line="240" w:before="0" w:after="120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</w:r>
    </w:p>
    <w:p>
      <w:pPr>
        <w:pStyle w:val="Normal"/>
        <w:numPr>
          <w:ilvl w:val="0"/>
          <w:numId w:val="5"/>
        </w:numPr>
        <w:spacing w:lineRule="auto" w:line="240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  <w:t xml:space="preserve">Opis a výška zmien vlastných zdrojov krytia neobežného majetku a obežného majetku podľa položiek súvahy za bežné účtovné obdobie, a to </w:t>
      </w:r>
    </w:p>
    <w:p>
      <w:pPr>
        <w:pStyle w:val="Normal"/>
        <w:numPr>
          <w:ilvl w:val="0"/>
          <w:numId w:val="8"/>
        </w:numPr>
        <w:spacing w:lineRule="auto" w:line="240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  <w:t>opis základného imania, nadačného imania v nadáciách, výška vkladov zakladateľov alebo zriaďovateľov, prioritný majetok v neziskových organizáciách poskytujúcich všeobecne prospešné služby, prevody zdrojov z fondov účtovnej jednotky a podobne; za jednotlivé položky sa uvádza stav na začiatku bežného účtovného obdobia, jednotlivé prírastky, úbytky, presuny a zostatok na konci bežného účtovného obdobia,</w:t>
      </w:r>
    </w:p>
    <w:p>
      <w:pPr>
        <w:pStyle w:val="Normal"/>
        <w:numPr>
          <w:ilvl w:val="0"/>
          <w:numId w:val="8"/>
        </w:numPr>
        <w:spacing w:lineRule="auto" w:line="240" w:before="0" w:after="120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  <w:t xml:space="preserve">opis jednotlivých druhov fondov, ktoré tvorí účtovná jednotka, stav na začiatku bežného účtovného obdobia, prírastky, úbytky, presuny a zostatok na konci bežného účtovného obdobia. </w:t>
      </w:r>
    </w:p>
    <w:p>
      <w:pPr>
        <w:pStyle w:val="Normal"/>
        <w:spacing w:lineRule="auto" w:line="240" w:before="0" w:after="0"/>
        <w:jc w:val="left"/>
        <w:rPr>
          <w:b/>
          <w:b/>
          <w:bCs/>
          <w:i/>
          <w:i/>
          <w:iCs/>
          <w:color w:val="00000A"/>
          <w:sz w:val="18"/>
          <w:szCs w:val="18"/>
        </w:rPr>
      </w:pPr>
      <w:r>
        <w:rPr>
          <w:b/>
          <w:bCs/>
          <w:i/>
          <w:iCs/>
          <w:color w:val="00000A"/>
          <w:sz w:val="18"/>
          <w:szCs w:val="18"/>
        </w:rPr>
      </w:r>
    </w:p>
    <w:tbl>
      <w:tblPr>
        <w:tblW w:w="8875" w:type="dxa"/>
        <w:jc w:val="left"/>
        <w:tblInd w:w="-16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48" w:type="dxa"/>
          <w:bottom w:w="0" w:type="dxa"/>
          <w:right w:w="108" w:type="dxa"/>
        </w:tblCellMar>
        <w:tblLook w:val="00a0"/>
      </w:tblPr>
      <w:tblGrid>
        <w:gridCol w:w="3550"/>
        <w:gridCol w:w="1065"/>
        <w:gridCol w:w="1058"/>
        <w:gridCol w:w="1065"/>
        <w:gridCol w:w="1066"/>
        <w:gridCol w:w="1070"/>
      </w:tblGrid>
      <w:tr>
        <w:trPr>
          <w:trHeight w:val="284" w:hRule="atLeast"/>
        </w:trPr>
        <w:tc>
          <w:tcPr>
            <w:tcW w:w="3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</w:r>
          </w:p>
        </w:tc>
        <w:tc>
          <w:tcPr>
            <w:tcW w:w="10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Prírastky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(+)</w:t>
            </w:r>
          </w:p>
        </w:tc>
        <w:tc>
          <w:tcPr>
            <w:tcW w:w="10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Úbytky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(-)</w:t>
            </w:r>
          </w:p>
        </w:tc>
        <w:tc>
          <w:tcPr>
            <w:tcW w:w="10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Presuny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(+, -)</w:t>
            </w:r>
          </w:p>
        </w:tc>
        <w:tc>
          <w:tcPr>
            <w:tcW w:w="10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>
        <w:trPr>
          <w:trHeight w:val="284" w:hRule="atLeast"/>
        </w:trPr>
        <w:tc>
          <w:tcPr>
            <w:tcW w:w="8874" w:type="dxa"/>
            <w:gridSpan w:val="6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Imanie a fondy</w:t>
            </w:r>
          </w:p>
        </w:tc>
      </w:tr>
      <w:tr>
        <w:trPr>
          <w:trHeight w:val="284" w:hRule="atLeast"/>
        </w:trPr>
        <w:tc>
          <w:tcPr>
            <w:tcW w:w="3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Základné imanie</w:t>
            </w:r>
          </w:p>
        </w:tc>
        <w:tc>
          <w:tcPr>
            <w:tcW w:w="10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0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0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0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3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 xml:space="preserve">z toho: </w:t>
            </w:r>
          </w:p>
          <w:p>
            <w:pPr>
              <w:pStyle w:val="Normal"/>
              <w:numPr>
                <w:ilvl w:val="0"/>
                <w:numId w:val="9"/>
              </w:numPr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nadačné imanie v nadácii</w:t>
            </w:r>
          </w:p>
        </w:tc>
        <w:tc>
          <w:tcPr>
            <w:tcW w:w="10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0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0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0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3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numPr>
                <w:ilvl w:val="0"/>
                <w:numId w:val="9"/>
              </w:numPr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vklady zakladateľov</w:t>
            </w:r>
          </w:p>
        </w:tc>
        <w:tc>
          <w:tcPr>
            <w:tcW w:w="10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0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0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0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3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numPr>
                <w:ilvl w:val="0"/>
                <w:numId w:val="9"/>
              </w:numPr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prioritný majetok</w:t>
            </w:r>
          </w:p>
        </w:tc>
        <w:tc>
          <w:tcPr>
            <w:tcW w:w="10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0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0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0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3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Fondy tvorené podľa osobitného predpisu</w:t>
            </w:r>
          </w:p>
        </w:tc>
        <w:tc>
          <w:tcPr>
            <w:tcW w:w="10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0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0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0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3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Fond reprodukcie</w:t>
            </w:r>
          </w:p>
        </w:tc>
        <w:tc>
          <w:tcPr>
            <w:tcW w:w="10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0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0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0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3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0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0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0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0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8874" w:type="dxa"/>
            <w:gridSpan w:val="6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Fondy zo zisku</w:t>
            </w:r>
          </w:p>
        </w:tc>
      </w:tr>
      <w:tr>
        <w:trPr>
          <w:trHeight w:val="284" w:hRule="atLeast"/>
        </w:trPr>
        <w:tc>
          <w:tcPr>
            <w:tcW w:w="3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Rezervný fond</w:t>
            </w:r>
          </w:p>
        </w:tc>
        <w:tc>
          <w:tcPr>
            <w:tcW w:w="10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0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0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0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3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Fondy tvorené zo zisku</w:t>
            </w:r>
          </w:p>
        </w:tc>
        <w:tc>
          <w:tcPr>
            <w:tcW w:w="10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0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0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0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3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Ostatné fondy</w:t>
            </w:r>
          </w:p>
        </w:tc>
        <w:tc>
          <w:tcPr>
            <w:tcW w:w="10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0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0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0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3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Nevysporiadaný výsledok hospodárenia minulých rokov</w:t>
            </w:r>
          </w:p>
        </w:tc>
        <w:tc>
          <w:tcPr>
            <w:tcW w:w="10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A"/>
                <w:sz w:val="16"/>
                <w:szCs w:val="16"/>
              </w:rPr>
              <w:t>35864,00</w:t>
            </w:r>
          </w:p>
        </w:tc>
        <w:tc>
          <w:tcPr>
            <w:tcW w:w="1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</w:rPr>
            </w:pPr>
            <w:r>
              <w:rPr>
                <w:color w:val="00000A"/>
                <w:sz w:val="16"/>
                <w:szCs w:val="16"/>
              </w:rPr>
              <w:t xml:space="preserve">    </w:t>
            </w:r>
          </w:p>
        </w:tc>
        <w:tc>
          <w:tcPr>
            <w:tcW w:w="10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0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A"/>
                <w:sz w:val="16"/>
                <w:szCs w:val="16"/>
              </w:rPr>
              <w:t>5284,00</w:t>
            </w:r>
          </w:p>
        </w:tc>
        <w:tc>
          <w:tcPr>
            <w:tcW w:w="10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A"/>
                <w:sz w:val="16"/>
                <w:szCs w:val="16"/>
              </w:rPr>
              <w:t>35864</w:t>
            </w:r>
          </w:p>
        </w:tc>
      </w:tr>
      <w:tr>
        <w:trPr>
          <w:trHeight w:val="284" w:hRule="atLeast"/>
        </w:trPr>
        <w:tc>
          <w:tcPr>
            <w:tcW w:w="3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10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A"/>
                <w:sz w:val="16"/>
                <w:szCs w:val="16"/>
              </w:rPr>
              <w:t>5284,00</w:t>
            </w:r>
          </w:p>
        </w:tc>
        <w:tc>
          <w:tcPr>
            <w:tcW w:w="1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A"/>
                <w:sz w:val="16"/>
                <w:szCs w:val="16"/>
              </w:rPr>
              <w:t>-8003,35</w:t>
            </w:r>
          </w:p>
        </w:tc>
        <w:tc>
          <w:tcPr>
            <w:tcW w:w="10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0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A"/>
                <w:sz w:val="16"/>
                <w:szCs w:val="16"/>
              </w:rPr>
              <w:t>-5284,00</w:t>
            </w:r>
          </w:p>
        </w:tc>
        <w:tc>
          <w:tcPr>
            <w:tcW w:w="10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A"/>
                <w:sz w:val="16"/>
                <w:szCs w:val="16"/>
              </w:rPr>
              <w:t>-8003,35</w:t>
            </w:r>
          </w:p>
        </w:tc>
      </w:tr>
      <w:tr>
        <w:trPr>
          <w:trHeight w:val="284" w:hRule="atLeast"/>
        </w:trPr>
        <w:tc>
          <w:tcPr>
            <w:tcW w:w="3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Spolu</w:t>
            </w:r>
          </w:p>
        </w:tc>
        <w:tc>
          <w:tcPr>
            <w:tcW w:w="10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color w:val="00000A"/>
                <w:sz w:val="16"/>
                <w:szCs w:val="16"/>
              </w:rPr>
              <w:t>41148,00</w:t>
            </w:r>
          </w:p>
        </w:tc>
        <w:tc>
          <w:tcPr>
            <w:tcW w:w="1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color w:val="00000A"/>
                <w:sz w:val="16"/>
                <w:szCs w:val="16"/>
              </w:rPr>
              <w:t>-8003,35</w:t>
            </w:r>
          </w:p>
        </w:tc>
        <w:tc>
          <w:tcPr>
            <w:tcW w:w="10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</w:r>
          </w:p>
        </w:tc>
        <w:tc>
          <w:tcPr>
            <w:tcW w:w="10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</w:rPr>
            </w:pPr>
            <w:r>
              <w:rPr>
                <w:color w:val="00000A"/>
              </w:rPr>
            </w:r>
          </w:p>
        </w:tc>
        <w:tc>
          <w:tcPr>
            <w:tcW w:w="10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color w:val="00000A"/>
                <w:sz w:val="16"/>
                <w:szCs w:val="16"/>
              </w:rPr>
              <w:t>33144,65</w:t>
            </w:r>
          </w:p>
        </w:tc>
      </w:tr>
    </w:tbl>
    <w:p>
      <w:pPr>
        <w:pStyle w:val="Normal"/>
        <w:spacing w:lineRule="auto" w:line="240" w:before="0" w:after="0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</w:r>
    </w:p>
    <w:p>
      <w:pPr>
        <w:pStyle w:val="Normal"/>
        <w:spacing w:lineRule="auto" w:line="240" w:before="0" w:after="0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</w:r>
    </w:p>
    <w:p>
      <w:pPr>
        <w:pStyle w:val="Normal"/>
        <w:spacing w:lineRule="auto" w:line="240" w:before="0" w:after="0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</w:r>
    </w:p>
    <w:p>
      <w:pPr>
        <w:pStyle w:val="Normal"/>
        <w:numPr>
          <w:ilvl w:val="0"/>
          <w:numId w:val="5"/>
        </w:numPr>
        <w:spacing w:lineRule="auto" w:line="240" w:before="0" w:after="120"/>
        <w:ind w:left="357" w:hanging="357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  <w:t>Informácia o rozdelení účtovného zisku alebo vysporiadaní účtovnej straty vykázanej v minulých účtovných obdobiach.</w:t>
      </w:r>
    </w:p>
    <w:tbl>
      <w:tblPr>
        <w:tblW w:w="5000" w:type="pct"/>
        <w:jc w:val="left"/>
        <w:tblInd w:w="-16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48" w:type="dxa"/>
          <w:bottom w:w="0" w:type="dxa"/>
          <w:right w:w="108" w:type="dxa"/>
        </w:tblCellMar>
        <w:tblLook w:val="00a0"/>
      </w:tblPr>
      <w:tblGrid>
        <w:gridCol w:w="5653"/>
        <w:gridCol w:w="4324"/>
      </w:tblGrid>
      <w:tr>
        <w:trPr>
          <w:trHeight w:val="284" w:hRule="atLeast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TopHeader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Názov položky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TopHeader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Bezprostredne predchádzajúce účtovné obdobie</w:t>
            </w:r>
          </w:p>
        </w:tc>
      </w:tr>
      <w:tr>
        <w:trPr>
          <w:trHeight w:val="284" w:hRule="atLeast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Účtovný zisk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b/>
                <w:bCs/>
                <w:color w:val="00000A"/>
                <w:sz w:val="16"/>
                <w:szCs w:val="16"/>
              </w:rPr>
              <w:t>5284,00</w:t>
            </w:r>
          </w:p>
        </w:tc>
      </w:tr>
      <w:tr>
        <w:trPr>
          <w:trHeight w:val="284" w:hRule="atLeast"/>
        </w:trPr>
        <w:tc>
          <w:tcPr>
            <w:tcW w:w="9977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Rozdelenie účtovného zisku</w:t>
            </w:r>
          </w:p>
        </w:tc>
      </w:tr>
      <w:tr>
        <w:trPr>
          <w:trHeight w:val="284" w:hRule="atLeast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Prídel do základného imania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Prídel do fondu tvoreného podľa osobitného predpisu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Prídel do fondu reprodukcie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Prídel do rezervného fondu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Prídel do fondu tvoreného zo zisku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Prídel do ostatných fondov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Úhrada straty minulých období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Prevod  do nevysporiadaného výsledku hospodárenia minulých rokov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A"/>
                <w:sz w:val="16"/>
                <w:szCs w:val="16"/>
              </w:rPr>
              <w:t>5284,00</w:t>
            </w:r>
          </w:p>
        </w:tc>
      </w:tr>
      <w:tr>
        <w:trPr>
          <w:trHeight w:val="284" w:hRule="atLeast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 xml:space="preserve">Iné 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Účtovná strata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9977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A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Vysporiadanie účtovnej straty</w:t>
            </w:r>
          </w:p>
        </w:tc>
      </w:tr>
      <w:tr>
        <w:trPr>
          <w:trHeight w:val="284" w:hRule="atLeast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Zo základného imania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Z rezervného fondu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Z fondu tvoreného zo zisku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Z ostatných fondov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Z nerozdeleného zisku minulých rokov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Prevod do nevysporiadaného výsledku hospodárenia minulých rokov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A"/>
              </w:rPr>
            </w:pPr>
            <w:r>
              <w:rPr>
                <w:color w:val="00000A"/>
                <w:sz w:val="16"/>
                <w:szCs w:val="16"/>
              </w:rPr>
              <w:t xml:space="preserve">Iné 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</w:tr>
    </w:tbl>
    <w:p>
      <w:pPr>
        <w:pStyle w:val="Normal"/>
        <w:spacing w:lineRule="auto" w:line="240"/>
        <w:ind w:left="360" w:hanging="0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</w:r>
    </w:p>
    <w:p>
      <w:pPr>
        <w:pStyle w:val="Normal"/>
        <w:numPr>
          <w:ilvl w:val="0"/>
          <w:numId w:val="5"/>
        </w:numPr>
        <w:spacing w:lineRule="auto" w:line="240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  <w:t>Opis a výška cudzích zdrojov, a to</w:t>
      </w:r>
    </w:p>
    <w:p>
      <w:pPr>
        <w:pStyle w:val="Normal"/>
        <w:numPr>
          <w:ilvl w:val="0"/>
          <w:numId w:val="10"/>
        </w:numPr>
        <w:spacing w:lineRule="auto" w:line="240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  <w:t>údaje o jednotlivých druhoch rezerv, ktoré tvorí účtovná jednotka; uvádza sa stav rezerv na začiatku bežného účtovného obdobia, ich tvorba, zníženie, použitie alebo zrušenie počas bežného účtovného obdobia a zostatok rezervy na konci bežného účtovného obdobia, pričom sa uvedie predpokladaný rok použitia rezervy</w:t>
      </w:r>
    </w:p>
    <w:tbl>
      <w:tblPr>
        <w:tblW w:w="5000" w:type="pct"/>
        <w:jc w:val="left"/>
        <w:tblInd w:w="-5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48" w:type="dxa"/>
          <w:bottom w:w="0" w:type="dxa"/>
          <w:right w:w="108" w:type="dxa"/>
        </w:tblCellMar>
        <w:tblLook w:val="00a0"/>
      </w:tblPr>
      <w:tblGrid>
        <w:gridCol w:w="2928"/>
        <w:gridCol w:w="1412"/>
        <w:gridCol w:w="1411"/>
        <w:gridCol w:w="1411"/>
        <w:gridCol w:w="1410"/>
        <w:gridCol w:w="1405"/>
      </w:tblGrid>
      <w:tr>
        <w:trPr>
          <w:trHeight w:val="284" w:hRule="atLeast"/>
        </w:trPr>
        <w:tc>
          <w:tcPr>
            <w:tcW w:w="29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Druh rezervy</w:t>
            </w:r>
          </w:p>
        </w:tc>
        <w:tc>
          <w:tcPr>
            <w:tcW w:w="14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Tvorba rezerv</w:t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Použitie rezerv</w:t>
            </w:r>
          </w:p>
        </w:tc>
        <w:tc>
          <w:tcPr>
            <w:tcW w:w="14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Zrušenie alebo zníženie rezerv</w:t>
            </w:r>
          </w:p>
        </w:tc>
        <w:tc>
          <w:tcPr>
            <w:tcW w:w="14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>
        <w:trPr>
          <w:trHeight w:val="284" w:hRule="atLeast"/>
        </w:trPr>
        <w:tc>
          <w:tcPr>
            <w:tcW w:w="29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4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4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4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29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4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4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4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29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Zákonné rezervy spolu</w:t>
            </w:r>
          </w:p>
        </w:tc>
        <w:tc>
          <w:tcPr>
            <w:tcW w:w="14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color w:val="00000A"/>
                <w:sz w:val="16"/>
                <w:szCs w:val="16"/>
              </w:rPr>
              <w:t>0</w:t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color w:val="00000A"/>
                <w:sz w:val="16"/>
                <w:szCs w:val="16"/>
              </w:rPr>
              <w:t>0</w:t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color w:val="00000A"/>
                <w:sz w:val="16"/>
                <w:szCs w:val="16"/>
              </w:rPr>
              <w:t>0</w:t>
            </w:r>
          </w:p>
        </w:tc>
        <w:tc>
          <w:tcPr>
            <w:tcW w:w="14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</w:r>
          </w:p>
        </w:tc>
        <w:tc>
          <w:tcPr>
            <w:tcW w:w="14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color w:val="00000A"/>
                <w:sz w:val="16"/>
                <w:szCs w:val="16"/>
              </w:rPr>
              <w:t>0</w:t>
            </w:r>
          </w:p>
        </w:tc>
      </w:tr>
      <w:tr>
        <w:trPr>
          <w:trHeight w:val="284" w:hRule="atLeast"/>
        </w:trPr>
        <w:tc>
          <w:tcPr>
            <w:tcW w:w="29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Rezerva na dovolenku</w:t>
            </w:r>
          </w:p>
        </w:tc>
        <w:tc>
          <w:tcPr>
            <w:tcW w:w="14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A"/>
                <w:sz w:val="16"/>
                <w:szCs w:val="16"/>
              </w:rPr>
              <w:t>0</w:t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A"/>
                <w:sz w:val="16"/>
                <w:szCs w:val="16"/>
              </w:rPr>
              <w:t>0</w:t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A"/>
                <w:sz w:val="16"/>
                <w:szCs w:val="16"/>
              </w:rPr>
              <w:t>0</w:t>
            </w:r>
          </w:p>
        </w:tc>
        <w:tc>
          <w:tcPr>
            <w:tcW w:w="14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4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A"/>
                <w:sz w:val="16"/>
                <w:szCs w:val="16"/>
              </w:rPr>
              <w:t>0</w:t>
            </w:r>
          </w:p>
        </w:tc>
      </w:tr>
      <w:tr>
        <w:trPr>
          <w:trHeight w:val="284" w:hRule="atLeast"/>
        </w:trPr>
        <w:tc>
          <w:tcPr>
            <w:tcW w:w="29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Rezerva na audit</w:t>
            </w:r>
          </w:p>
        </w:tc>
        <w:tc>
          <w:tcPr>
            <w:tcW w:w="14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A"/>
                <w:sz w:val="16"/>
                <w:szCs w:val="16"/>
              </w:rPr>
              <w:t>600</w:t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A"/>
                <w:sz w:val="16"/>
                <w:szCs w:val="16"/>
              </w:rPr>
              <w:t>0</w:t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A"/>
                <w:sz w:val="16"/>
                <w:szCs w:val="16"/>
              </w:rPr>
              <w:t>600</w:t>
            </w:r>
          </w:p>
        </w:tc>
        <w:tc>
          <w:tcPr>
            <w:tcW w:w="14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4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A"/>
                <w:sz w:val="16"/>
                <w:szCs w:val="16"/>
              </w:rPr>
              <w:t>0</w:t>
            </w:r>
          </w:p>
        </w:tc>
      </w:tr>
      <w:tr>
        <w:trPr>
          <w:trHeight w:val="284" w:hRule="atLeast"/>
        </w:trPr>
        <w:tc>
          <w:tcPr>
            <w:tcW w:w="29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Ostatné rezervy spolu</w:t>
            </w:r>
          </w:p>
        </w:tc>
        <w:tc>
          <w:tcPr>
            <w:tcW w:w="14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color w:val="00000A"/>
                <w:sz w:val="16"/>
                <w:szCs w:val="16"/>
              </w:rPr>
              <w:t>600</w:t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color w:val="00000A"/>
                <w:sz w:val="16"/>
                <w:szCs w:val="16"/>
              </w:rPr>
              <w:t>0</w:t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color w:val="00000A"/>
                <w:sz w:val="16"/>
                <w:szCs w:val="16"/>
              </w:rPr>
              <w:t>600</w:t>
            </w:r>
          </w:p>
        </w:tc>
        <w:tc>
          <w:tcPr>
            <w:tcW w:w="14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color w:val="00000A"/>
                <w:sz w:val="16"/>
                <w:szCs w:val="16"/>
              </w:rPr>
            </w:pPr>
            <w:r>
              <w:rPr>
                <w:b/>
                <w:color w:val="00000A"/>
                <w:sz w:val="16"/>
                <w:szCs w:val="16"/>
              </w:rPr>
            </w:r>
          </w:p>
        </w:tc>
        <w:tc>
          <w:tcPr>
            <w:tcW w:w="14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color w:val="00000A"/>
                <w:sz w:val="16"/>
                <w:szCs w:val="16"/>
              </w:rPr>
              <w:t>0</w:t>
            </w:r>
          </w:p>
        </w:tc>
      </w:tr>
      <w:tr>
        <w:trPr>
          <w:trHeight w:val="284" w:hRule="atLeast"/>
        </w:trPr>
        <w:tc>
          <w:tcPr>
            <w:tcW w:w="29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Rezervy spolu</w:t>
            </w:r>
          </w:p>
        </w:tc>
        <w:tc>
          <w:tcPr>
            <w:tcW w:w="14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color w:val="00000A"/>
                <w:sz w:val="16"/>
                <w:szCs w:val="16"/>
              </w:rPr>
              <w:t>600</w:t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color w:val="00000A"/>
                <w:sz w:val="16"/>
                <w:szCs w:val="16"/>
              </w:rPr>
              <w:t>0</w:t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color w:val="00000A"/>
                <w:sz w:val="16"/>
                <w:szCs w:val="16"/>
              </w:rPr>
              <w:t>600</w:t>
            </w:r>
          </w:p>
        </w:tc>
        <w:tc>
          <w:tcPr>
            <w:tcW w:w="14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4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color w:val="00000A"/>
                <w:sz w:val="16"/>
                <w:szCs w:val="16"/>
              </w:rPr>
              <w:t>0</w:t>
            </w:r>
          </w:p>
        </w:tc>
      </w:tr>
    </w:tbl>
    <w:p>
      <w:pPr>
        <w:pStyle w:val="Normal"/>
        <w:numPr>
          <w:ilvl w:val="0"/>
          <w:numId w:val="10"/>
        </w:numPr>
        <w:spacing w:lineRule="auto" w:line="240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  <w:t>údaje o významných položkách na účtoch 325 - Ostatné záväzky a 379 – Iné záväzky; uvádza sa začiatočný stav, prírastky, úbytky a konečný zostatok podľa jednotlivých druhov záväzkov,</w:t>
      </w:r>
    </w:p>
    <w:tbl>
      <w:tblPr>
        <w:tblW w:w="10382" w:type="dxa"/>
        <w:jc w:val="left"/>
        <w:tblInd w:w="-5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48" w:type="dxa"/>
          <w:bottom w:w="0" w:type="dxa"/>
          <w:right w:w="108" w:type="dxa"/>
        </w:tblCellMar>
        <w:tblLook w:val="00a0"/>
      </w:tblPr>
      <w:tblGrid>
        <w:gridCol w:w="4173"/>
        <w:gridCol w:w="1550"/>
        <w:gridCol w:w="1550"/>
        <w:gridCol w:w="1550"/>
        <w:gridCol w:w="1559"/>
      </w:tblGrid>
      <w:tr>
        <w:trPr>
          <w:trHeight w:val="284" w:hRule="atLeast"/>
        </w:trPr>
        <w:tc>
          <w:tcPr>
            <w:tcW w:w="41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 xml:space="preserve">Významné položky ostatných a iných záväzkov 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  <w:t>Začiatočný stav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  <w:t>Konečný zostatok</w:t>
            </w:r>
          </w:p>
        </w:tc>
      </w:tr>
      <w:tr>
        <w:trPr>
          <w:trHeight w:val="284" w:hRule="atLeast"/>
        </w:trPr>
        <w:tc>
          <w:tcPr>
            <w:tcW w:w="41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325 - Ostatné záväzky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</w:rPr>
            </w:pPr>
            <w:r>
              <w:rPr>
                <w:color w:val="00000A"/>
                <w:sz w:val="16"/>
                <w:szCs w:val="16"/>
              </w:rPr>
              <w:t>0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0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</w:rPr>
            </w:pPr>
            <w:r>
              <w:rPr>
                <w:color w:val="00000A"/>
                <w:sz w:val="16"/>
                <w:szCs w:val="16"/>
              </w:rPr>
              <w:t>0</w:t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</w:rPr>
            </w:pPr>
            <w:r>
              <w:rPr>
                <w:color w:val="00000A"/>
                <w:sz w:val="16"/>
                <w:szCs w:val="16"/>
              </w:rPr>
              <w:t>0</w:t>
            </w:r>
          </w:p>
        </w:tc>
      </w:tr>
      <w:tr>
        <w:trPr>
          <w:trHeight w:val="284" w:hRule="atLeast"/>
        </w:trPr>
        <w:tc>
          <w:tcPr>
            <w:tcW w:w="41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379 - Iné záväzky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0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0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0</w:t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0</w:t>
            </w:r>
          </w:p>
        </w:tc>
      </w:tr>
    </w:tbl>
    <w:p>
      <w:pPr>
        <w:pStyle w:val="Normal"/>
        <w:numPr>
          <w:ilvl w:val="0"/>
          <w:numId w:val="10"/>
        </w:numPr>
        <w:spacing w:lineRule="auto" w:line="240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  <w:t>prehľad  o výške záväzkov do lehoty splatnosti a po lehote splatnosti,</w:t>
      </w:r>
    </w:p>
    <w:tbl>
      <w:tblPr>
        <w:tblW w:w="5000" w:type="pct"/>
        <w:jc w:val="left"/>
        <w:tblInd w:w="-5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48" w:type="dxa"/>
          <w:bottom w:w="0" w:type="dxa"/>
          <w:right w:w="108" w:type="dxa"/>
        </w:tblCellMar>
        <w:tblLook w:val="00a0"/>
      </w:tblPr>
      <w:tblGrid>
        <w:gridCol w:w="3992"/>
        <w:gridCol w:w="2991"/>
        <w:gridCol w:w="2995"/>
      </w:tblGrid>
      <w:tr>
        <w:trPr>
          <w:trHeight w:val="284" w:hRule="atLeast"/>
        </w:trPr>
        <w:tc>
          <w:tcPr>
            <w:tcW w:w="3992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</w:tcPr>
          <w:p>
            <w:pPr>
              <w:pStyle w:val="Normal"/>
              <w:spacing w:lineRule="auto" w:line="240" w:before="0" w:after="0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5986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  <w:t>Stav na konci</w:t>
            </w:r>
          </w:p>
        </w:tc>
      </w:tr>
      <w:tr>
        <w:trPr>
          <w:trHeight w:val="284" w:hRule="atLeast"/>
        </w:trPr>
        <w:tc>
          <w:tcPr>
            <w:tcW w:w="3992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</w:tcPr>
          <w:p>
            <w:pPr>
              <w:pStyle w:val="Normal"/>
              <w:spacing w:lineRule="auto" w:line="240" w:before="0" w:after="0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29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>
        <w:trPr>
          <w:trHeight w:val="284" w:hRule="atLeast"/>
        </w:trPr>
        <w:tc>
          <w:tcPr>
            <w:tcW w:w="3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Záväzky do lehoty splatnosti</w:t>
            </w:r>
          </w:p>
        </w:tc>
        <w:tc>
          <w:tcPr>
            <w:tcW w:w="29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A"/>
                <w:sz w:val="16"/>
                <w:szCs w:val="16"/>
              </w:rPr>
              <w:t>607,22</w:t>
            </w:r>
          </w:p>
        </w:tc>
        <w:tc>
          <w:tcPr>
            <w:tcW w:w="29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A"/>
                <w:sz w:val="16"/>
                <w:szCs w:val="16"/>
              </w:rPr>
              <w:t>600</w:t>
            </w:r>
          </w:p>
        </w:tc>
      </w:tr>
      <w:tr>
        <w:trPr>
          <w:trHeight w:val="284" w:hRule="atLeast"/>
        </w:trPr>
        <w:tc>
          <w:tcPr>
            <w:tcW w:w="3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Záväzky po lehote splatnosti</w:t>
            </w:r>
          </w:p>
        </w:tc>
        <w:tc>
          <w:tcPr>
            <w:tcW w:w="29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29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3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Záväzky spolu</w:t>
            </w:r>
          </w:p>
        </w:tc>
        <w:tc>
          <w:tcPr>
            <w:tcW w:w="29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color w:val="00000A"/>
                <w:sz w:val="16"/>
                <w:szCs w:val="16"/>
              </w:rPr>
              <w:t>607,22</w:t>
            </w:r>
          </w:p>
        </w:tc>
        <w:tc>
          <w:tcPr>
            <w:tcW w:w="29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color w:val="00000A"/>
                <w:sz w:val="16"/>
                <w:szCs w:val="16"/>
              </w:rPr>
              <w:t>600</w:t>
            </w:r>
          </w:p>
        </w:tc>
      </w:tr>
    </w:tbl>
    <w:p>
      <w:pPr>
        <w:pStyle w:val="Normal"/>
        <w:spacing w:lineRule="auto" w:line="240" w:before="0" w:after="0"/>
        <w:ind w:left="363" w:hanging="0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</w:r>
    </w:p>
    <w:p>
      <w:pPr>
        <w:pStyle w:val="Normal"/>
        <w:numPr>
          <w:ilvl w:val="0"/>
          <w:numId w:val="10"/>
        </w:numPr>
        <w:spacing w:lineRule="auto" w:line="240" w:before="0" w:after="0"/>
        <w:ind w:left="720" w:hanging="357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  <w:t xml:space="preserve">prehľad o výške záväzkov podľa zostatkovej doby splatnosti v členení podľa položiek súvahy </w:t>
      </w:r>
    </w:p>
    <w:p>
      <w:pPr>
        <w:pStyle w:val="Normal"/>
        <w:numPr>
          <w:ilvl w:val="2"/>
          <w:numId w:val="4"/>
        </w:numPr>
        <w:spacing w:lineRule="auto" w:line="240" w:before="0" w:after="0"/>
        <w:ind w:left="1080" w:hanging="357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  <w:t>do jedného roka vrátane,</w:t>
      </w:r>
    </w:p>
    <w:p>
      <w:pPr>
        <w:pStyle w:val="Normal"/>
        <w:numPr>
          <w:ilvl w:val="2"/>
          <w:numId w:val="4"/>
        </w:numPr>
        <w:spacing w:lineRule="auto" w:line="240" w:before="0" w:after="0"/>
        <w:ind w:left="1080" w:hanging="357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  <w:t>od jedného roka do piatich rokov vrátane,</w:t>
      </w:r>
    </w:p>
    <w:p>
      <w:pPr>
        <w:pStyle w:val="Normal"/>
        <w:numPr>
          <w:ilvl w:val="2"/>
          <w:numId w:val="4"/>
        </w:numPr>
        <w:spacing w:lineRule="auto" w:line="240" w:before="0" w:after="0"/>
        <w:ind w:left="1077" w:hanging="357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  <w:t>viac ako päť rokov</w:t>
      </w:r>
    </w:p>
    <w:p>
      <w:pPr>
        <w:pStyle w:val="Normal"/>
        <w:spacing w:lineRule="auto" w:line="240" w:before="0" w:after="0"/>
        <w:ind w:left="720" w:hanging="0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</w:r>
    </w:p>
    <w:p>
      <w:pPr>
        <w:pStyle w:val="Normal"/>
        <w:spacing w:lineRule="auto" w:line="240" w:before="0" w:after="0"/>
        <w:ind w:left="720" w:hanging="0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</w:r>
    </w:p>
    <w:tbl>
      <w:tblPr>
        <w:tblW w:w="10025" w:type="dxa"/>
        <w:jc w:val="left"/>
        <w:tblInd w:w="-5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48" w:type="dxa"/>
          <w:bottom w:w="0" w:type="dxa"/>
          <w:right w:w="108" w:type="dxa"/>
        </w:tblCellMar>
        <w:tblLook w:val="00a0"/>
      </w:tblPr>
      <w:tblGrid>
        <w:gridCol w:w="4984"/>
        <w:gridCol w:w="2497"/>
        <w:gridCol w:w="2544"/>
      </w:tblGrid>
      <w:tr>
        <w:trPr>
          <w:trHeight w:val="284" w:hRule="atLeast"/>
        </w:trPr>
        <w:tc>
          <w:tcPr>
            <w:tcW w:w="4984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Druh záväzkov</w:t>
            </w:r>
          </w:p>
        </w:tc>
        <w:tc>
          <w:tcPr>
            <w:tcW w:w="504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  <w:t>Stav na konci</w:t>
            </w:r>
          </w:p>
        </w:tc>
      </w:tr>
      <w:tr>
        <w:trPr>
          <w:trHeight w:val="284" w:hRule="atLeast"/>
        </w:trPr>
        <w:tc>
          <w:tcPr>
            <w:tcW w:w="4984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</w:r>
          </w:p>
        </w:tc>
        <w:tc>
          <w:tcPr>
            <w:tcW w:w="24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5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>
        <w:trPr>
          <w:trHeight w:val="284" w:hRule="atLeast"/>
        </w:trPr>
        <w:tc>
          <w:tcPr>
            <w:tcW w:w="49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Záväzky po lehote splatnosti</w:t>
            </w:r>
          </w:p>
        </w:tc>
        <w:tc>
          <w:tcPr>
            <w:tcW w:w="24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25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</w:tr>
      <w:tr>
        <w:trPr>
          <w:trHeight w:val="284" w:hRule="atLeast"/>
        </w:trPr>
        <w:tc>
          <w:tcPr>
            <w:tcW w:w="49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4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A"/>
                <w:sz w:val="16"/>
                <w:szCs w:val="16"/>
              </w:rPr>
              <w:t>0</w:t>
            </w:r>
          </w:p>
        </w:tc>
        <w:tc>
          <w:tcPr>
            <w:tcW w:w="25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A"/>
                <w:sz w:val="16"/>
                <w:szCs w:val="16"/>
              </w:rPr>
              <w:t>600</w:t>
            </w:r>
          </w:p>
        </w:tc>
      </w:tr>
      <w:tr>
        <w:trPr>
          <w:trHeight w:val="284" w:hRule="atLeast"/>
        </w:trPr>
        <w:tc>
          <w:tcPr>
            <w:tcW w:w="49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Krátkodobé záväzky spolu</w:t>
            </w:r>
          </w:p>
        </w:tc>
        <w:tc>
          <w:tcPr>
            <w:tcW w:w="24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color w:val="00000A"/>
                <w:sz w:val="16"/>
                <w:szCs w:val="16"/>
              </w:rPr>
              <w:t>0</w:t>
            </w:r>
          </w:p>
        </w:tc>
        <w:tc>
          <w:tcPr>
            <w:tcW w:w="25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color w:val="00000A"/>
                <w:sz w:val="16"/>
                <w:szCs w:val="16"/>
              </w:rPr>
              <w:t>600</w:t>
            </w:r>
          </w:p>
        </w:tc>
      </w:tr>
      <w:tr>
        <w:trPr>
          <w:trHeight w:val="284" w:hRule="atLeast"/>
        </w:trPr>
        <w:tc>
          <w:tcPr>
            <w:tcW w:w="49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4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25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49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4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A"/>
                <w:sz w:val="16"/>
                <w:szCs w:val="16"/>
              </w:rPr>
              <w:t xml:space="preserve">                                         </w:t>
            </w:r>
          </w:p>
        </w:tc>
        <w:tc>
          <w:tcPr>
            <w:tcW w:w="25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A"/>
                <w:sz w:val="16"/>
                <w:szCs w:val="16"/>
              </w:rPr>
              <w:t xml:space="preserve">                                           </w:t>
            </w:r>
          </w:p>
        </w:tc>
      </w:tr>
      <w:tr>
        <w:trPr>
          <w:trHeight w:val="284" w:hRule="atLeast"/>
        </w:trPr>
        <w:tc>
          <w:tcPr>
            <w:tcW w:w="49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Dlhodobé záväzky spolu</w:t>
            </w:r>
          </w:p>
        </w:tc>
        <w:tc>
          <w:tcPr>
            <w:tcW w:w="24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</w:r>
          </w:p>
        </w:tc>
        <w:tc>
          <w:tcPr>
            <w:tcW w:w="25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49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Krátkodobé a dlhodobé záväzky spolu</w:t>
            </w:r>
          </w:p>
        </w:tc>
        <w:tc>
          <w:tcPr>
            <w:tcW w:w="24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color w:val="00000A"/>
                <w:sz w:val="16"/>
                <w:szCs w:val="16"/>
              </w:rPr>
              <w:t>0</w:t>
            </w:r>
          </w:p>
        </w:tc>
        <w:tc>
          <w:tcPr>
            <w:tcW w:w="25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color w:val="00000A"/>
                <w:sz w:val="16"/>
                <w:szCs w:val="16"/>
              </w:rPr>
              <w:t>600</w:t>
            </w:r>
          </w:p>
        </w:tc>
      </w:tr>
    </w:tbl>
    <w:p>
      <w:pPr>
        <w:pStyle w:val="Normal"/>
        <w:spacing w:lineRule="auto" w:line="240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</w:r>
    </w:p>
    <w:p>
      <w:pPr>
        <w:pStyle w:val="Normal"/>
        <w:spacing w:lineRule="auto" w:line="240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</w:r>
    </w:p>
    <w:p>
      <w:pPr>
        <w:pStyle w:val="Normal"/>
        <w:spacing w:lineRule="auto" w:line="240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</w:r>
    </w:p>
    <w:p>
      <w:pPr>
        <w:pStyle w:val="Normal"/>
        <w:numPr>
          <w:ilvl w:val="0"/>
          <w:numId w:val="10"/>
        </w:numPr>
        <w:spacing w:lineRule="auto" w:line="240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  <w:t>prehľad o záväzkoch zo sociálneho fondu; uvádza sa začiatočný stav, tvorba a čerpanie sociálneho fondu počas účtovného obdobia a zostatok na konci účtovného obdobia,</w:t>
      </w:r>
    </w:p>
    <w:tbl>
      <w:tblPr>
        <w:tblW w:w="5000" w:type="pct"/>
        <w:jc w:val="left"/>
        <w:tblInd w:w="-5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48" w:type="dxa"/>
          <w:bottom w:w="0" w:type="dxa"/>
          <w:right w:w="108" w:type="dxa"/>
        </w:tblCellMar>
        <w:tblLook w:val="00a0"/>
      </w:tblPr>
      <w:tblGrid>
        <w:gridCol w:w="3718"/>
        <w:gridCol w:w="3147"/>
        <w:gridCol w:w="3113"/>
      </w:tblGrid>
      <w:tr>
        <w:trPr>
          <w:trHeight w:val="284" w:hRule="atLeast"/>
        </w:trPr>
        <w:tc>
          <w:tcPr>
            <w:tcW w:w="37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Sociálny fond</w:t>
            </w:r>
          </w:p>
        </w:tc>
        <w:tc>
          <w:tcPr>
            <w:tcW w:w="31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31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>
        <w:trPr>
          <w:trHeight w:val="284" w:hRule="atLeast"/>
        </w:trPr>
        <w:tc>
          <w:tcPr>
            <w:tcW w:w="37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Stav k prvému dňu účtovného obdobia</w:t>
            </w:r>
          </w:p>
        </w:tc>
        <w:tc>
          <w:tcPr>
            <w:tcW w:w="31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</w:r>
          </w:p>
        </w:tc>
        <w:tc>
          <w:tcPr>
            <w:tcW w:w="31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color w:val="00000A"/>
                <w:sz w:val="16"/>
                <w:szCs w:val="16"/>
              </w:rPr>
              <w:t>652</w:t>
            </w:r>
          </w:p>
        </w:tc>
      </w:tr>
      <w:tr>
        <w:trPr>
          <w:trHeight w:val="284" w:hRule="atLeast"/>
        </w:trPr>
        <w:tc>
          <w:tcPr>
            <w:tcW w:w="37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Tvorba na ťarchu nákladov</w:t>
            </w:r>
          </w:p>
        </w:tc>
        <w:tc>
          <w:tcPr>
            <w:tcW w:w="31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31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A"/>
                <w:sz w:val="16"/>
                <w:szCs w:val="16"/>
              </w:rPr>
              <w:t>181</w:t>
            </w:r>
          </w:p>
        </w:tc>
      </w:tr>
      <w:tr>
        <w:trPr>
          <w:trHeight w:val="284" w:hRule="atLeast"/>
        </w:trPr>
        <w:tc>
          <w:tcPr>
            <w:tcW w:w="37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Tvorba zo zisku</w:t>
            </w:r>
          </w:p>
        </w:tc>
        <w:tc>
          <w:tcPr>
            <w:tcW w:w="31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31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37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Čerpanie</w:t>
            </w:r>
          </w:p>
        </w:tc>
        <w:tc>
          <w:tcPr>
            <w:tcW w:w="31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31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833</w:t>
            </w:r>
          </w:p>
        </w:tc>
      </w:tr>
      <w:tr>
        <w:trPr>
          <w:trHeight w:val="284" w:hRule="atLeast"/>
        </w:trPr>
        <w:tc>
          <w:tcPr>
            <w:tcW w:w="37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Stav k poslednému dňu účtovného obdobia</w:t>
            </w:r>
          </w:p>
        </w:tc>
        <w:tc>
          <w:tcPr>
            <w:tcW w:w="31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color w:val="00000A"/>
                <w:sz w:val="16"/>
                <w:szCs w:val="16"/>
              </w:rPr>
              <w:t>0</w:t>
            </w:r>
          </w:p>
        </w:tc>
        <w:tc>
          <w:tcPr>
            <w:tcW w:w="31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color w:val="00000A"/>
                <w:sz w:val="16"/>
                <w:szCs w:val="16"/>
              </w:rPr>
              <w:t>0</w:t>
            </w:r>
          </w:p>
        </w:tc>
      </w:tr>
    </w:tbl>
    <w:p>
      <w:pPr>
        <w:pStyle w:val="Normal"/>
        <w:spacing w:lineRule="auto" w:line="240"/>
        <w:ind w:left="720" w:hanging="0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</w:r>
    </w:p>
    <w:p>
      <w:pPr>
        <w:pStyle w:val="Normal"/>
        <w:spacing w:lineRule="auto" w:line="240"/>
        <w:ind w:left="720" w:hanging="0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</w:r>
    </w:p>
    <w:p>
      <w:pPr>
        <w:pStyle w:val="Normal"/>
        <w:numPr>
          <w:ilvl w:val="0"/>
          <w:numId w:val="10"/>
        </w:numPr>
        <w:spacing w:lineRule="auto" w:line="240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  <w:t>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tbl>
      <w:tblPr>
        <w:tblW w:w="5000" w:type="pct"/>
        <w:jc w:val="left"/>
        <w:tblInd w:w="-5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48" w:type="dxa"/>
          <w:bottom w:w="0" w:type="dxa"/>
          <w:right w:w="108" w:type="dxa"/>
        </w:tblCellMar>
        <w:tblLook w:val="00a0"/>
      </w:tblPr>
      <w:tblGrid>
        <w:gridCol w:w="2793"/>
        <w:gridCol w:w="596"/>
        <w:gridCol w:w="1310"/>
        <w:gridCol w:w="1310"/>
        <w:gridCol w:w="1312"/>
        <w:gridCol w:w="1312"/>
        <w:gridCol w:w="1344"/>
      </w:tblGrid>
      <w:tr>
        <w:trPr>
          <w:trHeight w:val="284" w:hRule="atLeast"/>
        </w:trPr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Druh cudzieho zdroja</w:t>
            </w:r>
          </w:p>
        </w:tc>
        <w:tc>
          <w:tcPr>
            <w:tcW w:w="5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3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Výška úroku v %</w:t>
            </w:r>
          </w:p>
        </w:tc>
        <w:tc>
          <w:tcPr>
            <w:tcW w:w="13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Splatnosť</w:t>
            </w:r>
          </w:p>
        </w:tc>
        <w:tc>
          <w:tcPr>
            <w:tcW w:w="13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Forma zabezpečenia</w:t>
            </w:r>
          </w:p>
        </w:tc>
        <w:tc>
          <w:tcPr>
            <w:tcW w:w="13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13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>
        <w:trPr>
          <w:trHeight w:val="284" w:hRule="atLeast"/>
        </w:trPr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5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3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3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3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3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3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5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3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3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3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3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3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</w:rPr>
            </w:pPr>
            <w:r>
              <w:rPr>
                <w:color w:val="00000A"/>
              </w:rPr>
            </w:r>
          </w:p>
        </w:tc>
      </w:tr>
      <w:tr>
        <w:trPr>
          <w:trHeight w:val="284" w:hRule="atLeast"/>
        </w:trPr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5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3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3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3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3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3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5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3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3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3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3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3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Spolu</w:t>
            </w:r>
          </w:p>
        </w:tc>
        <w:tc>
          <w:tcPr>
            <w:tcW w:w="5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</w:r>
          </w:p>
        </w:tc>
        <w:tc>
          <w:tcPr>
            <w:tcW w:w="13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</w:r>
          </w:p>
        </w:tc>
        <w:tc>
          <w:tcPr>
            <w:tcW w:w="13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</w:r>
          </w:p>
        </w:tc>
        <w:tc>
          <w:tcPr>
            <w:tcW w:w="13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</w:r>
          </w:p>
        </w:tc>
        <w:tc>
          <w:tcPr>
            <w:tcW w:w="13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</w:r>
          </w:p>
        </w:tc>
        <w:tc>
          <w:tcPr>
            <w:tcW w:w="13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</w:rPr>
            </w:pPr>
            <w:r>
              <w:rPr>
                <w:color w:val="00000A"/>
              </w:rPr>
            </w:r>
          </w:p>
        </w:tc>
      </w:tr>
    </w:tbl>
    <w:p>
      <w:pPr>
        <w:pStyle w:val="Normal"/>
        <w:numPr>
          <w:ilvl w:val="0"/>
          <w:numId w:val="10"/>
        </w:numPr>
        <w:spacing w:lineRule="auto" w:line="240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  <w:t>prehľad o významných položkách časového rozlíšenia výdavkov budúcich období.</w:t>
      </w:r>
    </w:p>
    <w:tbl>
      <w:tblPr>
        <w:tblW w:w="5000" w:type="pct"/>
        <w:jc w:val="left"/>
        <w:tblInd w:w="-5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48" w:type="dxa"/>
          <w:bottom w:w="0" w:type="dxa"/>
          <w:right w:w="108" w:type="dxa"/>
        </w:tblCellMar>
        <w:tblLook w:val="00a0"/>
      </w:tblPr>
      <w:tblGrid>
        <w:gridCol w:w="2991"/>
        <w:gridCol w:w="4989"/>
        <w:gridCol w:w="1998"/>
      </w:tblGrid>
      <w:tr>
        <w:trPr>
          <w:trHeight w:val="284" w:hRule="atLeast"/>
        </w:trPr>
        <w:tc>
          <w:tcPr>
            <w:tcW w:w="29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Významné položky časového rozlíšenia výdavkov budúcich období</w:t>
            </w:r>
          </w:p>
        </w:tc>
        <w:tc>
          <w:tcPr>
            <w:tcW w:w="49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 xml:space="preserve">Opis </w:t>
            </w:r>
          </w:p>
        </w:tc>
        <w:tc>
          <w:tcPr>
            <w:tcW w:w="19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Suma</w:t>
            </w:r>
          </w:p>
        </w:tc>
      </w:tr>
      <w:tr>
        <w:trPr>
          <w:trHeight w:val="284" w:hRule="atLeast"/>
        </w:trPr>
        <w:tc>
          <w:tcPr>
            <w:tcW w:w="29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383 - Výdavky budúcich období</w:t>
            </w:r>
          </w:p>
        </w:tc>
        <w:tc>
          <w:tcPr>
            <w:tcW w:w="49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9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29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383 - Výdavky budúcich období</w:t>
            </w:r>
          </w:p>
        </w:tc>
        <w:tc>
          <w:tcPr>
            <w:tcW w:w="49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9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</w:tr>
    </w:tbl>
    <w:p>
      <w:pPr>
        <w:pStyle w:val="Normal"/>
        <w:spacing w:lineRule="auto" w:line="240" w:before="0" w:after="0"/>
        <w:ind w:left="3" w:hanging="0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  <w:t xml:space="preserve"> </w:t>
      </w:r>
    </w:p>
    <w:p>
      <w:pPr>
        <w:pStyle w:val="Normal"/>
        <w:spacing w:lineRule="auto" w:line="240" w:before="0" w:after="0"/>
        <w:ind w:left="6" w:hanging="0"/>
        <w:jc w:val="center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  <w:t>Netýka sa.</w:t>
      </w:r>
    </w:p>
    <w:p>
      <w:pPr>
        <w:pStyle w:val="Normal"/>
        <w:spacing w:lineRule="auto" w:line="240" w:before="0" w:after="0"/>
        <w:ind w:left="3" w:hanging="0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</w:r>
    </w:p>
    <w:p>
      <w:pPr>
        <w:pStyle w:val="Normal"/>
        <w:numPr>
          <w:ilvl w:val="0"/>
          <w:numId w:val="5"/>
        </w:numPr>
        <w:spacing w:lineRule="auto" w:line="240" w:before="0" w:after="0"/>
        <w:ind w:left="360" w:hanging="357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  <w:t>Prehľad o významných položkách výnosov budúcich období v členení najmä na</w:t>
      </w:r>
    </w:p>
    <w:p>
      <w:pPr>
        <w:pStyle w:val="Normal"/>
        <w:numPr>
          <w:ilvl w:val="0"/>
          <w:numId w:val="11"/>
        </w:numPr>
        <w:spacing w:lineRule="auto" w:line="240" w:before="0" w:after="0"/>
        <w:ind w:left="720" w:hanging="357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  <w:t>zostatkovú hodnotu bezodplatne nadobudnutého dlhodobého majetku,</w:t>
      </w:r>
    </w:p>
    <w:p>
      <w:pPr>
        <w:pStyle w:val="Normal"/>
        <w:numPr>
          <w:ilvl w:val="0"/>
          <w:numId w:val="11"/>
        </w:numPr>
        <w:spacing w:lineRule="auto" w:line="240" w:before="0" w:after="0"/>
        <w:ind w:left="720" w:hanging="357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  <w:t>zostatkovú hodnotu dlhodobého majetku obstaraného z dotácie,</w:t>
      </w:r>
    </w:p>
    <w:p>
      <w:pPr>
        <w:pStyle w:val="Normal"/>
        <w:numPr>
          <w:ilvl w:val="0"/>
          <w:numId w:val="11"/>
        </w:numPr>
        <w:spacing w:lineRule="auto" w:line="240" w:before="0" w:after="0"/>
        <w:ind w:left="720" w:hanging="357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  <w:t>zostatok nepoužitej dotácie alebo grantu,</w:t>
      </w:r>
    </w:p>
    <w:p>
      <w:pPr>
        <w:pStyle w:val="Normal"/>
        <w:numPr>
          <w:ilvl w:val="0"/>
          <w:numId w:val="11"/>
        </w:numPr>
        <w:spacing w:lineRule="auto" w:line="240" w:before="0" w:after="0"/>
        <w:ind w:left="720" w:hanging="357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  <w:t>zostatok nepoužitej časti podielu zaplatenej dane,</w:t>
      </w:r>
    </w:p>
    <w:p>
      <w:pPr>
        <w:pStyle w:val="Normal"/>
        <w:numPr>
          <w:ilvl w:val="0"/>
          <w:numId w:val="11"/>
        </w:numPr>
        <w:spacing w:lineRule="auto" w:line="240" w:before="0" w:after="120"/>
        <w:ind w:left="714" w:hanging="357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  <w:t>zostatkovú hodnotu dlhodobého majetku obstaraného z podielu zaplatenej dane.</w:t>
      </w:r>
    </w:p>
    <w:p>
      <w:pPr>
        <w:pStyle w:val="Normal"/>
        <w:spacing w:lineRule="auto" w:line="240" w:before="0" w:after="120"/>
        <w:rPr>
          <w:i/>
          <w:i/>
          <w:iCs/>
          <w:color w:val="00000A"/>
          <w:sz w:val="18"/>
          <w:szCs w:val="18"/>
        </w:rPr>
      </w:pPr>
      <w:r>
        <w:rPr>
          <w:i/>
          <w:iCs/>
          <w:color w:val="00000A"/>
          <w:sz w:val="18"/>
          <w:szCs w:val="18"/>
        </w:rPr>
      </w:r>
    </w:p>
    <w:tbl>
      <w:tblPr>
        <w:tblW w:w="10382" w:type="dxa"/>
        <w:jc w:val="left"/>
        <w:tblInd w:w="-5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48" w:type="dxa"/>
          <w:bottom w:w="0" w:type="dxa"/>
          <w:right w:w="108" w:type="dxa"/>
        </w:tblCellMar>
        <w:tblLook w:val="00a0"/>
      </w:tblPr>
      <w:tblGrid>
        <w:gridCol w:w="4173"/>
        <w:gridCol w:w="1550"/>
        <w:gridCol w:w="1550"/>
        <w:gridCol w:w="1550"/>
        <w:gridCol w:w="1559"/>
      </w:tblGrid>
      <w:tr>
        <w:trPr>
          <w:trHeight w:val="284" w:hRule="atLeast"/>
        </w:trPr>
        <w:tc>
          <w:tcPr>
            <w:tcW w:w="41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>
        <w:trPr>
          <w:trHeight w:val="284" w:hRule="atLeast"/>
        </w:trPr>
        <w:tc>
          <w:tcPr>
            <w:tcW w:w="41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41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A"/>
                <w:sz w:val="16"/>
                <w:szCs w:val="16"/>
              </w:rPr>
              <w:t>0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A"/>
                <w:sz w:val="16"/>
                <w:szCs w:val="16"/>
              </w:rPr>
              <w:t>0</w:t>
            </w:r>
          </w:p>
        </w:tc>
      </w:tr>
      <w:tr>
        <w:trPr>
          <w:trHeight w:val="284" w:hRule="atLeast"/>
        </w:trPr>
        <w:tc>
          <w:tcPr>
            <w:tcW w:w="41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A"/>
                <w:sz w:val="16"/>
                <w:szCs w:val="16"/>
              </w:rPr>
              <w:t>0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A"/>
                <w:sz w:val="16"/>
                <w:szCs w:val="16"/>
              </w:rPr>
              <w:t>0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A"/>
                <w:sz w:val="16"/>
                <w:szCs w:val="16"/>
              </w:rPr>
              <w:t>0</w:t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0</w:t>
            </w:r>
          </w:p>
        </w:tc>
      </w:tr>
      <w:tr>
        <w:trPr>
          <w:trHeight w:val="284" w:hRule="atLeast"/>
        </w:trPr>
        <w:tc>
          <w:tcPr>
            <w:tcW w:w="41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prijaté dary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A"/>
                <w:sz w:val="16"/>
                <w:szCs w:val="16"/>
              </w:rPr>
              <w:t>3955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A"/>
                <w:sz w:val="16"/>
                <w:szCs w:val="16"/>
              </w:rPr>
              <w:t>3955</w:t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A"/>
                <w:sz w:val="16"/>
                <w:szCs w:val="16"/>
              </w:rPr>
              <w:t>0</w:t>
            </w:r>
          </w:p>
        </w:tc>
      </w:tr>
      <w:tr>
        <w:trPr>
          <w:trHeight w:val="284" w:hRule="atLeast"/>
        </w:trPr>
        <w:tc>
          <w:tcPr>
            <w:tcW w:w="41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podielu zaplatenej dane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A"/>
                <w:sz w:val="16"/>
                <w:szCs w:val="16"/>
              </w:rPr>
              <w:t xml:space="preserve"> </w:t>
            </w:r>
            <w:r>
              <w:rPr>
                <w:color w:val="00000A"/>
                <w:sz w:val="16"/>
                <w:szCs w:val="16"/>
              </w:rPr>
              <w:t>0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A"/>
                <w:sz w:val="16"/>
                <w:szCs w:val="16"/>
              </w:rPr>
              <w:t>0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A"/>
                <w:sz w:val="16"/>
                <w:szCs w:val="16"/>
              </w:rPr>
              <w:t>0</w:t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</w:rPr>
            </w:pPr>
            <w:r>
              <w:rPr>
                <w:color w:val="00000A"/>
                <w:sz w:val="16"/>
                <w:szCs w:val="16"/>
              </w:rPr>
              <w:t xml:space="preserve"> </w:t>
            </w:r>
            <w:r>
              <w:rPr>
                <w:color w:val="00000A"/>
                <w:sz w:val="16"/>
                <w:szCs w:val="16"/>
              </w:rPr>
              <w:t>0</w:t>
            </w:r>
          </w:p>
        </w:tc>
      </w:tr>
      <w:tr>
        <w:trPr>
          <w:trHeight w:val="284" w:hRule="atLeast"/>
        </w:trPr>
        <w:tc>
          <w:tcPr>
            <w:tcW w:w="41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</w:tr>
    </w:tbl>
    <w:p>
      <w:pPr>
        <w:pStyle w:val="Normal"/>
        <w:spacing w:lineRule="auto" w:line="240" w:before="0" w:after="0"/>
        <w:rPr>
          <w:color w:val="00000A"/>
          <w:sz w:val="16"/>
          <w:szCs w:val="16"/>
        </w:rPr>
      </w:pPr>
      <w:r>
        <w:rPr>
          <w:color w:val="00000A"/>
          <w:sz w:val="16"/>
          <w:szCs w:val="16"/>
        </w:rPr>
      </w:r>
    </w:p>
    <w:p>
      <w:pPr>
        <w:pStyle w:val="Normal"/>
        <w:spacing w:lineRule="auto" w:line="240" w:before="0" w:after="0"/>
        <w:rPr>
          <w:color w:val="00000A"/>
          <w:sz w:val="16"/>
          <w:szCs w:val="16"/>
        </w:rPr>
      </w:pPr>
      <w:r>
        <w:rPr>
          <w:color w:val="00000A"/>
          <w:sz w:val="16"/>
          <w:szCs w:val="16"/>
        </w:rPr>
      </w:r>
    </w:p>
    <w:p>
      <w:pPr>
        <w:pStyle w:val="Normal"/>
        <w:spacing w:lineRule="auto" w:line="240" w:before="0" w:after="0"/>
        <w:rPr>
          <w:color w:val="00000A"/>
          <w:sz w:val="16"/>
          <w:szCs w:val="16"/>
        </w:rPr>
      </w:pPr>
      <w:r>
        <w:rPr>
          <w:color w:val="00000A"/>
          <w:sz w:val="16"/>
          <w:szCs w:val="16"/>
        </w:rPr>
      </w:r>
    </w:p>
    <w:p>
      <w:pPr>
        <w:pStyle w:val="Normal"/>
        <w:spacing w:lineRule="auto" w:line="240" w:before="0" w:after="0"/>
        <w:rPr>
          <w:color w:val="00000A"/>
          <w:sz w:val="16"/>
          <w:szCs w:val="16"/>
        </w:rPr>
      </w:pPr>
      <w:r>
        <w:rPr>
          <w:color w:val="00000A"/>
          <w:sz w:val="16"/>
          <w:szCs w:val="16"/>
        </w:rPr>
      </w:r>
    </w:p>
    <w:p>
      <w:pPr>
        <w:pStyle w:val="Normal"/>
        <w:spacing w:lineRule="auto" w:line="240" w:before="0" w:after="0"/>
        <w:rPr>
          <w:color w:val="00000A"/>
          <w:sz w:val="16"/>
          <w:szCs w:val="16"/>
        </w:rPr>
      </w:pPr>
      <w:r>
        <w:rPr>
          <w:color w:val="00000A"/>
          <w:sz w:val="16"/>
          <w:szCs w:val="16"/>
        </w:rPr>
      </w:r>
    </w:p>
    <w:p>
      <w:pPr>
        <w:pStyle w:val="Normal"/>
        <w:spacing w:lineRule="auto" w:line="240" w:before="0" w:after="0"/>
        <w:rPr>
          <w:color w:val="00000A"/>
          <w:sz w:val="16"/>
          <w:szCs w:val="16"/>
        </w:rPr>
      </w:pPr>
      <w:r>
        <w:rPr>
          <w:color w:val="00000A"/>
          <w:sz w:val="16"/>
          <w:szCs w:val="16"/>
        </w:rPr>
      </w:r>
    </w:p>
    <w:p>
      <w:pPr>
        <w:pStyle w:val="Normal"/>
        <w:numPr>
          <w:ilvl w:val="0"/>
          <w:numId w:val="5"/>
        </w:numPr>
        <w:spacing w:lineRule="auto" w:line="240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  <w:t>Údaje o majetku prenajatom formou finančného prenájmu, a to</w:t>
      </w:r>
    </w:p>
    <w:p>
      <w:pPr>
        <w:pStyle w:val="Normal"/>
        <w:numPr>
          <w:ilvl w:val="0"/>
          <w:numId w:val="12"/>
        </w:numPr>
        <w:spacing w:lineRule="auto" w:line="240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  <w:t>celková suma dohodnutých platieb ku dňu, ku ktorému sa zostavuje účtovná závierka, v členení na istinu a finančný náklad,</w:t>
      </w:r>
    </w:p>
    <w:tbl>
      <w:tblPr>
        <w:tblW w:w="5000" w:type="pct"/>
        <w:jc w:val="left"/>
        <w:tblInd w:w="-5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48" w:type="dxa"/>
          <w:bottom w:w="0" w:type="dxa"/>
          <w:right w:w="108" w:type="dxa"/>
        </w:tblCellMar>
        <w:tblLook w:val="00a0"/>
      </w:tblPr>
      <w:tblGrid>
        <w:gridCol w:w="4988"/>
        <w:gridCol w:w="4989"/>
      </w:tblGrid>
      <w:tr>
        <w:trPr>
          <w:trHeight w:val="284" w:hRule="atLeast"/>
        </w:trPr>
        <w:tc>
          <w:tcPr>
            <w:tcW w:w="49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Suma istiny</w:t>
            </w:r>
          </w:p>
        </w:tc>
        <w:tc>
          <w:tcPr>
            <w:tcW w:w="49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Finančný náklad</w:t>
            </w:r>
          </w:p>
        </w:tc>
      </w:tr>
      <w:tr>
        <w:trPr>
          <w:trHeight w:val="284" w:hRule="atLeast"/>
        </w:trPr>
        <w:tc>
          <w:tcPr>
            <w:tcW w:w="49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0</w:t>
            </w:r>
          </w:p>
        </w:tc>
        <w:tc>
          <w:tcPr>
            <w:tcW w:w="49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</w:tr>
    </w:tbl>
    <w:p>
      <w:pPr>
        <w:pStyle w:val="Normal"/>
        <w:spacing w:lineRule="auto" w:line="240" w:before="0" w:after="0"/>
        <w:ind w:left="360" w:hanging="0"/>
        <w:jc w:val="center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</w:r>
    </w:p>
    <w:p>
      <w:pPr>
        <w:pStyle w:val="Normal"/>
        <w:spacing w:lineRule="auto" w:line="240" w:before="0" w:after="0"/>
        <w:ind w:left="360" w:hanging="0"/>
        <w:jc w:val="center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  <w:t>Netýka sa.</w:t>
      </w:r>
    </w:p>
    <w:p>
      <w:pPr>
        <w:pStyle w:val="Normal"/>
        <w:spacing w:lineRule="auto" w:line="240" w:before="0" w:after="0"/>
        <w:ind w:left="360" w:hanging="0"/>
        <w:jc w:val="center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</w:r>
    </w:p>
    <w:p>
      <w:pPr>
        <w:pStyle w:val="Normal"/>
        <w:numPr>
          <w:ilvl w:val="0"/>
          <w:numId w:val="12"/>
        </w:numPr>
        <w:spacing w:lineRule="auto" w:line="240" w:before="0" w:after="0"/>
        <w:ind w:left="720" w:hanging="357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  <w:t xml:space="preserve">suma istiny a finančného nákladu podľa doby splatnosti </w:t>
      </w:r>
    </w:p>
    <w:p>
      <w:pPr>
        <w:pStyle w:val="Normal"/>
        <w:numPr>
          <w:ilvl w:val="0"/>
          <w:numId w:val="13"/>
        </w:numPr>
        <w:spacing w:lineRule="auto" w:line="240" w:before="0" w:after="0"/>
        <w:ind w:left="1068" w:hanging="357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  <w:t>do jedného roka vrátane,</w:t>
      </w:r>
    </w:p>
    <w:p>
      <w:pPr>
        <w:pStyle w:val="Normal"/>
        <w:numPr>
          <w:ilvl w:val="0"/>
          <w:numId w:val="13"/>
        </w:numPr>
        <w:spacing w:lineRule="auto" w:line="240" w:before="0" w:after="0"/>
        <w:ind w:left="1068" w:hanging="357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  <w:t>od jedného roka do piatich rokov vrátane,</w:t>
      </w:r>
    </w:p>
    <w:p>
      <w:pPr>
        <w:pStyle w:val="Normal"/>
        <w:numPr>
          <w:ilvl w:val="0"/>
          <w:numId w:val="13"/>
        </w:numPr>
        <w:spacing w:lineRule="auto" w:line="240" w:before="0" w:after="120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  <w:t>viac ako päť rokov.</w:t>
      </w:r>
    </w:p>
    <w:tbl>
      <w:tblPr>
        <w:tblW w:w="10382" w:type="dxa"/>
        <w:jc w:val="left"/>
        <w:tblInd w:w="-5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48" w:type="dxa"/>
          <w:bottom w:w="0" w:type="dxa"/>
          <w:right w:w="108" w:type="dxa"/>
        </w:tblCellMar>
        <w:tblLook w:val="00a0"/>
      </w:tblPr>
      <w:tblGrid>
        <w:gridCol w:w="4173"/>
        <w:gridCol w:w="1550"/>
        <w:gridCol w:w="1550"/>
        <w:gridCol w:w="1550"/>
        <w:gridCol w:w="1559"/>
      </w:tblGrid>
      <w:tr>
        <w:trPr>
          <w:trHeight w:val="284" w:hRule="atLeast"/>
        </w:trPr>
        <w:tc>
          <w:tcPr>
            <w:tcW w:w="41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Záväzok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Istina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Finančný náklad</w:t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>
        <w:trPr>
          <w:trHeight w:val="284" w:hRule="atLeast"/>
        </w:trPr>
        <w:tc>
          <w:tcPr>
            <w:tcW w:w="41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Celková suma dohodnutých platieb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41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do jedného roka vrátane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41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od jedného roka do piatich  rokov vrátane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41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viac ako päť rokov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</w:tr>
    </w:tbl>
    <w:p>
      <w:pPr>
        <w:pStyle w:val="Normal"/>
        <w:keepNext/>
        <w:numPr>
          <w:ilvl w:val="0"/>
          <w:numId w:val="0"/>
        </w:numPr>
        <w:spacing w:lineRule="auto" w:line="240" w:before="0" w:after="0"/>
        <w:jc w:val="center"/>
        <w:outlineLvl w:val="0"/>
        <w:rPr>
          <w:b/>
          <w:b/>
          <w:bCs/>
          <w:color w:val="00000A"/>
        </w:rPr>
      </w:pPr>
      <w:r>
        <w:rPr>
          <w:b/>
          <w:bCs/>
          <w:color w:val="00000A"/>
        </w:rPr>
      </w:r>
    </w:p>
    <w:p>
      <w:pPr>
        <w:pStyle w:val="Normal"/>
        <w:spacing w:lineRule="auto" w:line="240" w:before="0" w:after="0"/>
        <w:ind w:left="360" w:hanging="0"/>
        <w:jc w:val="center"/>
        <w:rPr>
          <w:color w:val="00000A"/>
          <w:sz w:val="16"/>
          <w:szCs w:val="16"/>
        </w:rPr>
      </w:pPr>
      <w:r>
        <w:rPr>
          <w:color w:val="00000A"/>
          <w:sz w:val="16"/>
          <w:szCs w:val="16"/>
        </w:rPr>
        <w:t>Netýka sa.</w:t>
      </w:r>
    </w:p>
    <w:p>
      <w:pPr>
        <w:pStyle w:val="Normal"/>
        <w:keepNext/>
        <w:numPr>
          <w:ilvl w:val="0"/>
          <w:numId w:val="0"/>
        </w:numPr>
        <w:spacing w:lineRule="auto" w:line="240" w:before="0" w:after="0"/>
        <w:jc w:val="center"/>
        <w:outlineLvl w:val="0"/>
        <w:rPr>
          <w:bCs/>
          <w:color w:val="00000A"/>
        </w:rPr>
      </w:pPr>
      <w:r>
        <w:rPr>
          <w:bCs/>
          <w:color w:val="00000A"/>
        </w:rPr>
      </w:r>
    </w:p>
    <w:p>
      <w:pPr>
        <w:pStyle w:val="Normal"/>
        <w:keepNext/>
        <w:numPr>
          <w:ilvl w:val="0"/>
          <w:numId w:val="0"/>
        </w:numPr>
        <w:spacing w:lineRule="auto" w:line="240" w:before="0" w:after="0"/>
        <w:jc w:val="center"/>
        <w:outlineLvl w:val="0"/>
        <w:rPr>
          <w:b/>
          <w:b/>
          <w:bCs/>
          <w:color w:val="00000A"/>
        </w:rPr>
      </w:pPr>
      <w:r>
        <w:rPr>
          <w:b/>
          <w:bCs/>
          <w:color w:val="00000A"/>
        </w:rPr>
      </w:r>
    </w:p>
    <w:p>
      <w:pPr>
        <w:pStyle w:val="Normal"/>
        <w:keepNext/>
        <w:numPr>
          <w:ilvl w:val="0"/>
          <w:numId w:val="0"/>
        </w:numPr>
        <w:spacing w:lineRule="auto" w:line="240" w:before="0" w:after="0"/>
        <w:jc w:val="center"/>
        <w:outlineLvl w:val="0"/>
        <w:rPr>
          <w:b/>
          <w:b/>
          <w:bCs/>
          <w:color w:val="00000A"/>
        </w:rPr>
      </w:pPr>
      <w:r>
        <w:rPr>
          <w:b/>
          <w:bCs/>
          <w:color w:val="00000A"/>
        </w:rPr>
        <w:t>Čl. IV</w:t>
      </w:r>
    </w:p>
    <w:p>
      <w:pPr>
        <w:pStyle w:val="Normal"/>
        <w:keepNext/>
        <w:numPr>
          <w:ilvl w:val="0"/>
          <w:numId w:val="0"/>
        </w:numPr>
        <w:spacing w:lineRule="auto" w:line="240" w:before="0" w:after="120"/>
        <w:jc w:val="center"/>
        <w:outlineLvl w:val="1"/>
        <w:rPr>
          <w:b/>
          <w:b/>
          <w:bCs/>
          <w:color w:val="00000A"/>
        </w:rPr>
      </w:pPr>
      <w:r>
        <w:rPr>
          <w:b/>
          <w:bCs/>
          <w:color w:val="00000A"/>
        </w:rPr>
        <w:t>Informácie, ktoré dopĺňajú a vysvetľujú údaje vo výkaze ziskov a strát</w:t>
      </w:r>
    </w:p>
    <w:p>
      <w:pPr>
        <w:pStyle w:val="Normal"/>
        <w:numPr>
          <w:ilvl w:val="0"/>
          <w:numId w:val="14"/>
        </w:numPr>
        <w:spacing w:lineRule="auto" w:line="240" w:before="0" w:after="120"/>
        <w:ind w:left="360" w:hanging="357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  <w:t>Prehľad tržieb za vlastné výkony a tovar s uvedením ich opisu a vyčíslením hodnoty tržieb podľa jednotlivých hlavných druhov výrobkov,  služieb hlavnej činnosti a podnikateľskej činnosti účtovnej jednotky.</w:t>
      </w:r>
    </w:p>
    <w:tbl>
      <w:tblPr>
        <w:tblW w:w="5000" w:type="pct"/>
        <w:jc w:val="right"/>
        <w:tblInd w:w="0" w:type="dxa"/>
        <w:tblBorders>
          <w:top w:val="single" w:sz="6" w:space="0" w:color="00000A"/>
          <w:left w:val="single" w:sz="6" w:space="0" w:color="00000A"/>
          <w:bottom w:val="single" w:sz="6" w:space="0" w:color="00000A"/>
          <w:right w:val="single" w:sz="6" w:space="0" w:color="00000A"/>
          <w:insideH w:val="single" w:sz="6" w:space="0" w:color="00000A"/>
          <w:insideV w:val="single" w:sz="6" w:space="0" w:color="00000A"/>
        </w:tblBorders>
        <w:tblCellMar>
          <w:top w:w="0" w:type="dxa"/>
          <w:left w:w="-7" w:type="dxa"/>
          <w:bottom w:w="0" w:type="dxa"/>
          <w:right w:w="30" w:type="dxa"/>
        </w:tblCellMar>
        <w:tblLook w:val="0000"/>
      </w:tblPr>
      <w:tblGrid>
        <w:gridCol w:w="4026"/>
        <w:gridCol w:w="2974"/>
        <w:gridCol w:w="2978"/>
      </w:tblGrid>
      <w:tr>
        <w:trPr>
          <w:trHeight w:val="284" w:hRule="atLeast"/>
        </w:trPr>
        <w:tc>
          <w:tcPr>
            <w:tcW w:w="402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auto" w:fill="auto" w:val="clear"/>
            <w:tcMar>
              <w:left w:w="-7" w:type="dxa"/>
            </w:tcMar>
            <w:vAlign w:val="center"/>
          </w:tcPr>
          <w:p>
            <w:pPr>
              <w:pStyle w:val="Nadpis3"/>
              <w:spacing w:before="0" w:after="0"/>
              <w:rPr>
                <w:rFonts w:ascii="Arial Narrow" w:hAnsi="Arial Narrow" w:cs="Arial Narrow"/>
                <w:color w:val="00000A"/>
                <w:sz w:val="16"/>
                <w:szCs w:val="16"/>
              </w:rPr>
            </w:pPr>
            <w:r>
              <w:rPr>
                <w:rFonts w:cs="Arial Narrow" w:ascii="Arial Narrow" w:hAnsi="Arial Narrow"/>
                <w:color w:val="00000A"/>
                <w:sz w:val="16"/>
                <w:szCs w:val="16"/>
              </w:rPr>
              <w:t>Prehľad tržieb za vlastné výkony a tovar</w:t>
            </w:r>
          </w:p>
        </w:tc>
        <w:tc>
          <w:tcPr>
            <w:tcW w:w="297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auto"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Hlavná činnosť</w:t>
            </w:r>
          </w:p>
        </w:tc>
        <w:tc>
          <w:tcPr>
            <w:tcW w:w="297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auto"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Podnikateľská činnosť</w:t>
            </w:r>
          </w:p>
        </w:tc>
      </w:tr>
      <w:tr>
        <w:trPr>
          <w:trHeight w:val="284" w:hRule="atLeast"/>
        </w:trPr>
        <w:tc>
          <w:tcPr>
            <w:tcW w:w="402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auto"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color w:val="00000A"/>
                <w:sz w:val="16"/>
                <w:szCs w:val="16"/>
              </w:rPr>
              <w:t>2800</w:t>
            </w:r>
          </w:p>
        </w:tc>
        <w:tc>
          <w:tcPr>
            <w:tcW w:w="297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auto"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297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auto"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color w:val="00000A"/>
                <w:sz w:val="16"/>
                <w:szCs w:val="16"/>
              </w:rPr>
              <w:t>2800</w:t>
            </w:r>
          </w:p>
        </w:tc>
      </w:tr>
    </w:tbl>
    <w:p>
      <w:pPr>
        <w:pStyle w:val="Normal"/>
        <w:spacing w:lineRule="auto" w:line="240" w:before="0" w:after="0"/>
        <w:ind w:left="6" w:hanging="0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</w:r>
    </w:p>
    <w:p>
      <w:pPr>
        <w:pStyle w:val="Normal"/>
        <w:numPr>
          <w:ilvl w:val="0"/>
          <w:numId w:val="14"/>
        </w:numPr>
        <w:spacing w:lineRule="auto" w:line="240" w:before="0" w:after="120"/>
        <w:ind w:left="360" w:hanging="357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  <w:t xml:space="preserve">Opis a vyčíslenie hodnoty významných položiek prijatých darov, osobitných výnosov, zákonných poplatkov a iných ostatných výnosov. </w:t>
      </w:r>
    </w:p>
    <w:tbl>
      <w:tblPr>
        <w:tblW w:w="4900" w:type="pct"/>
        <w:jc w:val="left"/>
        <w:tblInd w:w="-5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48" w:type="dxa"/>
          <w:bottom w:w="0" w:type="dxa"/>
          <w:right w:w="108" w:type="dxa"/>
        </w:tblCellMar>
        <w:tblLook w:val="00a0"/>
      </w:tblPr>
      <w:tblGrid>
        <w:gridCol w:w="6719"/>
        <w:gridCol w:w="3058"/>
      </w:tblGrid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Opis významných položiek prijatých darov, osobitných výnosov, zákonných poplatkov a iných ostatných výnosov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Suma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Prijaté dary od fyzických a právnických osôb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color w:val="00000A"/>
                <w:sz w:val="16"/>
                <w:szCs w:val="16"/>
              </w:rPr>
              <w:t>14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</w:rPr>
            </w:pPr>
            <w:r>
              <w:rPr>
                <w:color w:val="00000A"/>
                <w:sz w:val="16"/>
                <w:szCs w:val="16"/>
              </w:rPr>
              <w:t>Prijaté príspevky od iných organizácií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</w:rPr>
            </w:pPr>
            <w:r>
              <w:rPr>
                <w:color w:val="00000A"/>
              </w:rPr>
            </w:r>
          </w:p>
        </w:tc>
      </w:tr>
    </w:tbl>
    <w:p>
      <w:pPr>
        <w:pStyle w:val="Normal"/>
        <w:spacing w:lineRule="auto" w:line="240" w:before="0" w:after="0"/>
        <w:ind w:left="6" w:hanging="0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</w:r>
    </w:p>
    <w:p>
      <w:pPr>
        <w:pStyle w:val="Normal"/>
        <w:numPr>
          <w:ilvl w:val="0"/>
          <w:numId w:val="14"/>
        </w:numPr>
        <w:spacing w:lineRule="auto" w:line="240" w:before="0" w:after="120"/>
        <w:ind w:left="360" w:hanging="357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  <w:t>Prehľad  dotácií a grantov, ktoré účtovná jednotka prijala v priebehu bežného účtovného obdobia.</w:t>
      </w:r>
    </w:p>
    <w:tbl>
      <w:tblPr>
        <w:tblW w:w="4900" w:type="pct"/>
        <w:jc w:val="left"/>
        <w:tblInd w:w="-5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48" w:type="dxa"/>
          <w:bottom w:w="0" w:type="dxa"/>
          <w:right w:w="108" w:type="dxa"/>
        </w:tblCellMar>
        <w:tblLook w:val="00a0"/>
      </w:tblPr>
      <w:tblGrid>
        <w:gridCol w:w="6719"/>
        <w:gridCol w:w="3058"/>
      </w:tblGrid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Prehľad dotácií a grantov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Suma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/>
            </w:pPr>
            <w:r>
              <w:rPr>
                <w:color w:val="00000A"/>
                <w:sz w:val="16"/>
                <w:szCs w:val="16"/>
              </w:rPr>
              <w:t xml:space="preserve"> </w:t>
            </w:r>
            <w:r>
              <w:rPr>
                <w:color w:val="00000A"/>
                <w:sz w:val="16"/>
                <w:szCs w:val="16"/>
              </w:rPr>
              <w:t>Verejná zbierka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color w:val="00000A"/>
                <w:sz w:val="16"/>
                <w:szCs w:val="16"/>
              </w:rPr>
              <w:t>2455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</w:rPr>
            </w:pPr>
            <w:r>
              <w:rPr>
                <w:color w:val="00000A"/>
              </w:rPr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color w:val="00000A"/>
                <w:sz w:val="16"/>
                <w:szCs w:val="16"/>
              </w:rPr>
              <w:t>0</w:t>
            </w:r>
          </w:p>
        </w:tc>
      </w:tr>
    </w:tbl>
    <w:p>
      <w:pPr>
        <w:pStyle w:val="Normal"/>
        <w:spacing w:lineRule="auto" w:line="240" w:before="0" w:after="0"/>
        <w:ind w:left="6" w:hanging="0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</w:r>
    </w:p>
    <w:tbl>
      <w:tblPr>
        <w:tblW w:w="4900" w:type="pct"/>
        <w:jc w:val="left"/>
        <w:tblInd w:w="-5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48" w:type="dxa"/>
          <w:bottom w:w="0" w:type="dxa"/>
          <w:right w:w="108" w:type="dxa"/>
        </w:tblCellMar>
        <w:tblLook w:val="00a0"/>
      </w:tblPr>
      <w:tblGrid>
        <w:gridCol w:w="6719"/>
        <w:gridCol w:w="3058"/>
      </w:tblGrid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color w:val="00000A"/>
                <w:sz w:val="16"/>
                <w:szCs w:val="16"/>
              </w:rPr>
              <w:t>0</w:t>
            </w:r>
          </w:p>
        </w:tc>
      </w:tr>
    </w:tbl>
    <w:p>
      <w:pPr>
        <w:pStyle w:val="Normal"/>
        <w:numPr>
          <w:ilvl w:val="0"/>
          <w:numId w:val="14"/>
        </w:numPr>
        <w:spacing w:lineRule="auto" w:line="240" w:before="0" w:after="120"/>
        <w:ind w:left="360" w:hanging="357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  <w:t>Opis a suma významných položiek finančných výnosov; uvádza sa aj celková suma kurzových ziskov, pričom  osobitne sa uvádza hodnota kurzových ziskov účtovaná ku dňu, ku ktorému sa zostavuje účtovná závierka.</w:t>
      </w:r>
    </w:p>
    <w:tbl>
      <w:tblPr>
        <w:tblW w:w="4900" w:type="pct"/>
        <w:jc w:val="left"/>
        <w:tblInd w:w="-5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48" w:type="dxa"/>
          <w:bottom w:w="0" w:type="dxa"/>
          <w:right w:w="108" w:type="dxa"/>
        </w:tblCellMar>
        <w:tblLook w:val="00a0"/>
      </w:tblPr>
      <w:tblGrid>
        <w:gridCol w:w="6719"/>
        <w:gridCol w:w="3058"/>
      </w:tblGrid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Opis významných položiek finančných výnosov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Suma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numPr>
                <w:ilvl w:val="0"/>
                <w:numId w:val="16"/>
              </w:numPr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celková hodnota kurzových ziskov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numPr>
                <w:ilvl w:val="0"/>
                <w:numId w:val="16"/>
              </w:numPr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hodnota kurzových ziskov ku dňu účtovnej závierky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numPr>
                <w:ilvl w:val="0"/>
                <w:numId w:val="16"/>
              </w:numPr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ostatné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</w:tr>
    </w:tbl>
    <w:p>
      <w:pPr>
        <w:pStyle w:val="Normal"/>
        <w:spacing w:lineRule="auto" w:line="240" w:before="0" w:after="0"/>
        <w:ind w:left="6" w:hanging="0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</w:r>
    </w:p>
    <w:p>
      <w:pPr>
        <w:pStyle w:val="Normal"/>
        <w:spacing w:lineRule="auto" w:line="240" w:before="0" w:after="0"/>
        <w:ind w:left="6" w:hanging="0"/>
        <w:jc w:val="center"/>
        <w:rPr>
          <w:color w:val="00000A"/>
          <w:sz w:val="16"/>
          <w:szCs w:val="16"/>
        </w:rPr>
      </w:pPr>
      <w:r>
        <w:rPr>
          <w:color w:val="00000A"/>
          <w:sz w:val="16"/>
          <w:szCs w:val="16"/>
        </w:rPr>
        <w:t>Netýka sa.</w:t>
      </w:r>
    </w:p>
    <w:p>
      <w:pPr>
        <w:pStyle w:val="Normal"/>
        <w:spacing w:lineRule="auto" w:line="240" w:before="0" w:after="0"/>
        <w:ind w:left="6" w:hanging="0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</w:r>
    </w:p>
    <w:p>
      <w:pPr>
        <w:pStyle w:val="Normal"/>
        <w:spacing w:lineRule="auto" w:line="240" w:before="0" w:after="0"/>
        <w:ind w:left="6" w:hanging="0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</w:r>
    </w:p>
    <w:p>
      <w:pPr>
        <w:pStyle w:val="Normal"/>
        <w:spacing w:lineRule="auto" w:line="240" w:before="0" w:after="0"/>
        <w:ind w:left="6" w:hanging="0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</w:r>
    </w:p>
    <w:p>
      <w:pPr>
        <w:pStyle w:val="Normal"/>
        <w:spacing w:lineRule="auto" w:line="240" w:before="0" w:after="0"/>
        <w:ind w:left="6" w:hanging="0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</w:r>
    </w:p>
    <w:p>
      <w:pPr>
        <w:pStyle w:val="Normal"/>
        <w:spacing w:lineRule="auto" w:line="240" w:before="0" w:after="0"/>
        <w:ind w:left="6" w:hanging="0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</w:r>
    </w:p>
    <w:p>
      <w:pPr>
        <w:pStyle w:val="Normal"/>
        <w:spacing w:lineRule="auto" w:line="240" w:before="0" w:after="0"/>
        <w:ind w:left="6" w:hanging="0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</w:r>
    </w:p>
    <w:p>
      <w:pPr>
        <w:pStyle w:val="Normal"/>
        <w:numPr>
          <w:ilvl w:val="0"/>
          <w:numId w:val="14"/>
        </w:numPr>
        <w:spacing w:lineRule="auto" w:line="240" w:before="0" w:after="120"/>
        <w:ind w:left="360" w:hanging="357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  <w:t xml:space="preserve">Opis a vyčíslenie hodnoty významných položiek nákladov, nákladov na ostatné služby, osobitných nákladov a iných ostatných nákladov. </w:t>
      </w:r>
    </w:p>
    <w:tbl>
      <w:tblPr>
        <w:tblW w:w="4900" w:type="pct"/>
        <w:jc w:val="left"/>
        <w:tblInd w:w="-5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48" w:type="dxa"/>
          <w:bottom w:w="0" w:type="dxa"/>
          <w:right w:w="108" w:type="dxa"/>
        </w:tblCellMar>
        <w:tblLook w:val="00a0"/>
      </w:tblPr>
      <w:tblGrid>
        <w:gridCol w:w="6719"/>
        <w:gridCol w:w="3058"/>
      </w:tblGrid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Opis významných nákladov, nákladov na ostatné služby, osobitné náklady a iné ostatné náklady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Suma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Mzdové náklady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color w:val="00000A"/>
                <w:sz w:val="16"/>
                <w:szCs w:val="16"/>
              </w:rPr>
              <w:t>1775,70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Zákonné poistenie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color w:val="00000A"/>
                <w:sz w:val="16"/>
                <w:szCs w:val="16"/>
              </w:rPr>
              <w:t>404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Prijaté služby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color w:val="00000A"/>
                <w:sz w:val="16"/>
                <w:szCs w:val="16"/>
              </w:rPr>
              <w:t>8353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/>
            </w:pPr>
            <w:r>
              <w:rPr>
                <w:color w:val="00000A"/>
                <w:sz w:val="16"/>
                <w:szCs w:val="16"/>
              </w:rPr>
              <w:t>Spotreba materiálu,energie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color w:val="00000A"/>
                <w:sz w:val="16"/>
                <w:szCs w:val="16"/>
              </w:rPr>
              <w:t>3090,64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Zákonné sociálne náklady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color w:val="00000A"/>
                <w:sz w:val="16"/>
                <w:szCs w:val="16"/>
              </w:rPr>
              <w:t xml:space="preserve">  </w:t>
            </w:r>
            <w:r>
              <w:rPr>
                <w:color w:val="00000A"/>
                <w:sz w:val="16"/>
                <w:szCs w:val="16"/>
              </w:rPr>
              <w:t>0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Náklady na reprezentačné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color w:val="00000A"/>
                <w:sz w:val="16"/>
                <w:szCs w:val="16"/>
              </w:rPr>
              <w:t>91,30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Iné ostatné náklady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color w:val="00000A"/>
                <w:sz w:val="16"/>
                <w:szCs w:val="16"/>
              </w:rPr>
              <w:t xml:space="preserve">  </w:t>
            </w:r>
            <w:r>
              <w:rPr>
                <w:color w:val="00000A"/>
                <w:sz w:val="16"/>
                <w:szCs w:val="16"/>
              </w:rPr>
              <w:t>172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color w:val="00000A"/>
                <w:sz w:val="16"/>
                <w:szCs w:val="16"/>
              </w:rPr>
              <w:t xml:space="preserve">     </w:t>
            </w:r>
          </w:p>
        </w:tc>
      </w:tr>
    </w:tbl>
    <w:p>
      <w:pPr>
        <w:pStyle w:val="Normal"/>
        <w:spacing w:lineRule="auto" w:line="240" w:before="0" w:after="0"/>
        <w:ind w:left="6" w:hanging="0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</w:r>
    </w:p>
    <w:p>
      <w:pPr>
        <w:pStyle w:val="Normal"/>
        <w:numPr>
          <w:ilvl w:val="0"/>
          <w:numId w:val="14"/>
        </w:numPr>
        <w:spacing w:lineRule="auto" w:line="240" w:before="0" w:after="120"/>
        <w:ind w:left="360" w:hanging="357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  <w:t>Prehľad o účele a výške použitia podielu zaplatenej dane za bežné účtovné obdobie.</w:t>
      </w:r>
    </w:p>
    <w:tbl>
      <w:tblPr>
        <w:tblW w:w="9843" w:type="dxa"/>
        <w:jc w:val="left"/>
        <w:tblInd w:w="-123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48" w:type="dxa"/>
          <w:bottom w:w="0" w:type="dxa"/>
          <w:right w:w="108" w:type="dxa"/>
        </w:tblCellMar>
        <w:tblLook w:val="00a0"/>
      </w:tblPr>
      <w:tblGrid>
        <w:gridCol w:w="4862"/>
        <w:gridCol w:w="2725"/>
        <w:gridCol w:w="2256"/>
      </w:tblGrid>
      <w:tr>
        <w:trPr>
          <w:trHeight w:val="284" w:hRule="atLeast"/>
        </w:trPr>
        <w:tc>
          <w:tcPr>
            <w:tcW w:w="48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Účel použitia podielu zaplatenej dane</w:t>
            </w:r>
          </w:p>
        </w:tc>
        <w:tc>
          <w:tcPr>
            <w:tcW w:w="27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22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Použitá suma bežného účtovného obdobia</w:t>
            </w:r>
          </w:p>
        </w:tc>
      </w:tr>
      <w:tr>
        <w:trPr>
          <w:trHeight w:val="284" w:hRule="atLeast"/>
        </w:trPr>
        <w:tc>
          <w:tcPr>
            <w:tcW w:w="48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27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22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48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27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22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48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27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22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7587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22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0</w:t>
            </w:r>
          </w:p>
        </w:tc>
      </w:tr>
    </w:tbl>
    <w:p>
      <w:pPr>
        <w:pStyle w:val="Normal"/>
        <w:spacing w:lineRule="auto" w:line="240" w:before="0" w:after="0"/>
        <w:ind w:left="6" w:hanging="0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</w:r>
    </w:p>
    <w:p>
      <w:pPr>
        <w:pStyle w:val="Normal"/>
        <w:spacing w:lineRule="auto" w:line="240" w:before="0" w:after="0"/>
        <w:ind w:left="6" w:hanging="0"/>
        <w:jc w:val="center"/>
        <w:rPr>
          <w:color w:val="00000A"/>
          <w:sz w:val="16"/>
          <w:szCs w:val="16"/>
        </w:rPr>
      </w:pPr>
      <w:r>
        <w:rPr>
          <w:color w:val="00000A"/>
          <w:sz w:val="16"/>
          <w:szCs w:val="16"/>
        </w:rPr>
        <w:t>Netýka sa.</w:t>
      </w:r>
    </w:p>
    <w:p>
      <w:pPr>
        <w:pStyle w:val="Normal"/>
        <w:spacing w:lineRule="auto" w:line="240" w:before="0" w:after="0"/>
        <w:ind w:left="6" w:hanging="0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</w:r>
    </w:p>
    <w:p>
      <w:pPr>
        <w:pStyle w:val="Normal"/>
        <w:numPr>
          <w:ilvl w:val="0"/>
          <w:numId w:val="14"/>
        </w:numPr>
        <w:spacing w:lineRule="auto" w:line="240" w:before="0" w:after="120"/>
        <w:ind w:left="360" w:hanging="357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  <w:t>Opis a suma významných položiek finančných nákladov; uvádza sa aj celková suma kurzových strát, pričom osobitne sa uvádza hodnota kurzových strát účtovaná ku dňu, ku ktorému sa zostavuje účtovná závierka.</w:t>
      </w:r>
    </w:p>
    <w:tbl>
      <w:tblPr>
        <w:tblW w:w="4900" w:type="pct"/>
        <w:jc w:val="left"/>
        <w:tblInd w:w="-5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48" w:type="dxa"/>
          <w:bottom w:w="0" w:type="dxa"/>
          <w:right w:w="108" w:type="dxa"/>
        </w:tblCellMar>
        <w:tblLook w:val="00a0"/>
      </w:tblPr>
      <w:tblGrid>
        <w:gridCol w:w="6719"/>
        <w:gridCol w:w="3058"/>
      </w:tblGrid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Opis významných položiek finančných nákladov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Suma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numPr>
                <w:ilvl w:val="0"/>
                <w:numId w:val="16"/>
              </w:numPr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celková hodnota kurzových strát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numPr>
                <w:ilvl w:val="0"/>
                <w:numId w:val="16"/>
              </w:numPr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hodnota kurzových strát ku dňu účtovnej závierky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numPr>
                <w:ilvl w:val="0"/>
                <w:numId w:val="16"/>
              </w:numPr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 xml:space="preserve">ostatné 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</w:tr>
    </w:tbl>
    <w:p>
      <w:pPr>
        <w:pStyle w:val="Normal"/>
        <w:spacing w:lineRule="auto" w:line="240" w:before="0" w:after="0"/>
        <w:ind w:left="6" w:hanging="0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  <w:t xml:space="preserve"> </w:t>
      </w:r>
    </w:p>
    <w:p>
      <w:pPr>
        <w:pStyle w:val="Normal"/>
        <w:spacing w:lineRule="auto" w:line="240" w:before="0" w:after="0"/>
        <w:ind w:left="6" w:hanging="0"/>
        <w:jc w:val="center"/>
        <w:rPr>
          <w:color w:val="00000A"/>
          <w:sz w:val="16"/>
          <w:szCs w:val="16"/>
        </w:rPr>
      </w:pPr>
      <w:r>
        <w:rPr>
          <w:color w:val="00000A"/>
          <w:sz w:val="16"/>
          <w:szCs w:val="16"/>
        </w:rPr>
        <w:t>Netýka sa.</w:t>
      </w:r>
    </w:p>
    <w:p>
      <w:pPr>
        <w:pStyle w:val="Normal"/>
        <w:spacing w:lineRule="auto" w:line="240" w:before="0" w:after="0"/>
        <w:ind w:left="6" w:hanging="0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</w:r>
    </w:p>
    <w:p>
      <w:pPr>
        <w:pStyle w:val="Normal"/>
        <w:numPr>
          <w:ilvl w:val="0"/>
          <w:numId w:val="14"/>
        </w:numPr>
        <w:spacing w:lineRule="auto" w:line="240" w:before="0" w:after="120"/>
        <w:ind w:left="360" w:hanging="357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  <w:t>V účtovnej jednotke, ktorá má povinnosť overenia účtovnej závierky audítorom, sa uvedie vymedzenie a suma nákladov za účtovné obdobie v členení na náklady za</w:t>
      </w:r>
    </w:p>
    <w:p>
      <w:pPr>
        <w:pStyle w:val="Normal"/>
        <w:numPr>
          <w:ilvl w:val="0"/>
          <w:numId w:val="15"/>
        </w:numPr>
        <w:spacing w:lineRule="auto" w:line="240" w:before="0" w:after="0"/>
        <w:ind w:left="720" w:hanging="357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  <w:t>overenie účtovnej závierky,</w:t>
      </w:r>
    </w:p>
    <w:p>
      <w:pPr>
        <w:pStyle w:val="Normal"/>
        <w:numPr>
          <w:ilvl w:val="0"/>
          <w:numId w:val="15"/>
        </w:numPr>
        <w:spacing w:lineRule="auto" w:line="240" w:before="0" w:after="0"/>
        <w:ind w:left="720" w:hanging="357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  <w:t>uisťovacie audítorské služby s výnimkou overenia účtovnej závierky,</w:t>
      </w:r>
    </w:p>
    <w:p>
      <w:pPr>
        <w:pStyle w:val="Normal"/>
        <w:numPr>
          <w:ilvl w:val="0"/>
          <w:numId w:val="15"/>
        </w:numPr>
        <w:spacing w:lineRule="auto" w:line="240" w:before="0" w:after="0"/>
        <w:ind w:left="720" w:hanging="357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  <w:t>súvisiace audítorské služby,</w:t>
      </w:r>
    </w:p>
    <w:p>
      <w:pPr>
        <w:pStyle w:val="Normal"/>
        <w:numPr>
          <w:ilvl w:val="0"/>
          <w:numId w:val="15"/>
        </w:numPr>
        <w:spacing w:lineRule="auto" w:line="240" w:before="0" w:after="0"/>
        <w:ind w:left="720" w:hanging="357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  <w:t>daňové poradenstvo,</w:t>
      </w:r>
    </w:p>
    <w:p>
      <w:pPr>
        <w:pStyle w:val="Normal"/>
        <w:numPr>
          <w:ilvl w:val="0"/>
          <w:numId w:val="15"/>
        </w:numPr>
        <w:spacing w:lineRule="auto" w:line="240" w:before="0" w:after="120"/>
        <w:ind w:left="720" w:hanging="357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  <w:t>ostatné neaudítorské služby.</w:t>
      </w:r>
    </w:p>
    <w:p>
      <w:pPr>
        <w:pStyle w:val="Normal"/>
        <w:spacing w:lineRule="auto" w:line="240" w:before="0" w:after="120"/>
        <w:rPr>
          <w:b/>
          <w:b/>
          <w:bCs/>
          <w:i/>
          <w:i/>
          <w:iCs/>
          <w:color w:val="00000A"/>
          <w:sz w:val="18"/>
          <w:szCs w:val="18"/>
        </w:rPr>
      </w:pPr>
      <w:r>
        <w:rPr>
          <w:b/>
          <w:bCs/>
          <w:i/>
          <w:iCs/>
          <w:color w:val="00000A"/>
          <w:sz w:val="18"/>
          <w:szCs w:val="18"/>
        </w:rPr>
      </w:r>
    </w:p>
    <w:tbl>
      <w:tblPr>
        <w:tblW w:w="4900" w:type="pct"/>
        <w:jc w:val="left"/>
        <w:tblInd w:w="-5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48" w:type="dxa"/>
          <w:bottom w:w="0" w:type="dxa"/>
          <w:right w:w="108" w:type="dxa"/>
        </w:tblCellMar>
        <w:tblLook w:val="00a0"/>
      </w:tblPr>
      <w:tblGrid>
        <w:gridCol w:w="6609"/>
        <w:gridCol w:w="3168"/>
      </w:tblGrid>
      <w:tr>
        <w:trPr>
          <w:trHeight w:val="284" w:hRule="atLeast"/>
        </w:trPr>
        <w:tc>
          <w:tcPr>
            <w:tcW w:w="66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Jednotlivé druhy nákladov za</w:t>
            </w:r>
          </w:p>
        </w:tc>
        <w:tc>
          <w:tcPr>
            <w:tcW w:w="31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  <w:t>Suma</w:t>
            </w:r>
          </w:p>
        </w:tc>
      </w:tr>
      <w:tr>
        <w:trPr>
          <w:trHeight w:val="284" w:hRule="atLeast"/>
        </w:trPr>
        <w:tc>
          <w:tcPr>
            <w:tcW w:w="66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overenie účtovnej závierky</w:t>
            </w:r>
          </w:p>
        </w:tc>
        <w:tc>
          <w:tcPr>
            <w:tcW w:w="31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</w:rPr>
            </w:pPr>
            <w:r>
              <w:rPr>
                <w:color w:val="00000A"/>
              </w:rPr>
            </w:r>
          </w:p>
        </w:tc>
      </w:tr>
      <w:tr>
        <w:trPr>
          <w:trHeight w:val="284" w:hRule="atLeast"/>
        </w:trPr>
        <w:tc>
          <w:tcPr>
            <w:tcW w:w="66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Spolu</w:t>
            </w:r>
          </w:p>
        </w:tc>
        <w:tc>
          <w:tcPr>
            <w:tcW w:w="31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</w:r>
          </w:p>
        </w:tc>
      </w:tr>
    </w:tbl>
    <w:p>
      <w:pPr>
        <w:pStyle w:val="Normal"/>
        <w:spacing w:lineRule="auto" w:line="240" w:before="0" w:after="0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</w:r>
    </w:p>
    <w:p>
      <w:pPr>
        <w:pStyle w:val="Normal"/>
        <w:spacing w:lineRule="auto" w:line="240" w:before="0" w:after="0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</w:r>
    </w:p>
    <w:p>
      <w:pPr>
        <w:pStyle w:val="Normal"/>
        <w:spacing w:lineRule="auto" w:line="240" w:before="0" w:after="0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</w:r>
    </w:p>
    <w:p>
      <w:pPr>
        <w:pStyle w:val="Normal"/>
        <w:keepNext/>
        <w:numPr>
          <w:ilvl w:val="0"/>
          <w:numId w:val="0"/>
        </w:numPr>
        <w:spacing w:lineRule="auto" w:line="240" w:before="0" w:after="0"/>
        <w:jc w:val="center"/>
        <w:outlineLvl w:val="0"/>
        <w:rPr>
          <w:b/>
          <w:b/>
          <w:bCs/>
          <w:color w:val="00000A"/>
        </w:rPr>
      </w:pPr>
      <w:r>
        <w:rPr>
          <w:b/>
          <w:bCs/>
          <w:color w:val="00000A"/>
        </w:rPr>
        <w:t>Čl. V</w:t>
      </w:r>
    </w:p>
    <w:p>
      <w:pPr>
        <w:pStyle w:val="Normal"/>
        <w:keepNext/>
        <w:numPr>
          <w:ilvl w:val="0"/>
          <w:numId w:val="0"/>
        </w:numPr>
        <w:spacing w:lineRule="auto" w:line="240" w:before="0" w:after="120"/>
        <w:jc w:val="center"/>
        <w:outlineLvl w:val="1"/>
        <w:rPr>
          <w:b/>
          <w:b/>
          <w:bCs/>
          <w:color w:val="00000A"/>
        </w:rPr>
      </w:pPr>
      <w:r>
        <w:rPr>
          <w:b/>
          <w:bCs/>
          <w:color w:val="00000A"/>
        </w:rPr>
        <w:t>Opis údajov na podsúvahových účtoch</w:t>
      </w:r>
    </w:p>
    <w:p>
      <w:pPr>
        <w:pStyle w:val="Normal"/>
        <w:spacing w:lineRule="auto" w:line="240" w:before="0" w:after="120"/>
        <w:rPr>
          <w:color w:val="00000A"/>
          <w:sz w:val="16"/>
          <w:szCs w:val="16"/>
        </w:rPr>
      </w:pPr>
      <w:r>
        <w:rPr>
          <w:color w:val="00000A"/>
          <w:sz w:val="16"/>
          <w:szCs w:val="16"/>
        </w:rPr>
        <w:t>Významné položky prenajatého majetku, majetku prijatého do úschovy,  odpísané pohľadávky a prípadné ďalšie položky.</w:t>
      </w:r>
    </w:p>
    <w:tbl>
      <w:tblPr>
        <w:tblW w:w="4950" w:type="pct"/>
        <w:jc w:val="center"/>
        <w:tblInd w:w="0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10" w:type="dxa"/>
          <w:bottom w:w="0" w:type="dxa"/>
          <w:right w:w="70" w:type="dxa"/>
        </w:tblCellMar>
        <w:tblLook w:val="0000"/>
      </w:tblPr>
      <w:tblGrid>
        <w:gridCol w:w="6677"/>
        <w:gridCol w:w="3200"/>
      </w:tblGrid>
      <w:tr>
        <w:trPr>
          <w:trHeight w:val="284" w:hRule="atLeast"/>
        </w:trPr>
        <w:tc>
          <w:tcPr>
            <w:tcW w:w="66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Významné položky</w:t>
            </w:r>
          </w:p>
        </w:tc>
        <w:tc>
          <w:tcPr>
            <w:tcW w:w="32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Hodnota majetku</w:t>
            </w:r>
          </w:p>
        </w:tc>
      </w:tr>
      <w:tr>
        <w:trPr>
          <w:trHeight w:val="284" w:hRule="atLeast"/>
        </w:trPr>
        <w:tc>
          <w:tcPr>
            <w:tcW w:w="66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32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</w:tr>
    </w:tbl>
    <w:p>
      <w:pPr>
        <w:pStyle w:val="Normal"/>
        <w:spacing w:lineRule="auto" w:line="240" w:before="0" w:after="0"/>
        <w:rPr>
          <w:color w:val="00000A"/>
          <w:sz w:val="16"/>
          <w:szCs w:val="16"/>
        </w:rPr>
      </w:pPr>
      <w:r>
        <w:rPr>
          <w:color w:val="00000A"/>
          <w:sz w:val="16"/>
          <w:szCs w:val="16"/>
        </w:rPr>
      </w:r>
    </w:p>
    <w:p>
      <w:pPr>
        <w:pStyle w:val="Normal"/>
        <w:spacing w:lineRule="auto" w:line="240" w:before="0" w:after="0"/>
        <w:jc w:val="center"/>
        <w:rPr>
          <w:color w:val="00000A"/>
          <w:sz w:val="16"/>
          <w:szCs w:val="16"/>
        </w:rPr>
      </w:pPr>
      <w:r>
        <w:rPr>
          <w:color w:val="00000A"/>
          <w:sz w:val="16"/>
          <w:szCs w:val="16"/>
        </w:rPr>
        <w:t>Netýka sa.</w:t>
      </w:r>
    </w:p>
    <w:p>
      <w:pPr>
        <w:pStyle w:val="Normal"/>
        <w:spacing w:lineRule="auto" w:line="240" w:before="0" w:after="0"/>
        <w:rPr>
          <w:color w:val="00000A"/>
          <w:sz w:val="16"/>
          <w:szCs w:val="16"/>
        </w:rPr>
      </w:pPr>
      <w:r>
        <w:rPr>
          <w:color w:val="00000A"/>
          <w:sz w:val="16"/>
          <w:szCs w:val="16"/>
        </w:rPr>
      </w:r>
    </w:p>
    <w:p>
      <w:pPr>
        <w:pStyle w:val="Normal"/>
        <w:spacing w:lineRule="auto" w:line="240" w:before="0" w:after="0"/>
        <w:rPr>
          <w:color w:val="00000A"/>
          <w:sz w:val="16"/>
          <w:szCs w:val="16"/>
        </w:rPr>
      </w:pPr>
      <w:r>
        <w:rPr>
          <w:color w:val="00000A"/>
          <w:sz w:val="16"/>
          <w:szCs w:val="16"/>
        </w:rPr>
      </w:r>
    </w:p>
    <w:p>
      <w:pPr>
        <w:pStyle w:val="Normal"/>
        <w:keepNext/>
        <w:numPr>
          <w:ilvl w:val="0"/>
          <w:numId w:val="0"/>
        </w:numPr>
        <w:spacing w:lineRule="auto" w:line="240" w:before="0" w:after="0"/>
        <w:jc w:val="center"/>
        <w:outlineLvl w:val="0"/>
        <w:rPr>
          <w:b/>
          <w:b/>
          <w:bCs/>
          <w:color w:val="00000A"/>
        </w:rPr>
      </w:pPr>
      <w:r>
        <w:rPr>
          <w:b/>
          <w:bCs/>
          <w:color w:val="00000A"/>
        </w:rPr>
        <w:t>Čl. VI</w:t>
      </w:r>
    </w:p>
    <w:p>
      <w:pPr>
        <w:pStyle w:val="Normal"/>
        <w:keepNext/>
        <w:numPr>
          <w:ilvl w:val="0"/>
          <w:numId w:val="0"/>
        </w:numPr>
        <w:spacing w:lineRule="auto" w:line="240" w:before="0" w:after="120"/>
        <w:jc w:val="center"/>
        <w:outlineLvl w:val="1"/>
        <w:rPr>
          <w:b/>
          <w:b/>
          <w:bCs/>
          <w:color w:val="00000A"/>
        </w:rPr>
      </w:pPr>
      <w:r>
        <w:rPr>
          <w:b/>
          <w:bCs/>
          <w:color w:val="00000A"/>
        </w:rPr>
        <w:t>Ďalšie informácie</w:t>
      </w:r>
    </w:p>
    <w:p>
      <w:pPr>
        <w:pStyle w:val="Textopatrenia"/>
        <w:numPr>
          <w:ilvl w:val="0"/>
          <w:numId w:val="17"/>
        </w:numPr>
        <w:rPr>
          <w:color w:val="00000A"/>
          <w:sz w:val="16"/>
          <w:szCs w:val="16"/>
        </w:rPr>
      </w:pPr>
      <w:r>
        <w:rPr>
          <w:color w:val="00000A"/>
          <w:sz w:val="16"/>
          <w:szCs w:val="16"/>
        </w:rPr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tbl>
      <w:tblPr>
        <w:tblW w:w="5000" w:type="pct"/>
        <w:jc w:val="center"/>
        <w:tblInd w:w="0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10" w:type="dxa"/>
          <w:bottom w:w="0" w:type="dxa"/>
          <w:right w:w="70" w:type="dxa"/>
        </w:tblCellMar>
        <w:tblLook w:val="0000"/>
      </w:tblPr>
      <w:tblGrid>
        <w:gridCol w:w="6766"/>
        <w:gridCol w:w="3211"/>
      </w:tblGrid>
      <w:tr>
        <w:trPr>
          <w:trHeight w:val="284" w:hRule="atLeast"/>
        </w:trPr>
        <w:tc>
          <w:tcPr>
            <w:tcW w:w="67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Opis iných aktív</w:t>
            </w:r>
          </w:p>
        </w:tc>
        <w:tc>
          <w:tcPr>
            <w:tcW w:w="32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 xml:space="preserve">Hodnota </w:t>
            </w:r>
          </w:p>
        </w:tc>
      </w:tr>
      <w:tr>
        <w:trPr>
          <w:trHeight w:val="284" w:hRule="atLeast"/>
        </w:trPr>
        <w:tc>
          <w:tcPr>
            <w:tcW w:w="67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32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0</w:t>
            </w:r>
          </w:p>
        </w:tc>
      </w:tr>
    </w:tbl>
    <w:p>
      <w:pPr>
        <w:pStyle w:val="Textopatrenia"/>
        <w:spacing w:before="0" w:after="0"/>
        <w:rPr>
          <w:color w:val="00000A"/>
          <w:sz w:val="16"/>
          <w:szCs w:val="16"/>
        </w:rPr>
      </w:pPr>
      <w:r>
        <w:rPr>
          <w:color w:val="00000A"/>
          <w:sz w:val="16"/>
          <w:szCs w:val="16"/>
        </w:rPr>
      </w:r>
    </w:p>
    <w:p>
      <w:pPr>
        <w:pStyle w:val="Textopatrenia"/>
        <w:numPr>
          <w:ilvl w:val="0"/>
          <w:numId w:val="17"/>
        </w:numPr>
        <w:spacing w:before="0" w:after="120"/>
        <w:ind w:left="357" w:hanging="357"/>
        <w:rPr>
          <w:color w:val="00000A"/>
          <w:sz w:val="16"/>
          <w:szCs w:val="16"/>
        </w:rPr>
      </w:pPr>
      <w:r>
        <w:rPr>
          <w:color w:val="00000A"/>
          <w:sz w:val="16"/>
          <w:szCs w:val="16"/>
        </w:rPr>
        <w:t>Opis a hodnota iných pasív vyplývajúcich zo súdnych rozhodnutí, z poskytnutých záruk, zo všeobecne záväzných právnych predpisov, z ručenia podľa jednotlivých druhov ručenia;  takýmito inými pasívami sú:</w:t>
      </w:r>
    </w:p>
    <w:p>
      <w:pPr>
        <w:pStyle w:val="Textopatrenia"/>
        <w:numPr>
          <w:ilvl w:val="0"/>
          <w:numId w:val="18"/>
        </w:numPr>
        <w:spacing w:before="0" w:after="120"/>
        <w:rPr>
          <w:color w:val="00000A"/>
          <w:sz w:val="16"/>
          <w:szCs w:val="16"/>
        </w:rPr>
      </w:pPr>
      <w:r>
        <w:rPr>
          <w:color w:val="00000A"/>
          <w:sz w:val="16"/>
          <w:szCs w:val="16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>
      <w:pPr>
        <w:pStyle w:val="Textopatrenia"/>
        <w:numPr>
          <w:ilvl w:val="0"/>
          <w:numId w:val="18"/>
        </w:numPr>
        <w:spacing w:before="0" w:after="120"/>
        <w:rPr>
          <w:color w:val="00000A"/>
          <w:sz w:val="16"/>
          <w:szCs w:val="16"/>
        </w:rPr>
      </w:pPr>
      <w:r>
        <w:rPr>
          <w:color w:val="00000A"/>
          <w:sz w:val="16"/>
          <w:szCs w:val="16"/>
          <w:lang w:eastAsia="sk-SK"/>
        </w:rPr>
        <w:t>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tbl>
      <w:tblPr>
        <w:tblW w:w="5000" w:type="pct"/>
        <w:jc w:val="center"/>
        <w:tblInd w:w="0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10" w:type="dxa"/>
          <w:bottom w:w="0" w:type="dxa"/>
          <w:right w:w="70" w:type="dxa"/>
        </w:tblCellMar>
        <w:tblLook w:val="0000"/>
      </w:tblPr>
      <w:tblGrid>
        <w:gridCol w:w="6766"/>
        <w:gridCol w:w="3211"/>
      </w:tblGrid>
      <w:tr>
        <w:trPr>
          <w:trHeight w:val="284" w:hRule="atLeast"/>
        </w:trPr>
        <w:tc>
          <w:tcPr>
            <w:tcW w:w="67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Opis iných pasív</w:t>
            </w:r>
          </w:p>
        </w:tc>
        <w:tc>
          <w:tcPr>
            <w:tcW w:w="32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 xml:space="preserve">Hodnota </w:t>
            </w:r>
          </w:p>
        </w:tc>
      </w:tr>
      <w:tr>
        <w:trPr>
          <w:trHeight w:val="284" w:hRule="atLeast"/>
        </w:trPr>
        <w:tc>
          <w:tcPr>
            <w:tcW w:w="67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32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0</w:t>
            </w:r>
          </w:p>
        </w:tc>
      </w:tr>
    </w:tbl>
    <w:p>
      <w:pPr>
        <w:pStyle w:val="Textopatrenia"/>
        <w:spacing w:before="0" w:after="0"/>
        <w:rPr>
          <w:color w:val="00000A"/>
          <w:sz w:val="16"/>
          <w:szCs w:val="16"/>
        </w:rPr>
      </w:pPr>
      <w:r>
        <w:rPr>
          <w:color w:val="00000A"/>
          <w:sz w:val="16"/>
          <w:szCs w:val="16"/>
        </w:rPr>
      </w:r>
    </w:p>
    <w:p>
      <w:pPr>
        <w:pStyle w:val="Textopatrenia"/>
        <w:numPr>
          <w:ilvl w:val="0"/>
          <w:numId w:val="17"/>
        </w:numPr>
        <w:spacing w:before="0" w:after="120"/>
        <w:ind w:left="360" w:hanging="357"/>
        <w:rPr>
          <w:color w:val="00000A"/>
          <w:sz w:val="16"/>
          <w:szCs w:val="16"/>
        </w:rPr>
      </w:pPr>
      <w:r>
        <w:rPr>
          <w:color w:val="00000A"/>
          <w:sz w:val="16"/>
          <w:szCs w:val="16"/>
        </w:rPr>
        <w:t>Opis významných položiek ostatných finančných povinností, ktoré sa nesledujú v účtovníctve a neuvádzajú sa v súvahe; pri každej položke sa uvádza jej opis, výška a údaj, či sa týka spriaznených osôb, a to</w:t>
      </w:r>
    </w:p>
    <w:p>
      <w:pPr>
        <w:pStyle w:val="Textopatrenia"/>
        <w:numPr>
          <w:ilvl w:val="0"/>
          <w:numId w:val="19"/>
        </w:numPr>
        <w:spacing w:before="0" w:after="0"/>
        <w:ind w:left="720" w:hanging="357"/>
        <w:rPr>
          <w:color w:val="00000A"/>
          <w:sz w:val="16"/>
          <w:szCs w:val="16"/>
        </w:rPr>
      </w:pPr>
      <w:r>
        <w:rPr>
          <w:color w:val="00000A"/>
          <w:sz w:val="16"/>
          <w:szCs w:val="16"/>
        </w:rPr>
        <w:t>povinnosť z devízových termínovaných obchodov a iných finančných derivátov,</w:t>
      </w:r>
    </w:p>
    <w:p>
      <w:pPr>
        <w:pStyle w:val="Textopatrenia"/>
        <w:numPr>
          <w:ilvl w:val="0"/>
          <w:numId w:val="19"/>
        </w:numPr>
        <w:spacing w:before="0" w:after="0"/>
        <w:ind w:left="720" w:hanging="357"/>
        <w:rPr>
          <w:color w:val="00000A"/>
          <w:sz w:val="16"/>
          <w:szCs w:val="16"/>
        </w:rPr>
      </w:pPr>
      <w:r>
        <w:rPr>
          <w:color w:val="00000A"/>
          <w:sz w:val="16"/>
          <w:szCs w:val="16"/>
        </w:rPr>
        <w:t>povinnosť z opčných obchodov,</w:t>
      </w:r>
    </w:p>
    <w:p>
      <w:pPr>
        <w:pStyle w:val="Textopatrenia"/>
        <w:numPr>
          <w:ilvl w:val="0"/>
          <w:numId w:val="19"/>
        </w:numPr>
        <w:spacing w:before="0" w:after="0"/>
        <w:ind w:left="720" w:hanging="357"/>
        <w:rPr>
          <w:color w:val="00000A"/>
          <w:sz w:val="16"/>
          <w:szCs w:val="16"/>
        </w:rPr>
      </w:pPr>
      <w:r>
        <w:rPr>
          <w:color w:val="00000A"/>
          <w:sz w:val="16"/>
          <w:szCs w:val="16"/>
        </w:rPr>
        <w:t>zákonná povinnosť alebo zmluvná povinnosť odobrať určité produkty alebo služby, napríklad z dodávateľských alebo odberateľských zmlúv,</w:t>
      </w:r>
    </w:p>
    <w:p>
      <w:pPr>
        <w:pStyle w:val="Textopatrenia"/>
        <w:numPr>
          <w:ilvl w:val="0"/>
          <w:numId w:val="19"/>
        </w:numPr>
        <w:spacing w:before="0" w:after="0"/>
        <w:ind w:left="720" w:hanging="357"/>
        <w:rPr>
          <w:color w:val="00000A"/>
          <w:sz w:val="16"/>
          <w:szCs w:val="16"/>
        </w:rPr>
      </w:pPr>
      <w:r>
        <w:rPr>
          <w:color w:val="00000A"/>
          <w:sz w:val="16"/>
          <w:szCs w:val="16"/>
        </w:rPr>
        <w:t>povinnosť z leasingových, nájomných, servisných, poistných, koncesionárskych, licenčných zmlúv a podobných zmlúv,</w:t>
      </w:r>
    </w:p>
    <w:p>
      <w:pPr>
        <w:pStyle w:val="Textopatrenia"/>
        <w:numPr>
          <w:ilvl w:val="0"/>
          <w:numId w:val="19"/>
        </w:numPr>
        <w:spacing w:before="0" w:after="120"/>
        <w:ind w:left="720" w:hanging="357"/>
        <w:rPr>
          <w:color w:val="00000A"/>
          <w:sz w:val="16"/>
          <w:szCs w:val="16"/>
        </w:rPr>
      </w:pPr>
      <w:r>
        <w:rPr>
          <w:color w:val="00000A"/>
          <w:sz w:val="16"/>
          <w:szCs w:val="16"/>
        </w:rPr>
        <w:t xml:space="preserve">iné povinnosti. </w:t>
      </w:r>
    </w:p>
    <w:tbl>
      <w:tblPr>
        <w:tblW w:w="5000" w:type="pct"/>
        <w:jc w:val="center"/>
        <w:tblInd w:w="0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10" w:type="dxa"/>
          <w:bottom w:w="0" w:type="dxa"/>
          <w:right w:w="70" w:type="dxa"/>
        </w:tblCellMar>
        <w:tblLook w:val="0000"/>
      </w:tblPr>
      <w:tblGrid>
        <w:gridCol w:w="4305"/>
        <w:gridCol w:w="2347"/>
        <w:gridCol w:w="3326"/>
      </w:tblGrid>
      <w:tr>
        <w:trPr>
          <w:trHeight w:val="284" w:hRule="atLeast"/>
        </w:trPr>
        <w:tc>
          <w:tcPr>
            <w:tcW w:w="43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Opis významných položiek ostatných finančných povinností</w:t>
            </w:r>
          </w:p>
        </w:tc>
        <w:tc>
          <w:tcPr>
            <w:tcW w:w="23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Výška</w:t>
            </w:r>
          </w:p>
        </w:tc>
        <w:tc>
          <w:tcPr>
            <w:tcW w:w="33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Spriaznené osoby</w:t>
            </w:r>
          </w:p>
        </w:tc>
      </w:tr>
      <w:tr>
        <w:trPr>
          <w:trHeight w:val="284" w:hRule="atLeast"/>
        </w:trPr>
        <w:tc>
          <w:tcPr>
            <w:tcW w:w="43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23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33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43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23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33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</w:tr>
    </w:tbl>
    <w:p>
      <w:pPr>
        <w:pStyle w:val="Textopatrenia"/>
        <w:spacing w:before="0" w:after="0"/>
        <w:rPr>
          <w:color w:val="00000A"/>
          <w:sz w:val="16"/>
          <w:szCs w:val="16"/>
        </w:rPr>
      </w:pPr>
      <w:r>
        <w:rPr>
          <w:color w:val="00000A"/>
          <w:sz w:val="16"/>
          <w:szCs w:val="16"/>
        </w:rPr>
      </w:r>
    </w:p>
    <w:p>
      <w:pPr>
        <w:pStyle w:val="Normal"/>
        <w:spacing w:lineRule="auto" w:line="240" w:before="0" w:after="0"/>
        <w:jc w:val="center"/>
        <w:rPr>
          <w:color w:val="00000A"/>
          <w:sz w:val="16"/>
          <w:szCs w:val="16"/>
        </w:rPr>
      </w:pPr>
      <w:r>
        <w:rPr>
          <w:color w:val="00000A"/>
          <w:sz w:val="18"/>
          <w:szCs w:val="18"/>
        </w:rPr>
        <w:t xml:space="preserve">       </w:t>
      </w:r>
      <w:r>
        <w:rPr>
          <w:color w:val="00000A"/>
          <w:sz w:val="16"/>
          <w:szCs w:val="16"/>
        </w:rPr>
        <w:t>Netýka sa.</w:t>
      </w:r>
    </w:p>
    <w:p>
      <w:pPr>
        <w:pStyle w:val="Textopatrenia"/>
        <w:spacing w:before="0" w:after="0"/>
        <w:rPr>
          <w:color w:val="00000A"/>
          <w:sz w:val="16"/>
          <w:szCs w:val="16"/>
        </w:rPr>
      </w:pPr>
      <w:r>
        <w:rPr>
          <w:color w:val="00000A"/>
          <w:sz w:val="16"/>
          <w:szCs w:val="16"/>
        </w:rPr>
      </w:r>
    </w:p>
    <w:p>
      <w:pPr>
        <w:pStyle w:val="Textopatrenia"/>
        <w:spacing w:before="0" w:after="0"/>
        <w:rPr>
          <w:color w:val="00000A"/>
          <w:sz w:val="16"/>
          <w:szCs w:val="16"/>
        </w:rPr>
      </w:pPr>
      <w:r>
        <w:rPr>
          <w:color w:val="00000A"/>
          <w:sz w:val="16"/>
          <w:szCs w:val="16"/>
        </w:rPr>
      </w:r>
    </w:p>
    <w:p>
      <w:pPr>
        <w:pStyle w:val="Normal"/>
        <w:numPr>
          <w:ilvl w:val="0"/>
          <w:numId w:val="17"/>
        </w:numPr>
        <w:spacing w:lineRule="auto" w:line="240" w:before="0" w:after="120"/>
        <w:ind w:left="360" w:hanging="357"/>
        <w:rPr>
          <w:color w:val="00000A"/>
          <w:sz w:val="16"/>
          <w:szCs w:val="16"/>
        </w:rPr>
      </w:pPr>
      <w:r>
        <w:rPr>
          <w:color w:val="00000A"/>
          <w:sz w:val="16"/>
          <w:szCs w:val="16"/>
        </w:rPr>
        <w:t>Prehľad nehnuteľných kultúrnych pamiatok, ktoré sú v správe alebo vo vlastníctve účtovnej jednotky.</w:t>
      </w:r>
    </w:p>
    <w:p>
      <w:pPr>
        <w:pStyle w:val="Normal"/>
        <w:spacing w:lineRule="auto" w:line="240" w:before="0" w:after="120"/>
        <w:ind w:left="360" w:hanging="0"/>
        <w:jc w:val="center"/>
        <w:rPr>
          <w:color w:val="00000A"/>
          <w:sz w:val="16"/>
          <w:szCs w:val="16"/>
        </w:rPr>
      </w:pPr>
      <w:r>
        <w:rPr>
          <w:color w:val="00000A"/>
          <w:sz w:val="16"/>
          <w:szCs w:val="16"/>
        </w:rPr>
        <w:t>Netýka sa.</w:t>
      </w:r>
    </w:p>
    <w:p>
      <w:pPr>
        <w:pStyle w:val="Normal"/>
        <w:spacing w:lineRule="auto" w:line="240" w:before="0" w:after="120"/>
        <w:rPr>
          <w:color w:val="00000A"/>
          <w:sz w:val="16"/>
          <w:szCs w:val="16"/>
        </w:rPr>
      </w:pPr>
      <w:r>
        <w:rPr>
          <w:color w:val="00000A"/>
          <w:sz w:val="16"/>
          <w:szCs w:val="16"/>
        </w:rPr>
      </w:r>
    </w:p>
    <w:p>
      <w:pPr>
        <w:pStyle w:val="Normal"/>
        <w:numPr>
          <w:ilvl w:val="0"/>
          <w:numId w:val="17"/>
        </w:numPr>
        <w:spacing w:lineRule="auto" w:line="240" w:before="0" w:after="120"/>
        <w:ind w:left="360" w:hanging="357"/>
        <w:rPr>
          <w:color w:val="00000A"/>
        </w:rPr>
      </w:pPr>
      <w:r>
        <w:rPr>
          <w:color w:val="00000A"/>
          <w:sz w:val="16"/>
          <w:szCs w:val="16"/>
        </w:rPr>
        <w:t>Informácie o významných skutočnostiach, ktoré nastali medzi dňom, ku ktorému sa zostavuje účtovná závierka a d</w:t>
      </w:r>
      <w:bookmarkStart w:id="0" w:name="_GoBack"/>
      <w:bookmarkEnd w:id="0"/>
      <w:r>
        <w:rPr>
          <w:color w:val="00000A"/>
          <w:sz w:val="16"/>
          <w:szCs w:val="16"/>
        </w:rPr>
        <w:t>ňom jej zostavenia.</w:t>
      </w:r>
    </w:p>
    <w:p>
      <w:pPr>
        <w:pStyle w:val="Normal"/>
        <w:spacing w:lineRule="auto" w:line="240" w:before="0" w:after="0"/>
        <w:ind w:left="357" w:hanging="0"/>
        <w:jc w:val="center"/>
        <w:rPr/>
      </w:pPr>
      <w:r>
        <w:rPr>
          <w:color w:val="00000A"/>
          <w:sz w:val="16"/>
          <w:szCs w:val="16"/>
        </w:rPr>
        <w:t>Žiadne skutočnosti nenastali.</w:t>
      </w:r>
    </w:p>
    <w:sectPr>
      <w:footerReference w:type="default" r:id="rId2"/>
      <w:type w:val="nextPage"/>
      <w:pgSz w:w="11906" w:h="16838"/>
      <w:pgMar w:left="964" w:right="964" w:header="0" w:top="1304" w:footer="454" w:bottom="1021" w:gutter="0"/>
      <w:pgNumType w:start="7" w:fmt="decimal"/>
      <w:formProt w:val="false"/>
      <w:textDirection w:val="lrTb"/>
      <w:docGrid w:type="default" w:linePitch="272" w:charSpace="2047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Times New Roman">
    <w:charset w:val="ee"/>
    <w:family w:val="roman"/>
    <w:pitch w:val="variable"/>
  </w:font>
  <w:font w:name="Arial Narrow">
    <w:charset w:val="ee"/>
    <w:family w:val="roman"/>
    <w:pitch w:val="variable"/>
  </w:font>
  <w:font w:name="Cambria">
    <w:charset w:val="ee"/>
    <w:family w:val="roman"/>
    <w:pitch w:val="variable"/>
  </w:font>
  <w:font w:name="Arial">
    <w:charset w:val="ee"/>
    <w:family w:val="roman"/>
    <w:pitch w:val="variable"/>
  </w:font>
  <w:font w:name="Tahoma"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Courier New">
    <w:charset w:val="01"/>
    <w:family w:val="modern"/>
    <w:pitch w:val="fixed"/>
  </w:font>
  <w:font w:name="Wingdings">
    <w:charset w:val="02"/>
    <w:family w:val="auto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Pta"/>
      <w:jc w:val="right"/>
      <w:rPr/>
    </w:pPr>
    <w:r>
      <w:rPr/>
      <w:fldChar w:fldCharType="begin"/>
    </w:r>
    <w:r>
      <w:instrText> PAGE </w:instrText>
    </w:r>
    <w:r>
      <w:fldChar w:fldCharType="separate"/>
    </w:r>
    <w:r>
      <w:t>18</w:t>
    </w:r>
    <w:r>
      <w:fldChar w:fldCharType="end"/>
    </w:r>
  </w:p>
  <w:p>
    <w:pPr>
      <w:pStyle w:val="Pta"/>
      <w:rPr/>
    </w:pPr>
    <w:r>
      <w:rPr/>
    </w:r>
  </w:p>
</w:ft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pStyle w:val="Nadpis1"/>
      <w:numFmt w:val="upperRoman"/>
      <w:suff w:val="nothing"/>
      <w:lvlText w:val="Čl. %1."/>
      <w:lvlJc w:val="center"/>
      <w:pPr>
        <w:ind w:left="0" w:hanging="0"/>
      </w:pPr>
      <w:rPr>
        <w:sz w:val="24"/>
        <w:i w:val="false"/>
        <w:b/>
        <w:szCs w:val="24"/>
        <w:iCs w:val="false"/>
        <w:bCs/>
        <w:rFonts w:cs="Arial"/>
      </w:r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abstractNum w:abstractNumId="2">
    <w:lvl w:ilvl="0">
      <w:start w:val="1"/>
      <w:numFmt w:val="decimal"/>
      <w:lvlText w:val="(%1)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3">
    <w:lvl w:ilvl="0">
      <w:start w:val="1"/>
      <w:numFmt w:val="decimal"/>
      <w:lvlText w:val="(%1)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i w:val="false"/>
        <w:b/>
        <w:iCs w:val="false"/>
        <w:bCs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sz w:val="16"/>
        <w:i w:val="false"/>
        <w:b w:val="false"/>
        <w:iCs w:val="false"/>
        <w:bCs w:val="false"/>
      </w:rPr>
    </w:lvl>
    <w:lvl w:ilvl="2">
      <w:start w:val="1"/>
      <w:numFmt w:val="decimal"/>
      <w:lvlText w:val="%3."/>
      <w:lvlJc w:val="left"/>
      <w:pPr>
        <w:tabs>
          <w:tab w:val="num" w:pos="1080"/>
        </w:tabs>
        <w:ind w:left="1080" w:hanging="360"/>
      </w:pPr>
      <w:rPr>
        <w:sz w:val="18"/>
        <w:i w:val="false"/>
        <w:b w:val="false"/>
        <w:iCs w:val="false"/>
        <w:bCs w:val="false"/>
      </w:rPr>
    </w:lvl>
    <w:lvl w:ilvl="3">
      <w:start w:val="1"/>
      <w:numFmt w:val="none"/>
      <w:suff w:val="nothing"/>
      <w:lvlText w:val=""/>
      <w:lvlJc w:val="left"/>
      <w:pPr>
        <w:ind w:left="1440" w:hanging="360"/>
      </w:pPr>
    </w:lvl>
    <w:lvl w:ilvl="4">
      <w:start w:val="1"/>
      <w:numFmt w:val="none"/>
      <w:suff w:val="nothing"/>
      <w:lvlText w:val=""/>
      <w:lvlJc w:val="left"/>
      <w:pPr>
        <w:ind w:left="1800" w:hanging="360"/>
      </w:pPr>
    </w:lvl>
    <w:lvl w:ilvl="5">
      <w:start w:val="1"/>
      <w:numFmt w:val="none"/>
      <w:suff w:val="nothing"/>
      <w:lvlText w:val=""/>
      <w:lvlJc w:val="left"/>
      <w:pPr>
        <w:ind w:left="2160" w:hanging="360"/>
      </w:pPr>
    </w:lvl>
    <w:lvl w:ilvl="6">
      <w:start w:val="1"/>
      <w:numFmt w:val="none"/>
      <w:suff w:val="nothing"/>
      <w:lvlText w:val=""/>
      <w:lvlJc w:val="left"/>
      <w:pPr>
        <w:ind w:left="2520" w:hanging="360"/>
      </w:pPr>
    </w:lvl>
    <w:lvl w:ilvl="7">
      <w:start w:val="1"/>
      <w:numFmt w:val="none"/>
      <w:suff w:val="nothing"/>
      <w:lvlText w:val=""/>
      <w:lvlJc w:val="left"/>
      <w:pPr>
        <w:ind w:left="2880" w:hanging="360"/>
      </w:pPr>
    </w:lvl>
    <w:lvl w:ilvl="8">
      <w:start w:val="1"/>
      <w:numFmt w:val="none"/>
      <w:suff w:val="nothing"/>
      <w:lvlText w:val=""/>
      <w:lvlJc w:val="left"/>
      <w:pPr>
        <w:ind w:left="3240" w:hanging="360"/>
      </w:pPr>
    </w:lvl>
  </w:abstractNum>
  <w:abstractNum w:abstractNumId="5">
    <w:lvl w:ilvl="0">
      <w:start w:val="1"/>
      <w:numFmt w:val="decimal"/>
      <w:lvlText w:val="(%1)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6"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Symbol" w:hint="default"/>
        <w:sz w:val="16"/>
        <w:b/>
        <w:rFonts w:cs="Symbol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  <w:rFonts w:cs="Courier New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cs="Wingdings" w:hint="default"/>
        <w:rFonts w:cs="Wingdings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cs="Symbol" w:hint="default"/>
        <w:rFonts w:cs="Symbol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  <w:rFonts w:cs="Courier New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cs="Wingdings" w:hint="default"/>
        <w:rFonts w:cs="Wingdings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cs="Symbol" w:hint="default"/>
        <w:rFonts w:cs="Symbol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  <w:rFonts w:cs="Courier New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cs="Wingdings" w:hint="default"/>
        <w:rFonts w:cs="Wingdings"/>
      </w:rPr>
    </w:lvl>
  </w:abstractNum>
  <w:abstractNum w:abstractNumId="8"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Symbol" w:hint="default"/>
        <w:sz w:val="16"/>
        <w:rFonts w:cs="Symbol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  <w:rFonts w:cs="Courier New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cs="Wingdings" w:hint="default"/>
        <w:rFonts w:cs="Wingdings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cs="Symbol" w:hint="default"/>
        <w:rFonts w:cs="Symbol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  <w:rFonts w:cs="Courier New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cs="Wingdings" w:hint="default"/>
        <w:rFonts w:cs="Wingdings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cs="Symbol" w:hint="default"/>
        <w:rFonts w:cs="Symbol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  <w:rFonts w:cs="Courier New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cs="Wingdings" w:hint="default"/>
        <w:rFonts w:cs="Wingdings"/>
      </w:rPr>
    </w:lvl>
  </w:abstractNum>
  <w:abstractNum w:abstractNumId="10"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lvl w:ilvl="0">
      <w:start w:val="1"/>
      <w:numFmt w:val="decimal"/>
      <w:lvlText w:val="%1."/>
      <w:lvlJc w:val="left"/>
      <w:pPr>
        <w:ind w:left="1068" w:hanging="360"/>
      </w:pPr>
    </w:lvl>
    <w:lvl w:ilvl="1">
      <w:start w:val="1"/>
      <w:numFmt w:val="lowerLetter"/>
      <w:lvlText w:val="%2."/>
      <w:lvlJc w:val="left"/>
      <w:pPr>
        <w:ind w:left="1788" w:hanging="360"/>
      </w:pPr>
    </w:lvl>
    <w:lvl w:ilvl="2">
      <w:start w:val="1"/>
      <w:numFmt w:val="lowerRoman"/>
      <w:lvlText w:val="%3."/>
      <w:lvlJc w:val="right"/>
      <w:pPr>
        <w:ind w:left="2508" w:hanging="180"/>
      </w:pPr>
    </w:lvl>
    <w:lvl w:ilvl="3">
      <w:start w:val="1"/>
      <w:numFmt w:val="decimal"/>
      <w:lvlText w:val="%4."/>
      <w:lvlJc w:val="left"/>
      <w:pPr>
        <w:ind w:left="3228" w:hanging="360"/>
      </w:pPr>
    </w:lvl>
    <w:lvl w:ilvl="4">
      <w:start w:val="1"/>
      <w:numFmt w:val="lowerLetter"/>
      <w:lvlText w:val="%5."/>
      <w:lvlJc w:val="left"/>
      <w:pPr>
        <w:ind w:left="3948" w:hanging="360"/>
      </w:pPr>
    </w:lvl>
    <w:lvl w:ilvl="5">
      <w:start w:val="1"/>
      <w:numFmt w:val="lowerRoman"/>
      <w:lvlText w:val="%6."/>
      <w:lvlJc w:val="right"/>
      <w:pPr>
        <w:ind w:left="4668" w:hanging="180"/>
      </w:pPr>
    </w:lvl>
    <w:lvl w:ilvl="6">
      <w:start w:val="1"/>
      <w:numFmt w:val="decimal"/>
      <w:lvlText w:val="%7."/>
      <w:lvlJc w:val="left"/>
      <w:pPr>
        <w:ind w:left="5388" w:hanging="360"/>
      </w:pPr>
    </w:lvl>
    <w:lvl w:ilvl="7">
      <w:start w:val="1"/>
      <w:numFmt w:val="lowerLetter"/>
      <w:lvlText w:val="%8."/>
      <w:lvlJc w:val="left"/>
      <w:pPr>
        <w:ind w:left="6108" w:hanging="360"/>
      </w:pPr>
    </w:lvl>
    <w:lvl w:ilvl="8">
      <w:start w:val="1"/>
      <w:numFmt w:val="lowerRoman"/>
      <w:lvlText w:val="%9."/>
      <w:lvlJc w:val="right"/>
      <w:pPr>
        <w:ind w:left="6828" w:hanging="180"/>
      </w:pPr>
    </w:lvl>
  </w:abstractNum>
  <w:abstractNum w:abstractNumId="14">
    <w:lvl w:ilvl="0">
      <w:start w:val="1"/>
      <w:numFmt w:val="decimal"/>
      <w:lvlText w:val="(%1)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15"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Symbol" w:hint="default"/>
        <w:sz w:val="16"/>
        <w:rFonts w:cs="Symbol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  <w:rFonts w:cs="Courier New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cs="Wingdings" w:hint="default"/>
        <w:rFonts w:cs="Wingdings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cs="Symbol" w:hint="default"/>
        <w:rFonts w:cs="Symbol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  <w:rFonts w:cs="Courier New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cs="Wingdings" w:hint="default"/>
        <w:rFonts w:cs="Wingdings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cs="Symbol" w:hint="default"/>
        <w:rFonts w:cs="Symbol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  <w:rFonts w:cs="Courier New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cs="Wingdings" w:hint="default"/>
        <w:rFonts w:cs="Wingdings"/>
      </w:rPr>
    </w:lvl>
  </w:abstractNum>
  <w:abstractNum w:abstractNumId="17">
    <w:lvl w:ilvl="0">
      <w:start w:val="1"/>
      <w:numFmt w:val="decimal"/>
      <w:lvlText w:val="(%1)"/>
      <w:lvlJc w:val="left"/>
      <w:pPr>
        <w:ind w:left="360" w:hanging="360"/>
      </w:pPr>
      <w:rPr>
        <w:sz w:val="16"/>
        <w:szCs w:val="16"/>
      </w:r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18"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9"/>
  </w:num>
  <w:num w:numId="10">
    <w:abstractNumId w:val="10"/>
  </w:num>
  <w:num w:numId="11">
    <w:abstractNumId w:val="11"/>
  </w:num>
  <w:num w:numId="12">
    <w:abstractNumId w:val="12"/>
  </w:num>
  <w:num w:numId="13">
    <w:abstractNumId w:val="13"/>
  </w:num>
  <w:num w:numId="14">
    <w:abstractNumId w:val="14"/>
  </w:num>
  <w:num w:numId="15">
    <w:abstractNumId w:val="15"/>
  </w:num>
  <w:num w:numId="16">
    <w:abstractNumId w:val="16"/>
  </w:num>
  <w:num w:numId="17">
    <w:abstractNumId w:val="17"/>
  </w:num>
  <w:num w:numId="18">
    <w:abstractNumId w:val="18"/>
  </w:num>
  <w:num w:numId="19">
    <w:abstractNumId w:val="19"/>
  </w:num>
</w:numbering>
</file>

<file path=word/settings.xml><?xml version="1.0" encoding="utf-8"?>
<w:settings xmlns:w="http://schemas.openxmlformats.org/wordprocessingml/2006/main">
  <w:zoom w:percent="120"/>
  <w:embedSystemFonts/>
  <w:defaultTabStop w:val="708"/>
  <w:compat/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Times New Roman" w:hAnsi="Times New Roman" w:eastAsia="Times New Roman" w:cs="Times New Roman"/>
        <w:szCs w:val="22"/>
        <w:lang w:val="sk-SK" w:eastAsia="sk-SK" w:bidi="ar-SA"/>
      </w:rPr>
    </w:rPrDefault>
    <w:pPrDefault>
      <w:pPr/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page number" w:unhideWhenUsed="0"/>
    <w:lsdException w:name="Title" w:uiPriority="10" w:semiHidden="0" w:unhideWhenUsed="0" w:qFormat="1"/>
    <w:lsdException w:name="Default Paragraph Font" w:unhideWhenUsed="0"/>
    <w:lsdException w:name="Body Text" w:unhideWhenUsed="0"/>
    <w:lsdException w:name="Subtitle" w:uiPriority="11" w:semiHidden="0" w:unhideWhenUsed="0" w:qFormat="1"/>
    <w:lsdException w:name="Strong" w:semiHidden="0" w:unhideWhenUsed="0" w:qFormat="1"/>
    <w:lsdException w:name="Emphasis" w:uiPriority="20" w:semiHidden="0" w:unhideWhenUsed="0" w:qFormat="1"/>
    <w:lsdException w:name="Balloon Text" w:unhideWhenUsed="0"/>
    <w:lsdException w:name="Table Grid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rsid w:val="00691dcc"/>
    <w:pPr>
      <w:widowControl/>
      <w:bidi w:val="0"/>
      <w:spacing w:lineRule="auto" w:line="360" w:before="120" w:after="120"/>
      <w:jc w:val="both"/>
    </w:pPr>
    <w:rPr>
      <w:rFonts w:ascii="Arial Narrow" w:hAnsi="Arial Narrow" w:eastAsia="Times New Roman" w:cs="Arial Narrow"/>
      <w:color w:val="00000A"/>
      <w:sz w:val="20"/>
      <w:szCs w:val="20"/>
      <w:lang w:val="sk-SK" w:eastAsia="cs-CZ" w:bidi="ar-SA"/>
    </w:rPr>
  </w:style>
  <w:style w:type="paragraph" w:styleId="Nadpis1" w:customStyle="1">
    <w:name w:val="Heading 1"/>
    <w:basedOn w:val="Normal"/>
    <w:link w:val="Nadpis1Char"/>
    <w:uiPriority w:val="99"/>
    <w:qFormat/>
    <w:rsid w:val="00d440d5"/>
    <w:pPr>
      <w:keepNext/>
      <w:numPr>
        <w:ilvl w:val="0"/>
        <w:numId w:val="1"/>
      </w:numPr>
      <w:spacing w:lineRule="auto" w:line="240"/>
      <w:jc w:val="center"/>
      <w:outlineLvl w:val="0"/>
      <w:outlineLvl w:val="0"/>
    </w:pPr>
    <w:rPr>
      <w:rFonts w:ascii="Cambria" w:hAnsi="Cambria" w:cs="Cambria"/>
      <w:b/>
      <w:bCs/>
      <w:sz w:val="32"/>
      <w:szCs w:val="32"/>
    </w:rPr>
  </w:style>
  <w:style w:type="paragraph" w:styleId="Nadpis2" w:customStyle="1">
    <w:name w:val="Heading 2"/>
    <w:basedOn w:val="Normal"/>
    <w:link w:val="Nadpis2Char"/>
    <w:uiPriority w:val="99"/>
    <w:qFormat/>
    <w:rsid w:val="00d440d5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 w:customStyle="1">
    <w:name w:val="Heading 3"/>
    <w:basedOn w:val="Normal"/>
    <w:link w:val="Nadpis3Char"/>
    <w:uiPriority w:val="99"/>
    <w:qFormat/>
    <w:rsid w:val="00945816"/>
    <w:pPr>
      <w:keepNext/>
      <w:spacing w:lineRule="auto" w:line="240" w:before="240" w:after="60"/>
      <w:jc w:val="left"/>
      <w:outlineLvl w:val="2"/>
    </w:pPr>
    <w:rPr>
      <w:rFonts w:ascii="Arial" w:hAnsi="Arial" w:cs="Arial"/>
      <w:b/>
      <w:bCs/>
      <w:sz w:val="26"/>
      <w:szCs w:val="26"/>
      <w:lang w:val="cs-CZ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Nadpis1Char" w:customStyle="1">
    <w:name w:val="Nadpis 1 Char"/>
    <w:basedOn w:val="DefaultParagraphFont"/>
    <w:link w:val="Heading1"/>
    <w:uiPriority w:val="99"/>
    <w:qFormat/>
    <w:rsid w:val="00a02c03"/>
    <w:rPr>
      <w:rFonts w:ascii="Cambria" w:hAnsi="Cambria" w:cs="Cambria"/>
      <w:b/>
      <w:bCs/>
      <w:sz w:val="32"/>
      <w:szCs w:val="32"/>
      <w:lang w:eastAsia="cs-CZ"/>
    </w:rPr>
  </w:style>
  <w:style w:type="character" w:styleId="Nadpis2Char" w:customStyle="1">
    <w:name w:val="Nadpis 2 Char"/>
    <w:basedOn w:val="DefaultParagraphFont"/>
    <w:link w:val="Heading2"/>
    <w:uiPriority w:val="99"/>
    <w:semiHidden/>
    <w:qFormat/>
    <w:rsid w:val="00a02c03"/>
    <w:rPr>
      <w:rFonts w:ascii="Cambria" w:hAnsi="Cambria" w:cs="Cambria"/>
      <w:b/>
      <w:bCs/>
      <w:i/>
      <w:iCs/>
      <w:sz w:val="28"/>
      <w:szCs w:val="28"/>
      <w:lang w:eastAsia="cs-CZ"/>
    </w:rPr>
  </w:style>
  <w:style w:type="character" w:styleId="Nadpis3Char" w:customStyle="1">
    <w:name w:val="Nadpis 3 Char"/>
    <w:basedOn w:val="DefaultParagraphFont"/>
    <w:link w:val="Heading3"/>
    <w:uiPriority w:val="99"/>
    <w:qFormat/>
    <w:rsid w:val="00945816"/>
    <w:rPr>
      <w:rFonts w:ascii="Arial" w:hAnsi="Arial" w:cs="Arial"/>
      <w:b/>
      <w:bCs/>
      <w:sz w:val="26"/>
      <w:szCs w:val="26"/>
      <w:lang w:val="cs-CZ" w:eastAsia="cs-CZ"/>
    </w:rPr>
  </w:style>
  <w:style w:type="character" w:styleId="TltlnzovChar115ptAntiqueOliveNiejeTun" w:customStyle="1">
    <w:name w:val="Štýl Štýl § názov Char + 115 pt + Antique Olive Nie je Tučné"/>
    <w:uiPriority w:val="99"/>
    <w:qFormat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character" w:styleId="ZpatChar" w:customStyle="1">
    <w:name w:val="Zápatí Char"/>
    <w:basedOn w:val="DefaultParagraphFont"/>
    <w:link w:val="Footer"/>
    <w:uiPriority w:val="99"/>
    <w:qFormat/>
    <w:rsid w:val="00a02c03"/>
    <w:rPr>
      <w:rFonts w:ascii="Arial" w:hAnsi="Arial" w:cs="Arial"/>
      <w:sz w:val="24"/>
      <w:szCs w:val="24"/>
      <w:lang w:eastAsia="cs-CZ"/>
    </w:rPr>
  </w:style>
  <w:style w:type="character" w:styleId="Pagenumber">
    <w:name w:val="page number"/>
    <w:basedOn w:val="DefaultParagraphFont"/>
    <w:uiPriority w:val="99"/>
    <w:qFormat/>
    <w:rsid w:val="0072048d"/>
    <w:rPr/>
  </w:style>
  <w:style w:type="character" w:styleId="Strong">
    <w:name w:val="Strong"/>
    <w:basedOn w:val="DefaultParagraphFont"/>
    <w:uiPriority w:val="99"/>
    <w:qFormat/>
    <w:rsid w:val="00db3c2d"/>
    <w:rPr>
      <w:b/>
      <w:bCs/>
    </w:rPr>
  </w:style>
  <w:style w:type="character" w:styleId="ZkladntextChar" w:customStyle="1">
    <w:name w:val="Základní text Char"/>
    <w:basedOn w:val="DefaultParagraphFont"/>
    <w:link w:val="Zkladntext"/>
    <w:uiPriority w:val="99"/>
    <w:qFormat/>
    <w:rsid w:val="00497323"/>
    <w:rPr>
      <w:rFonts w:ascii="Arial" w:hAnsi="Arial" w:cs="Arial"/>
      <w:sz w:val="24"/>
      <w:szCs w:val="24"/>
      <w:lang w:val="de-DE" w:eastAsia="cs-CZ"/>
    </w:rPr>
  </w:style>
  <w:style w:type="character" w:styleId="ZhlavChar" w:customStyle="1">
    <w:name w:val="Záhlaví Char"/>
    <w:basedOn w:val="DefaultParagraphFont"/>
    <w:link w:val="Header"/>
    <w:uiPriority w:val="99"/>
    <w:qFormat/>
    <w:rsid w:val="00804636"/>
    <w:rPr>
      <w:rFonts w:ascii="Arial Narrow" w:hAnsi="Arial Narrow" w:cs="Arial Narrow"/>
      <w:sz w:val="24"/>
      <w:szCs w:val="24"/>
      <w:lang w:eastAsia="cs-CZ"/>
    </w:rPr>
  </w:style>
  <w:style w:type="character" w:styleId="TextbublinyChar" w:customStyle="1">
    <w:name w:val="Text bubliny Char"/>
    <w:basedOn w:val="DefaultParagraphFont"/>
    <w:link w:val="Textbubliny"/>
    <w:uiPriority w:val="99"/>
    <w:semiHidden/>
    <w:qFormat/>
    <w:rsid w:val="001058f5"/>
    <w:rPr>
      <w:rFonts w:ascii="Tahoma" w:hAnsi="Tahoma" w:cs="Tahoma"/>
      <w:sz w:val="16"/>
      <w:szCs w:val="16"/>
      <w:lang w:eastAsia="cs-CZ"/>
    </w:rPr>
  </w:style>
  <w:style w:type="character" w:styleId="ListLabel1" w:customStyle="1">
    <w:name w:val="ListLabel 1"/>
    <w:qFormat/>
    <w:rsid w:val="00ce3333"/>
    <w:rPr>
      <w:rFonts w:cs="Arial"/>
      <w:b/>
      <w:bCs/>
      <w:i w:val="false"/>
      <w:iCs w:val="false"/>
      <w:sz w:val="24"/>
      <w:szCs w:val="24"/>
    </w:rPr>
  </w:style>
  <w:style w:type="character" w:styleId="ListLabel2" w:customStyle="1">
    <w:name w:val="ListLabel 2"/>
    <w:qFormat/>
    <w:rsid w:val="00ce3333"/>
    <w:rPr>
      <w:b w:val="false"/>
      <w:bCs w:val="false"/>
      <w:i w:val="false"/>
      <w:iCs w:val="false"/>
    </w:rPr>
  </w:style>
  <w:style w:type="character" w:styleId="ListLabel3" w:customStyle="1">
    <w:name w:val="ListLabel 3"/>
    <w:qFormat/>
    <w:rsid w:val="00ce3333"/>
    <w:rPr>
      <w:rFonts w:cs="Arial"/>
      <w:b/>
      <w:bCs/>
      <w:i w:val="false"/>
      <w:iCs w:val="false"/>
      <w:sz w:val="24"/>
      <w:szCs w:val="24"/>
    </w:rPr>
  </w:style>
  <w:style w:type="character" w:styleId="ListLabel4" w:customStyle="1">
    <w:name w:val="ListLabel 4"/>
    <w:qFormat/>
    <w:rsid w:val="00ce3333"/>
    <w:rPr>
      <w:b w:val="false"/>
      <w:bCs w:val="false"/>
      <w:i w:val="false"/>
      <w:iCs w:val="false"/>
    </w:rPr>
  </w:style>
  <w:style w:type="character" w:styleId="ListLabel5" w:customStyle="1">
    <w:name w:val="ListLabel 5"/>
    <w:qFormat/>
    <w:rsid w:val="00ce3333"/>
    <w:rPr>
      <w:b/>
      <w:bCs/>
      <w:i w:val="false"/>
      <w:iCs w:val="false"/>
    </w:rPr>
  </w:style>
  <w:style w:type="character" w:styleId="ListLabel6" w:customStyle="1">
    <w:name w:val="ListLabel 6"/>
    <w:qFormat/>
    <w:rsid w:val="00ce3333"/>
    <w:rPr>
      <w:rFonts w:cs="Arial Narrow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A"/>
      <w:spacing w:val="0"/>
      <w:w w:val="100"/>
      <w:position w:val="0"/>
      <w:sz w:val="24"/>
      <w:sz w:val="24"/>
      <w:szCs w:val="24"/>
      <w:u w:val="none"/>
      <w:vertAlign w:val="baseline"/>
    </w:rPr>
  </w:style>
  <w:style w:type="character" w:styleId="ListLabel7" w:customStyle="1">
    <w:name w:val="ListLabel 7"/>
    <w:qFormat/>
    <w:rsid w:val="00ce3333"/>
    <w:rPr>
      <w:rFonts w:cs="Arial Narrow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A"/>
      <w:spacing w:val="0"/>
      <w:w w:val="100"/>
      <w:position w:val="0"/>
      <w:sz w:val="24"/>
      <w:sz w:val="24"/>
      <w:szCs w:val="24"/>
      <w:u w:val="none"/>
      <w:vertAlign w:val="baseline"/>
    </w:rPr>
  </w:style>
  <w:style w:type="character" w:styleId="ListLabel8" w:customStyle="1">
    <w:name w:val="ListLabel 8"/>
    <w:qFormat/>
    <w:rsid w:val="00ce3333"/>
    <w:rPr>
      <w:b/>
      <w:bCs/>
      <w:i w:val="false"/>
      <w:iCs w:val="false"/>
    </w:rPr>
  </w:style>
  <w:style w:type="character" w:styleId="ListLabel9" w:customStyle="1">
    <w:name w:val="ListLabel 9"/>
    <w:qFormat/>
    <w:rsid w:val="00ce3333"/>
    <w:rPr>
      <w:b w:val="false"/>
      <w:bCs w:val="false"/>
      <w:i w:val="false"/>
      <w:iCs w:val="false"/>
      <w:sz w:val="16"/>
    </w:rPr>
  </w:style>
  <w:style w:type="character" w:styleId="ListLabel10" w:customStyle="1">
    <w:name w:val="ListLabel 10"/>
    <w:qFormat/>
    <w:rsid w:val="00ce3333"/>
    <w:rPr>
      <w:b w:val="false"/>
      <w:bCs w:val="false"/>
      <w:i w:val="false"/>
      <w:iCs w:val="false"/>
      <w:sz w:val="18"/>
    </w:rPr>
  </w:style>
  <w:style w:type="character" w:styleId="ListLabel11" w:customStyle="1">
    <w:name w:val="ListLabel 11"/>
    <w:qFormat/>
    <w:rsid w:val="00ce3333"/>
    <w:rPr>
      <w:rFonts w:cs="Symbol"/>
      <w:b/>
      <w:sz w:val="16"/>
    </w:rPr>
  </w:style>
  <w:style w:type="character" w:styleId="ListLabel12" w:customStyle="1">
    <w:name w:val="ListLabel 12"/>
    <w:qFormat/>
    <w:rsid w:val="00ce3333"/>
    <w:rPr>
      <w:rFonts w:cs="Courier New"/>
    </w:rPr>
  </w:style>
  <w:style w:type="character" w:styleId="ListLabel13" w:customStyle="1">
    <w:name w:val="ListLabel 13"/>
    <w:qFormat/>
    <w:rsid w:val="00ce3333"/>
    <w:rPr>
      <w:rFonts w:cs="Wingdings"/>
    </w:rPr>
  </w:style>
  <w:style w:type="character" w:styleId="ListLabel14" w:customStyle="1">
    <w:name w:val="ListLabel 14"/>
    <w:qFormat/>
    <w:rsid w:val="00ce3333"/>
    <w:rPr>
      <w:rFonts w:cs="Symbol"/>
    </w:rPr>
  </w:style>
  <w:style w:type="character" w:styleId="ListLabel15" w:customStyle="1">
    <w:name w:val="ListLabel 15"/>
    <w:qFormat/>
    <w:rsid w:val="00ce3333"/>
    <w:rPr>
      <w:rFonts w:cs="Courier New"/>
    </w:rPr>
  </w:style>
  <w:style w:type="character" w:styleId="ListLabel16" w:customStyle="1">
    <w:name w:val="ListLabel 16"/>
    <w:qFormat/>
    <w:rsid w:val="00ce3333"/>
    <w:rPr>
      <w:rFonts w:cs="Wingdings"/>
    </w:rPr>
  </w:style>
  <w:style w:type="character" w:styleId="ListLabel17" w:customStyle="1">
    <w:name w:val="ListLabel 17"/>
    <w:qFormat/>
    <w:rsid w:val="00ce3333"/>
    <w:rPr>
      <w:rFonts w:cs="Symbol"/>
    </w:rPr>
  </w:style>
  <w:style w:type="character" w:styleId="ListLabel18" w:customStyle="1">
    <w:name w:val="ListLabel 18"/>
    <w:qFormat/>
    <w:rsid w:val="00ce3333"/>
    <w:rPr>
      <w:rFonts w:cs="Courier New"/>
    </w:rPr>
  </w:style>
  <w:style w:type="character" w:styleId="ListLabel19" w:customStyle="1">
    <w:name w:val="ListLabel 19"/>
    <w:qFormat/>
    <w:rsid w:val="00ce3333"/>
    <w:rPr>
      <w:rFonts w:cs="Wingdings"/>
    </w:rPr>
  </w:style>
  <w:style w:type="character" w:styleId="ListLabel20" w:customStyle="1">
    <w:name w:val="ListLabel 20"/>
    <w:qFormat/>
    <w:rsid w:val="00ce3333"/>
    <w:rPr>
      <w:rFonts w:cs="Symbol"/>
      <w:sz w:val="16"/>
    </w:rPr>
  </w:style>
  <w:style w:type="character" w:styleId="ListLabel21" w:customStyle="1">
    <w:name w:val="ListLabel 21"/>
    <w:qFormat/>
    <w:rsid w:val="00ce3333"/>
    <w:rPr>
      <w:rFonts w:cs="Courier New"/>
    </w:rPr>
  </w:style>
  <w:style w:type="character" w:styleId="ListLabel22" w:customStyle="1">
    <w:name w:val="ListLabel 22"/>
    <w:qFormat/>
    <w:rsid w:val="00ce3333"/>
    <w:rPr>
      <w:rFonts w:cs="Wingdings"/>
    </w:rPr>
  </w:style>
  <w:style w:type="character" w:styleId="ListLabel23" w:customStyle="1">
    <w:name w:val="ListLabel 23"/>
    <w:qFormat/>
    <w:rsid w:val="00ce3333"/>
    <w:rPr>
      <w:rFonts w:cs="Symbol"/>
    </w:rPr>
  </w:style>
  <w:style w:type="character" w:styleId="ListLabel24" w:customStyle="1">
    <w:name w:val="ListLabel 24"/>
    <w:qFormat/>
    <w:rsid w:val="00ce3333"/>
    <w:rPr>
      <w:rFonts w:cs="Courier New"/>
    </w:rPr>
  </w:style>
  <w:style w:type="character" w:styleId="ListLabel25" w:customStyle="1">
    <w:name w:val="ListLabel 25"/>
    <w:qFormat/>
    <w:rsid w:val="00ce3333"/>
    <w:rPr>
      <w:rFonts w:cs="Wingdings"/>
    </w:rPr>
  </w:style>
  <w:style w:type="character" w:styleId="ListLabel26" w:customStyle="1">
    <w:name w:val="ListLabel 26"/>
    <w:qFormat/>
    <w:rsid w:val="00ce3333"/>
    <w:rPr>
      <w:rFonts w:cs="Symbol"/>
    </w:rPr>
  </w:style>
  <w:style w:type="character" w:styleId="ListLabel27" w:customStyle="1">
    <w:name w:val="ListLabel 27"/>
    <w:qFormat/>
    <w:rsid w:val="00ce3333"/>
    <w:rPr>
      <w:rFonts w:cs="Courier New"/>
    </w:rPr>
  </w:style>
  <w:style w:type="character" w:styleId="ListLabel28" w:customStyle="1">
    <w:name w:val="ListLabel 28"/>
    <w:qFormat/>
    <w:rsid w:val="00ce3333"/>
    <w:rPr>
      <w:rFonts w:cs="Wingdings"/>
    </w:rPr>
  </w:style>
  <w:style w:type="character" w:styleId="ListLabel29" w:customStyle="1">
    <w:name w:val="ListLabel 29"/>
    <w:qFormat/>
    <w:rsid w:val="00ce3333"/>
    <w:rPr>
      <w:rFonts w:cs="Symbol"/>
      <w:sz w:val="16"/>
    </w:rPr>
  </w:style>
  <w:style w:type="character" w:styleId="ListLabel30" w:customStyle="1">
    <w:name w:val="ListLabel 30"/>
    <w:qFormat/>
    <w:rsid w:val="00ce3333"/>
    <w:rPr>
      <w:rFonts w:cs="Courier New"/>
    </w:rPr>
  </w:style>
  <w:style w:type="character" w:styleId="ListLabel31" w:customStyle="1">
    <w:name w:val="ListLabel 31"/>
    <w:qFormat/>
    <w:rsid w:val="00ce3333"/>
    <w:rPr>
      <w:rFonts w:cs="Wingdings"/>
    </w:rPr>
  </w:style>
  <w:style w:type="character" w:styleId="ListLabel32" w:customStyle="1">
    <w:name w:val="ListLabel 32"/>
    <w:qFormat/>
    <w:rsid w:val="00ce3333"/>
    <w:rPr>
      <w:rFonts w:cs="Symbol"/>
    </w:rPr>
  </w:style>
  <w:style w:type="character" w:styleId="ListLabel33" w:customStyle="1">
    <w:name w:val="ListLabel 33"/>
    <w:qFormat/>
    <w:rsid w:val="00ce3333"/>
    <w:rPr>
      <w:rFonts w:cs="Courier New"/>
    </w:rPr>
  </w:style>
  <w:style w:type="character" w:styleId="ListLabel34" w:customStyle="1">
    <w:name w:val="ListLabel 34"/>
    <w:qFormat/>
    <w:rsid w:val="00ce3333"/>
    <w:rPr>
      <w:rFonts w:cs="Wingdings"/>
    </w:rPr>
  </w:style>
  <w:style w:type="character" w:styleId="ListLabel35" w:customStyle="1">
    <w:name w:val="ListLabel 35"/>
    <w:qFormat/>
    <w:rsid w:val="00ce3333"/>
    <w:rPr>
      <w:rFonts w:cs="Symbol"/>
    </w:rPr>
  </w:style>
  <w:style w:type="character" w:styleId="ListLabel36" w:customStyle="1">
    <w:name w:val="ListLabel 36"/>
    <w:qFormat/>
    <w:rsid w:val="00ce3333"/>
    <w:rPr>
      <w:rFonts w:cs="Courier New"/>
    </w:rPr>
  </w:style>
  <w:style w:type="character" w:styleId="ListLabel37" w:customStyle="1">
    <w:name w:val="ListLabel 37"/>
    <w:qFormat/>
    <w:rsid w:val="00ce3333"/>
    <w:rPr>
      <w:rFonts w:cs="Wingdings"/>
    </w:rPr>
  </w:style>
  <w:style w:type="character" w:styleId="ListLabel38" w:customStyle="1">
    <w:name w:val="ListLabel 38"/>
    <w:qFormat/>
    <w:rsid w:val="00ce3333"/>
    <w:rPr>
      <w:rFonts w:cs="Arial Narrow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A"/>
      <w:spacing w:val="0"/>
      <w:w w:val="100"/>
      <w:position w:val="0"/>
      <w:sz w:val="24"/>
      <w:sz w:val="24"/>
      <w:szCs w:val="24"/>
      <w:u w:val="none"/>
      <w:vertAlign w:val="baseline"/>
    </w:rPr>
  </w:style>
  <w:style w:type="character" w:styleId="ListLabel39" w:customStyle="1">
    <w:name w:val="ListLabel 39"/>
    <w:qFormat/>
    <w:rsid w:val="00ce3333"/>
    <w:rPr>
      <w:rFonts w:cs="Arial"/>
      <w:b/>
      <w:bCs/>
      <w:i w:val="false"/>
      <w:iCs w:val="false"/>
      <w:sz w:val="24"/>
      <w:szCs w:val="24"/>
    </w:rPr>
  </w:style>
  <w:style w:type="character" w:styleId="ListLabel40" w:customStyle="1">
    <w:name w:val="ListLabel 40"/>
    <w:qFormat/>
    <w:rsid w:val="00ce3333"/>
    <w:rPr>
      <w:b/>
      <w:bCs/>
      <w:i w:val="false"/>
      <w:iCs w:val="false"/>
    </w:rPr>
  </w:style>
  <w:style w:type="character" w:styleId="ListLabel41" w:customStyle="1">
    <w:name w:val="ListLabel 41"/>
    <w:qFormat/>
    <w:rsid w:val="00ce3333"/>
    <w:rPr>
      <w:b w:val="false"/>
      <w:bCs w:val="false"/>
      <w:i w:val="false"/>
      <w:iCs w:val="false"/>
      <w:sz w:val="16"/>
    </w:rPr>
  </w:style>
  <w:style w:type="character" w:styleId="ListLabel42" w:customStyle="1">
    <w:name w:val="ListLabel 42"/>
    <w:qFormat/>
    <w:rsid w:val="00ce3333"/>
    <w:rPr>
      <w:b w:val="false"/>
      <w:bCs w:val="false"/>
      <w:i w:val="false"/>
      <w:iCs w:val="false"/>
      <w:sz w:val="18"/>
    </w:rPr>
  </w:style>
  <w:style w:type="character" w:styleId="ListLabel43" w:customStyle="1">
    <w:name w:val="ListLabel 43"/>
    <w:qFormat/>
    <w:rsid w:val="00ce3333"/>
    <w:rPr>
      <w:rFonts w:cs="Symbol"/>
      <w:b/>
      <w:sz w:val="16"/>
    </w:rPr>
  </w:style>
  <w:style w:type="character" w:styleId="ListLabel44" w:customStyle="1">
    <w:name w:val="ListLabel 44"/>
    <w:qFormat/>
    <w:rsid w:val="00ce3333"/>
    <w:rPr>
      <w:rFonts w:cs="Courier New"/>
    </w:rPr>
  </w:style>
  <w:style w:type="character" w:styleId="ListLabel45" w:customStyle="1">
    <w:name w:val="ListLabel 45"/>
    <w:qFormat/>
    <w:rsid w:val="00ce3333"/>
    <w:rPr>
      <w:rFonts w:cs="Wingdings"/>
    </w:rPr>
  </w:style>
  <w:style w:type="character" w:styleId="ListLabel46" w:customStyle="1">
    <w:name w:val="ListLabel 46"/>
    <w:qFormat/>
    <w:rsid w:val="00ce3333"/>
    <w:rPr>
      <w:rFonts w:cs="Symbol"/>
    </w:rPr>
  </w:style>
  <w:style w:type="character" w:styleId="ListLabel47" w:customStyle="1">
    <w:name w:val="ListLabel 47"/>
    <w:qFormat/>
    <w:rsid w:val="00ce3333"/>
    <w:rPr>
      <w:rFonts w:cs="Courier New"/>
    </w:rPr>
  </w:style>
  <w:style w:type="character" w:styleId="ListLabel48" w:customStyle="1">
    <w:name w:val="ListLabel 48"/>
    <w:qFormat/>
    <w:rsid w:val="00ce3333"/>
    <w:rPr>
      <w:rFonts w:cs="Wingdings"/>
    </w:rPr>
  </w:style>
  <w:style w:type="character" w:styleId="ListLabel49" w:customStyle="1">
    <w:name w:val="ListLabel 49"/>
    <w:qFormat/>
    <w:rsid w:val="00ce3333"/>
    <w:rPr>
      <w:rFonts w:cs="Symbol"/>
    </w:rPr>
  </w:style>
  <w:style w:type="character" w:styleId="ListLabel50" w:customStyle="1">
    <w:name w:val="ListLabel 50"/>
    <w:qFormat/>
    <w:rsid w:val="00ce3333"/>
    <w:rPr>
      <w:rFonts w:cs="Courier New"/>
    </w:rPr>
  </w:style>
  <w:style w:type="character" w:styleId="ListLabel51" w:customStyle="1">
    <w:name w:val="ListLabel 51"/>
    <w:qFormat/>
    <w:rsid w:val="00ce3333"/>
    <w:rPr>
      <w:rFonts w:cs="Wingdings"/>
    </w:rPr>
  </w:style>
  <w:style w:type="character" w:styleId="ListLabel52" w:customStyle="1">
    <w:name w:val="ListLabel 52"/>
    <w:qFormat/>
    <w:rsid w:val="00ce3333"/>
    <w:rPr>
      <w:rFonts w:cs="Symbol"/>
      <w:sz w:val="16"/>
    </w:rPr>
  </w:style>
  <w:style w:type="character" w:styleId="ListLabel53" w:customStyle="1">
    <w:name w:val="ListLabel 53"/>
    <w:qFormat/>
    <w:rsid w:val="00ce3333"/>
    <w:rPr>
      <w:rFonts w:cs="Courier New"/>
    </w:rPr>
  </w:style>
  <w:style w:type="character" w:styleId="ListLabel54" w:customStyle="1">
    <w:name w:val="ListLabel 54"/>
    <w:qFormat/>
    <w:rsid w:val="00ce3333"/>
    <w:rPr>
      <w:rFonts w:cs="Wingdings"/>
    </w:rPr>
  </w:style>
  <w:style w:type="character" w:styleId="ListLabel55" w:customStyle="1">
    <w:name w:val="ListLabel 55"/>
    <w:qFormat/>
    <w:rsid w:val="00ce3333"/>
    <w:rPr>
      <w:rFonts w:cs="Symbol"/>
    </w:rPr>
  </w:style>
  <w:style w:type="character" w:styleId="ListLabel56" w:customStyle="1">
    <w:name w:val="ListLabel 56"/>
    <w:qFormat/>
    <w:rsid w:val="00ce3333"/>
    <w:rPr>
      <w:rFonts w:cs="Courier New"/>
    </w:rPr>
  </w:style>
  <w:style w:type="character" w:styleId="ListLabel57" w:customStyle="1">
    <w:name w:val="ListLabel 57"/>
    <w:qFormat/>
    <w:rsid w:val="00ce3333"/>
    <w:rPr>
      <w:rFonts w:cs="Wingdings"/>
    </w:rPr>
  </w:style>
  <w:style w:type="character" w:styleId="ListLabel58" w:customStyle="1">
    <w:name w:val="ListLabel 58"/>
    <w:qFormat/>
    <w:rsid w:val="00ce3333"/>
    <w:rPr>
      <w:rFonts w:cs="Symbol"/>
    </w:rPr>
  </w:style>
  <w:style w:type="character" w:styleId="ListLabel59" w:customStyle="1">
    <w:name w:val="ListLabel 59"/>
    <w:qFormat/>
    <w:rsid w:val="00ce3333"/>
    <w:rPr>
      <w:rFonts w:cs="Courier New"/>
    </w:rPr>
  </w:style>
  <w:style w:type="character" w:styleId="ListLabel60" w:customStyle="1">
    <w:name w:val="ListLabel 60"/>
    <w:qFormat/>
    <w:rsid w:val="00ce3333"/>
    <w:rPr>
      <w:rFonts w:cs="Wingdings"/>
    </w:rPr>
  </w:style>
  <w:style w:type="character" w:styleId="ListLabel61" w:customStyle="1">
    <w:name w:val="ListLabel 61"/>
    <w:qFormat/>
    <w:rsid w:val="00ce3333"/>
    <w:rPr>
      <w:rFonts w:cs="Symbol"/>
      <w:sz w:val="16"/>
    </w:rPr>
  </w:style>
  <w:style w:type="character" w:styleId="ListLabel62" w:customStyle="1">
    <w:name w:val="ListLabel 62"/>
    <w:qFormat/>
    <w:rsid w:val="00ce3333"/>
    <w:rPr>
      <w:rFonts w:cs="Courier New"/>
    </w:rPr>
  </w:style>
  <w:style w:type="character" w:styleId="ListLabel63" w:customStyle="1">
    <w:name w:val="ListLabel 63"/>
    <w:qFormat/>
    <w:rsid w:val="00ce3333"/>
    <w:rPr>
      <w:rFonts w:cs="Wingdings"/>
    </w:rPr>
  </w:style>
  <w:style w:type="character" w:styleId="ListLabel64" w:customStyle="1">
    <w:name w:val="ListLabel 64"/>
    <w:qFormat/>
    <w:rsid w:val="00ce3333"/>
    <w:rPr>
      <w:rFonts w:cs="Symbol"/>
    </w:rPr>
  </w:style>
  <w:style w:type="character" w:styleId="ListLabel65" w:customStyle="1">
    <w:name w:val="ListLabel 65"/>
    <w:qFormat/>
    <w:rsid w:val="00ce3333"/>
    <w:rPr>
      <w:rFonts w:cs="Courier New"/>
    </w:rPr>
  </w:style>
  <w:style w:type="character" w:styleId="ListLabel66" w:customStyle="1">
    <w:name w:val="ListLabel 66"/>
    <w:qFormat/>
    <w:rsid w:val="00ce3333"/>
    <w:rPr>
      <w:rFonts w:cs="Wingdings"/>
    </w:rPr>
  </w:style>
  <w:style w:type="character" w:styleId="ListLabel67" w:customStyle="1">
    <w:name w:val="ListLabel 67"/>
    <w:qFormat/>
    <w:rsid w:val="00ce3333"/>
    <w:rPr>
      <w:rFonts w:cs="Symbol"/>
    </w:rPr>
  </w:style>
  <w:style w:type="character" w:styleId="ListLabel68" w:customStyle="1">
    <w:name w:val="ListLabel 68"/>
    <w:qFormat/>
    <w:rsid w:val="00ce3333"/>
    <w:rPr>
      <w:rFonts w:cs="Courier New"/>
    </w:rPr>
  </w:style>
  <w:style w:type="character" w:styleId="ListLabel69" w:customStyle="1">
    <w:name w:val="ListLabel 69"/>
    <w:qFormat/>
    <w:rsid w:val="00ce3333"/>
    <w:rPr>
      <w:rFonts w:cs="Wingdings"/>
    </w:rPr>
  </w:style>
  <w:style w:type="character" w:styleId="ListLabel70" w:customStyle="1">
    <w:name w:val="ListLabel 70"/>
    <w:qFormat/>
    <w:rsid w:val="00ce3333"/>
    <w:rPr>
      <w:rFonts w:cs="Arial"/>
      <w:b/>
      <w:bCs/>
      <w:i w:val="false"/>
      <w:iCs w:val="false"/>
      <w:sz w:val="24"/>
      <w:szCs w:val="24"/>
    </w:rPr>
  </w:style>
  <w:style w:type="character" w:styleId="ListLabel71" w:customStyle="1">
    <w:name w:val="ListLabel 71"/>
    <w:qFormat/>
    <w:rsid w:val="00ce3333"/>
    <w:rPr>
      <w:b/>
      <w:bCs/>
      <w:i w:val="false"/>
      <w:iCs w:val="false"/>
    </w:rPr>
  </w:style>
  <w:style w:type="character" w:styleId="ListLabel72" w:customStyle="1">
    <w:name w:val="ListLabel 72"/>
    <w:qFormat/>
    <w:rsid w:val="00ce3333"/>
    <w:rPr>
      <w:b w:val="false"/>
      <w:bCs w:val="false"/>
      <w:i w:val="false"/>
      <w:iCs w:val="false"/>
      <w:sz w:val="16"/>
    </w:rPr>
  </w:style>
  <w:style w:type="character" w:styleId="ListLabel73" w:customStyle="1">
    <w:name w:val="ListLabel 73"/>
    <w:qFormat/>
    <w:rsid w:val="00ce3333"/>
    <w:rPr>
      <w:b w:val="false"/>
      <w:bCs w:val="false"/>
      <w:i w:val="false"/>
      <w:iCs w:val="false"/>
      <w:sz w:val="18"/>
    </w:rPr>
  </w:style>
  <w:style w:type="character" w:styleId="ListLabel74" w:customStyle="1">
    <w:name w:val="ListLabel 74"/>
    <w:qFormat/>
    <w:rsid w:val="00ce3333"/>
    <w:rPr>
      <w:rFonts w:cs="Symbol"/>
      <w:b/>
      <w:sz w:val="16"/>
    </w:rPr>
  </w:style>
  <w:style w:type="character" w:styleId="ListLabel75" w:customStyle="1">
    <w:name w:val="ListLabel 75"/>
    <w:qFormat/>
    <w:rsid w:val="00ce3333"/>
    <w:rPr>
      <w:rFonts w:cs="Courier New"/>
    </w:rPr>
  </w:style>
  <w:style w:type="character" w:styleId="ListLabel76" w:customStyle="1">
    <w:name w:val="ListLabel 76"/>
    <w:qFormat/>
    <w:rsid w:val="00ce3333"/>
    <w:rPr>
      <w:rFonts w:cs="Wingdings"/>
    </w:rPr>
  </w:style>
  <w:style w:type="character" w:styleId="ListLabel77" w:customStyle="1">
    <w:name w:val="ListLabel 77"/>
    <w:qFormat/>
    <w:rsid w:val="00ce3333"/>
    <w:rPr>
      <w:rFonts w:cs="Symbol"/>
    </w:rPr>
  </w:style>
  <w:style w:type="character" w:styleId="ListLabel78" w:customStyle="1">
    <w:name w:val="ListLabel 78"/>
    <w:qFormat/>
    <w:rsid w:val="00ce3333"/>
    <w:rPr>
      <w:rFonts w:cs="Courier New"/>
    </w:rPr>
  </w:style>
  <w:style w:type="character" w:styleId="ListLabel79" w:customStyle="1">
    <w:name w:val="ListLabel 79"/>
    <w:qFormat/>
    <w:rsid w:val="00ce3333"/>
    <w:rPr>
      <w:rFonts w:cs="Wingdings"/>
    </w:rPr>
  </w:style>
  <w:style w:type="character" w:styleId="ListLabel80" w:customStyle="1">
    <w:name w:val="ListLabel 80"/>
    <w:qFormat/>
    <w:rsid w:val="00ce3333"/>
    <w:rPr>
      <w:rFonts w:cs="Symbol"/>
    </w:rPr>
  </w:style>
  <w:style w:type="character" w:styleId="ListLabel81" w:customStyle="1">
    <w:name w:val="ListLabel 81"/>
    <w:qFormat/>
    <w:rsid w:val="00ce3333"/>
    <w:rPr>
      <w:rFonts w:cs="Courier New"/>
    </w:rPr>
  </w:style>
  <w:style w:type="character" w:styleId="ListLabel82" w:customStyle="1">
    <w:name w:val="ListLabel 82"/>
    <w:qFormat/>
    <w:rsid w:val="00ce3333"/>
    <w:rPr>
      <w:rFonts w:cs="Wingdings"/>
    </w:rPr>
  </w:style>
  <w:style w:type="character" w:styleId="ListLabel83" w:customStyle="1">
    <w:name w:val="ListLabel 83"/>
    <w:qFormat/>
    <w:rsid w:val="00ce3333"/>
    <w:rPr>
      <w:rFonts w:cs="Symbol"/>
      <w:sz w:val="16"/>
    </w:rPr>
  </w:style>
  <w:style w:type="character" w:styleId="ListLabel84" w:customStyle="1">
    <w:name w:val="ListLabel 84"/>
    <w:qFormat/>
    <w:rsid w:val="00ce3333"/>
    <w:rPr>
      <w:rFonts w:cs="Courier New"/>
    </w:rPr>
  </w:style>
  <w:style w:type="character" w:styleId="ListLabel85" w:customStyle="1">
    <w:name w:val="ListLabel 85"/>
    <w:qFormat/>
    <w:rsid w:val="00ce3333"/>
    <w:rPr>
      <w:rFonts w:cs="Wingdings"/>
    </w:rPr>
  </w:style>
  <w:style w:type="character" w:styleId="ListLabel86" w:customStyle="1">
    <w:name w:val="ListLabel 86"/>
    <w:qFormat/>
    <w:rsid w:val="00ce3333"/>
    <w:rPr>
      <w:rFonts w:cs="Symbol"/>
    </w:rPr>
  </w:style>
  <w:style w:type="character" w:styleId="ListLabel87" w:customStyle="1">
    <w:name w:val="ListLabel 87"/>
    <w:qFormat/>
    <w:rsid w:val="00ce3333"/>
    <w:rPr>
      <w:rFonts w:cs="Courier New"/>
    </w:rPr>
  </w:style>
  <w:style w:type="character" w:styleId="ListLabel88" w:customStyle="1">
    <w:name w:val="ListLabel 88"/>
    <w:qFormat/>
    <w:rsid w:val="00ce3333"/>
    <w:rPr>
      <w:rFonts w:cs="Wingdings"/>
    </w:rPr>
  </w:style>
  <w:style w:type="character" w:styleId="ListLabel89" w:customStyle="1">
    <w:name w:val="ListLabel 89"/>
    <w:qFormat/>
    <w:rsid w:val="00ce3333"/>
    <w:rPr>
      <w:rFonts w:cs="Symbol"/>
    </w:rPr>
  </w:style>
  <w:style w:type="character" w:styleId="ListLabel90" w:customStyle="1">
    <w:name w:val="ListLabel 90"/>
    <w:qFormat/>
    <w:rsid w:val="00ce3333"/>
    <w:rPr>
      <w:rFonts w:cs="Courier New"/>
    </w:rPr>
  </w:style>
  <w:style w:type="character" w:styleId="ListLabel91" w:customStyle="1">
    <w:name w:val="ListLabel 91"/>
    <w:qFormat/>
    <w:rsid w:val="00ce3333"/>
    <w:rPr>
      <w:rFonts w:cs="Wingdings"/>
    </w:rPr>
  </w:style>
  <w:style w:type="character" w:styleId="ListLabel92" w:customStyle="1">
    <w:name w:val="ListLabel 92"/>
    <w:qFormat/>
    <w:rsid w:val="00ce3333"/>
    <w:rPr>
      <w:rFonts w:cs="Symbol"/>
      <w:sz w:val="16"/>
    </w:rPr>
  </w:style>
  <w:style w:type="character" w:styleId="ListLabel93" w:customStyle="1">
    <w:name w:val="ListLabel 93"/>
    <w:qFormat/>
    <w:rsid w:val="00ce3333"/>
    <w:rPr>
      <w:rFonts w:cs="Courier New"/>
    </w:rPr>
  </w:style>
  <w:style w:type="character" w:styleId="ListLabel94" w:customStyle="1">
    <w:name w:val="ListLabel 94"/>
    <w:qFormat/>
    <w:rsid w:val="00ce3333"/>
    <w:rPr>
      <w:rFonts w:cs="Wingdings"/>
    </w:rPr>
  </w:style>
  <w:style w:type="character" w:styleId="ListLabel95" w:customStyle="1">
    <w:name w:val="ListLabel 95"/>
    <w:qFormat/>
    <w:rsid w:val="00ce3333"/>
    <w:rPr>
      <w:rFonts w:cs="Symbol"/>
    </w:rPr>
  </w:style>
  <w:style w:type="character" w:styleId="ListLabel96" w:customStyle="1">
    <w:name w:val="ListLabel 96"/>
    <w:qFormat/>
    <w:rsid w:val="00ce3333"/>
    <w:rPr>
      <w:rFonts w:cs="Courier New"/>
    </w:rPr>
  </w:style>
  <w:style w:type="character" w:styleId="ListLabel97" w:customStyle="1">
    <w:name w:val="ListLabel 97"/>
    <w:qFormat/>
    <w:rsid w:val="00ce3333"/>
    <w:rPr>
      <w:rFonts w:cs="Wingdings"/>
    </w:rPr>
  </w:style>
  <w:style w:type="character" w:styleId="ListLabel98" w:customStyle="1">
    <w:name w:val="ListLabel 98"/>
    <w:qFormat/>
    <w:rsid w:val="00ce3333"/>
    <w:rPr>
      <w:rFonts w:cs="Symbol"/>
    </w:rPr>
  </w:style>
  <w:style w:type="character" w:styleId="ListLabel99" w:customStyle="1">
    <w:name w:val="ListLabel 99"/>
    <w:qFormat/>
    <w:rsid w:val="00ce3333"/>
    <w:rPr>
      <w:rFonts w:cs="Courier New"/>
    </w:rPr>
  </w:style>
  <w:style w:type="character" w:styleId="ListLabel100" w:customStyle="1">
    <w:name w:val="ListLabel 100"/>
    <w:qFormat/>
    <w:rsid w:val="00ce3333"/>
    <w:rPr>
      <w:rFonts w:cs="Wingdings"/>
    </w:rPr>
  </w:style>
  <w:style w:type="character" w:styleId="ListLabel101" w:customStyle="1">
    <w:name w:val="ListLabel 101"/>
    <w:qFormat/>
    <w:rsid w:val="00ce3333"/>
    <w:rPr>
      <w:rFonts w:cs="Arial"/>
      <w:b/>
      <w:bCs/>
      <w:i w:val="false"/>
      <w:iCs w:val="false"/>
      <w:sz w:val="24"/>
      <w:szCs w:val="24"/>
    </w:rPr>
  </w:style>
  <w:style w:type="character" w:styleId="ListLabel102" w:customStyle="1">
    <w:name w:val="ListLabel 102"/>
    <w:qFormat/>
    <w:rsid w:val="00ce3333"/>
    <w:rPr>
      <w:b/>
      <w:bCs/>
      <w:i w:val="false"/>
      <w:iCs w:val="false"/>
    </w:rPr>
  </w:style>
  <w:style w:type="character" w:styleId="ListLabel103" w:customStyle="1">
    <w:name w:val="ListLabel 103"/>
    <w:qFormat/>
    <w:rsid w:val="00ce3333"/>
    <w:rPr>
      <w:b w:val="false"/>
      <w:bCs w:val="false"/>
      <w:i w:val="false"/>
      <w:iCs w:val="false"/>
      <w:sz w:val="16"/>
    </w:rPr>
  </w:style>
  <w:style w:type="character" w:styleId="ListLabel104" w:customStyle="1">
    <w:name w:val="ListLabel 104"/>
    <w:qFormat/>
    <w:rsid w:val="00ce3333"/>
    <w:rPr>
      <w:b w:val="false"/>
      <w:bCs w:val="false"/>
      <w:i w:val="false"/>
      <w:iCs w:val="false"/>
      <w:sz w:val="18"/>
    </w:rPr>
  </w:style>
  <w:style w:type="character" w:styleId="ListLabel105" w:customStyle="1">
    <w:name w:val="ListLabel 105"/>
    <w:qFormat/>
    <w:rsid w:val="00ce3333"/>
    <w:rPr>
      <w:rFonts w:cs="Symbol"/>
      <w:b/>
      <w:sz w:val="16"/>
    </w:rPr>
  </w:style>
  <w:style w:type="character" w:styleId="ListLabel106" w:customStyle="1">
    <w:name w:val="ListLabel 106"/>
    <w:qFormat/>
    <w:rsid w:val="00ce3333"/>
    <w:rPr>
      <w:rFonts w:cs="Courier New"/>
    </w:rPr>
  </w:style>
  <w:style w:type="character" w:styleId="ListLabel107" w:customStyle="1">
    <w:name w:val="ListLabel 107"/>
    <w:qFormat/>
    <w:rsid w:val="00ce3333"/>
    <w:rPr>
      <w:rFonts w:cs="Wingdings"/>
    </w:rPr>
  </w:style>
  <w:style w:type="character" w:styleId="ListLabel108" w:customStyle="1">
    <w:name w:val="ListLabel 108"/>
    <w:qFormat/>
    <w:rsid w:val="00ce3333"/>
    <w:rPr>
      <w:rFonts w:cs="Symbol"/>
    </w:rPr>
  </w:style>
  <w:style w:type="character" w:styleId="ListLabel109" w:customStyle="1">
    <w:name w:val="ListLabel 109"/>
    <w:qFormat/>
    <w:rsid w:val="00ce3333"/>
    <w:rPr>
      <w:rFonts w:cs="Courier New"/>
    </w:rPr>
  </w:style>
  <w:style w:type="character" w:styleId="ListLabel110" w:customStyle="1">
    <w:name w:val="ListLabel 110"/>
    <w:qFormat/>
    <w:rsid w:val="00ce3333"/>
    <w:rPr>
      <w:rFonts w:cs="Wingdings"/>
    </w:rPr>
  </w:style>
  <w:style w:type="character" w:styleId="ListLabel111" w:customStyle="1">
    <w:name w:val="ListLabel 111"/>
    <w:qFormat/>
    <w:rsid w:val="00ce3333"/>
    <w:rPr>
      <w:rFonts w:cs="Symbol"/>
    </w:rPr>
  </w:style>
  <w:style w:type="character" w:styleId="ListLabel112" w:customStyle="1">
    <w:name w:val="ListLabel 112"/>
    <w:qFormat/>
    <w:rsid w:val="00ce3333"/>
    <w:rPr>
      <w:rFonts w:cs="Courier New"/>
    </w:rPr>
  </w:style>
  <w:style w:type="character" w:styleId="ListLabel113" w:customStyle="1">
    <w:name w:val="ListLabel 113"/>
    <w:qFormat/>
    <w:rsid w:val="00ce3333"/>
    <w:rPr>
      <w:rFonts w:cs="Wingdings"/>
    </w:rPr>
  </w:style>
  <w:style w:type="character" w:styleId="ListLabel114" w:customStyle="1">
    <w:name w:val="ListLabel 114"/>
    <w:qFormat/>
    <w:rsid w:val="00ce3333"/>
    <w:rPr>
      <w:rFonts w:cs="Symbol"/>
      <w:sz w:val="16"/>
    </w:rPr>
  </w:style>
  <w:style w:type="character" w:styleId="ListLabel115" w:customStyle="1">
    <w:name w:val="ListLabel 115"/>
    <w:qFormat/>
    <w:rsid w:val="00ce3333"/>
    <w:rPr>
      <w:rFonts w:cs="Courier New"/>
    </w:rPr>
  </w:style>
  <w:style w:type="character" w:styleId="ListLabel116" w:customStyle="1">
    <w:name w:val="ListLabel 116"/>
    <w:qFormat/>
    <w:rsid w:val="00ce3333"/>
    <w:rPr>
      <w:rFonts w:cs="Wingdings"/>
    </w:rPr>
  </w:style>
  <w:style w:type="character" w:styleId="ListLabel117" w:customStyle="1">
    <w:name w:val="ListLabel 117"/>
    <w:qFormat/>
    <w:rsid w:val="00ce3333"/>
    <w:rPr>
      <w:rFonts w:cs="Symbol"/>
    </w:rPr>
  </w:style>
  <w:style w:type="character" w:styleId="ListLabel118" w:customStyle="1">
    <w:name w:val="ListLabel 118"/>
    <w:qFormat/>
    <w:rsid w:val="00ce3333"/>
    <w:rPr>
      <w:rFonts w:cs="Courier New"/>
    </w:rPr>
  </w:style>
  <w:style w:type="character" w:styleId="ListLabel119" w:customStyle="1">
    <w:name w:val="ListLabel 119"/>
    <w:qFormat/>
    <w:rsid w:val="00ce3333"/>
    <w:rPr>
      <w:rFonts w:cs="Wingdings"/>
    </w:rPr>
  </w:style>
  <w:style w:type="character" w:styleId="ListLabel120" w:customStyle="1">
    <w:name w:val="ListLabel 120"/>
    <w:qFormat/>
    <w:rsid w:val="00ce3333"/>
    <w:rPr>
      <w:rFonts w:cs="Symbol"/>
    </w:rPr>
  </w:style>
  <w:style w:type="character" w:styleId="ListLabel121" w:customStyle="1">
    <w:name w:val="ListLabel 121"/>
    <w:qFormat/>
    <w:rsid w:val="00ce3333"/>
    <w:rPr>
      <w:rFonts w:cs="Courier New"/>
    </w:rPr>
  </w:style>
  <w:style w:type="character" w:styleId="ListLabel122" w:customStyle="1">
    <w:name w:val="ListLabel 122"/>
    <w:qFormat/>
    <w:rsid w:val="00ce3333"/>
    <w:rPr>
      <w:rFonts w:cs="Wingdings"/>
    </w:rPr>
  </w:style>
  <w:style w:type="character" w:styleId="ListLabel123" w:customStyle="1">
    <w:name w:val="ListLabel 123"/>
    <w:qFormat/>
    <w:rsid w:val="00ce3333"/>
    <w:rPr>
      <w:rFonts w:cs="Symbol"/>
      <w:sz w:val="16"/>
    </w:rPr>
  </w:style>
  <w:style w:type="character" w:styleId="ListLabel124" w:customStyle="1">
    <w:name w:val="ListLabel 124"/>
    <w:qFormat/>
    <w:rsid w:val="00ce3333"/>
    <w:rPr>
      <w:rFonts w:cs="Courier New"/>
    </w:rPr>
  </w:style>
  <w:style w:type="character" w:styleId="ListLabel125" w:customStyle="1">
    <w:name w:val="ListLabel 125"/>
    <w:qFormat/>
    <w:rsid w:val="00ce3333"/>
    <w:rPr>
      <w:rFonts w:cs="Wingdings"/>
    </w:rPr>
  </w:style>
  <w:style w:type="character" w:styleId="ListLabel126" w:customStyle="1">
    <w:name w:val="ListLabel 126"/>
    <w:qFormat/>
    <w:rsid w:val="00ce3333"/>
    <w:rPr>
      <w:rFonts w:cs="Symbol"/>
    </w:rPr>
  </w:style>
  <w:style w:type="character" w:styleId="ListLabel127" w:customStyle="1">
    <w:name w:val="ListLabel 127"/>
    <w:qFormat/>
    <w:rsid w:val="00ce3333"/>
    <w:rPr>
      <w:rFonts w:cs="Courier New"/>
    </w:rPr>
  </w:style>
  <w:style w:type="character" w:styleId="ListLabel128" w:customStyle="1">
    <w:name w:val="ListLabel 128"/>
    <w:qFormat/>
    <w:rsid w:val="00ce3333"/>
    <w:rPr>
      <w:rFonts w:cs="Wingdings"/>
    </w:rPr>
  </w:style>
  <w:style w:type="character" w:styleId="ListLabel129" w:customStyle="1">
    <w:name w:val="ListLabel 129"/>
    <w:qFormat/>
    <w:rsid w:val="00ce3333"/>
    <w:rPr>
      <w:rFonts w:cs="Symbol"/>
    </w:rPr>
  </w:style>
  <w:style w:type="character" w:styleId="ListLabel130" w:customStyle="1">
    <w:name w:val="ListLabel 130"/>
    <w:qFormat/>
    <w:rsid w:val="00ce3333"/>
    <w:rPr>
      <w:rFonts w:cs="Courier New"/>
    </w:rPr>
  </w:style>
  <w:style w:type="character" w:styleId="ListLabel131" w:customStyle="1">
    <w:name w:val="ListLabel 131"/>
    <w:qFormat/>
    <w:rsid w:val="00ce3333"/>
    <w:rPr>
      <w:rFonts w:cs="Wingdings"/>
    </w:rPr>
  </w:style>
  <w:style w:type="character" w:styleId="ListLabel132" w:customStyle="1">
    <w:name w:val="ListLabel 132"/>
    <w:qFormat/>
    <w:rsid w:val="00ce3333"/>
    <w:rPr>
      <w:rFonts w:cs="Arial"/>
      <w:b/>
      <w:bCs/>
      <w:i w:val="false"/>
      <w:iCs w:val="false"/>
      <w:sz w:val="24"/>
      <w:szCs w:val="24"/>
    </w:rPr>
  </w:style>
  <w:style w:type="character" w:styleId="ListLabel133" w:customStyle="1">
    <w:name w:val="ListLabel 133"/>
    <w:qFormat/>
    <w:rsid w:val="00ce3333"/>
    <w:rPr>
      <w:b/>
      <w:bCs/>
      <w:i w:val="false"/>
      <w:iCs w:val="false"/>
    </w:rPr>
  </w:style>
  <w:style w:type="character" w:styleId="ListLabel134" w:customStyle="1">
    <w:name w:val="ListLabel 134"/>
    <w:qFormat/>
    <w:rsid w:val="00ce3333"/>
    <w:rPr>
      <w:b w:val="false"/>
      <w:bCs w:val="false"/>
      <w:i w:val="false"/>
      <w:iCs w:val="false"/>
      <w:sz w:val="16"/>
    </w:rPr>
  </w:style>
  <w:style w:type="character" w:styleId="ListLabel135" w:customStyle="1">
    <w:name w:val="ListLabel 135"/>
    <w:qFormat/>
    <w:rsid w:val="00ce3333"/>
    <w:rPr>
      <w:b w:val="false"/>
      <w:bCs w:val="false"/>
      <w:i w:val="false"/>
      <w:iCs w:val="false"/>
      <w:sz w:val="18"/>
    </w:rPr>
  </w:style>
  <w:style w:type="character" w:styleId="ListLabel136" w:customStyle="1">
    <w:name w:val="ListLabel 136"/>
    <w:qFormat/>
    <w:rsid w:val="00ce3333"/>
    <w:rPr>
      <w:rFonts w:cs="Symbol"/>
      <w:b/>
      <w:sz w:val="16"/>
    </w:rPr>
  </w:style>
  <w:style w:type="character" w:styleId="ListLabel137" w:customStyle="1">
    <w:name w:val="ListLabel 137"/>
    <w:qFormat/>
    <w:rsid w:val="00ce3333"/>
    <w:rPr>
      <w:rFonts w:cs="Courier New"/>
    </w:rPr>
  </w:style>
  <w:style w:type="character" w:styleId="ListLabel138" w:customStyle="1">
    <w:name w:val="ListLabel 138"/>
    <w:qFormat/>
    <w:rsid w:val="00ce3333"/>
    <w:rPr>
      <w:rFonts w:cs="Wingdings"/>
    </w:rPr>
  </w:style>
  <w:style w:type="character" w:styleId="ListLabel139" w:customStyle="1">
    <w:name w:val="ListLabel 139"/>
    <w:qFormat/>
    <w:rsid w:val="00ce3333"/>
    <w:rPr>
      <w:rFonts w:cs="Symbol"/>
    </w:rPr>
  </w:style>
  <w:style w:type="character" w:styleId="ListLabel140" w:customStyle="1">
    <w:name w:val="ListLabel 140"/>
    <w:qFormat/>
    <w:rsid w:val="00ce3333"/>
    <w:rPr>
      <w:rFonts w:cs="Courier New"/>
    </w:rPr>
  </w:style>
  <w:style w:type="character" w:styleId="ListLabel141" w:customStyle="1">
    <w:name w:val="ListLabel 141"/>
    <w:qFormat/>
    <w:rsid w:val="00ce3333"/>
    <w:rPr>
      <w:rFonts w:cs="Wingdings"/>
    </w:rPr>
  </w:style>
  <w:style w:type="character" w:styleId="ListLabel142" w:customStyle="1">
    <w:name w:val="ListLabel 142"/>
    <w:qFormat/>
    <w:rsid w:val="00ce3333"/>
    <w:rPr>
      <w:rFonts w:cs="Symbol"/>
    </w:rPr>
  </w:style>
  <w:style w:type="character" w:styleId="ListLabel143" w:customStyle="1">
    <w:name w:val="ListLabel 143"/>
    <w:qFormat/>
    <w:rsid w:val="00ce3333"/>
    <w:rPr>
      <w:rFonts w:cs="Courier New"/>
    </w:rPr>
  </w:style>
  <w:style w:type="character" w:styleId="ListLabel144" w:customStyle="1">
    <w:name w:val="ListLabel 144"/>
    <w:qFormat/>
    <w:rsid w:val="00ce3333"/>
    <w:rPr>
      <w:rFonts w:cs="Wingdings"/>
    </w:rPr>
  </w:style>
  <w:style w:type="character" w:styleId="ListLabel145" w:customStyle="1">
    <w:name w:val="ListLabel 145"/>
    <w:qFormat/>
    <w:rsid w:val="00ce3333"/>
    <w:rPr>
      <w:rFonts w:cs="Symbol"/>
      <w:sz w:val="16"/>
    </w:rPr>
  </w:style>
  <w:style w:type="character" w:styleId="ListLabel146" w:customStyle="1">
    <w:name w:val="ListLabel 146"/>
    <w:qFormat/>
    <w:rsid w:val="00ce3333"/>
    <w:rPr>
      <w:rFonts w:cs="Courier New"/>
    </w:rPr>
  </w:style>
  <w:style w:type="character" w:styleId="ListLabel147" w:customStyle="1">
    <w:name w:val="ListLabel 147"/>
    <w:qFormat/>
    <w:rsid w:val="00ce3333"/>
    <w:rPr>
      <w:rFonts w:cs="Wingdings"/>
    </w:rPr>
  </w:style>
  <w:style w:type="character" w:styleId="ListLabel148" w:customStyle="1">
    <w:name w:val="ListLabel 148"/>
    <w:qFormat/>
    <w:rsid w:val="00ce3333"/>
    <w:rPr>
      <w:rFonts w:cs="Symbol"/>
    </w:rPr>
  </w:style>
  <w:style w:type="character" w:styleId="ListLabel149" w:customStyle="1">
    <w:name w:val="ListLabel 149"/>
    <w:qFormat/>
    <w:rsid w:val="00ce3333"/>
    <w:rPr>
      <w:rFonts w:cs="Courier New"/>
    </w:rPr>
  </w:style>
  <w:style w:type="character" w:styleId="ListLabel150" w:customStyle="1">
    <w:name w:val="ListLabel 150"/>
    <w:qFormat/>
    <w:rsid w:val="00ce3333"/>
    <w:rPr>
      <w:rFonts w:cs="Wingdings"/>
    </w:rPr>
  </w:style>
  <w:style w:type="character" w:styleId="ListLabel151" w:customStyle="1">
    <w:name w:val="ListLabel 151"/>
    <w:qFormat/>
    <w:rsid w:val="00ce3333"/>
    <w:rPr>
      <w:rFonts w:cs="Symbol"/>
    </w:rPr>
  </w:style>
  <w:style w:type="character" w:styleId="ListLabel152" w:customStyle="1">
    <w:name w:val="ListLabel 152"/>
    <w:qFormat/>
    <w:rsid w:val="00ce3333"/>
    <w:rPr>
      <w:rFonts w:cs="Courier New"/>
    </w:rPr>
  </w:style>
  <w:style w:type="character" w:styleId="ListLabel153" w:customStyle="1">
    <w:name w:val="ListLabel 153"/>
    <w:qFormat/>
    <w:rsid w:val="00ce3333"/>
    <w:rPr>
      <w:rFonts w:cs="Wingdings"/>
    </w:rPr>
  </w:style>
  <w:style w:type="character" w:styleId="ListLabel154" w:customStyle="1">
    <w:name w:val="ListLabel 154"/>
    <w:qFormat/>
    <w:rsid w:val="00ce3333"/>
    <w:rPr>
      <w:rFonts w:cs="Symbol"/>
      <w:sz w:val="16"/>
    </w:rPr>
  </w:style>
  <w:style w:type="character" w:styleId="ListLabel155" w:customStyle="1">
    <w:name w:val="ListLabel 155"/>
    <w:qFormat/>
    <w:rsid w:val="00ce3333"/>
    <w:rPr>
      <w:rFonts w:cs="Courier New"/>
    </w:rPr>
  </w:style>
  <w:style w:type="character" w:styleId="ListLabel156" w:customStyle="1">
    <w:name w:val="ListLabel 156"/>
    <w:qFormat/>
    <w:rsid w:val="00ce3333"/>
    <w:rPr>
      <w:rFonts w:cs="Wingdings"/>
    </w:rPr>
  </w:style>
  <w:style w:type="character" w:styleId="ListLabel157" w:customStyle="1">
    <w:name w:val="ListLabel 157"/>
    <w:qFormat/>
    <w:rsid w:val="00ce3333"/>
    <w:rPr>
      <w:rFonts w:cs="Symbol"/>
    </w:rPr>
  </w:style>
  <w:style w:type="character" w:styleId="ListLabel158" w:customStyle="1">
    <w:name w:val="ListLabel 158"/>
    <w:qFormat/>
    <w:rsid w:val="00ce3333"/>
    <w:rPr>
      <w:rFonts w:cs="Courier New"/>
    </w:rPr>
  </w:style>
  <w:style w:type="character" w:styleId="ListLabel159" w:customStyle="1">
    <w:name w:val="ListLabel 159"/>
    <w:qFormat/>
    <w:rsid w:val="00ce3333"/>
    <w:rPr>
      <w:rFonts w:cs="Wingdings"/>
    </w:rPr>
  </w:style>
  <w:style w:type="character" w:styleId="ListLabel160" w:customStyle="1">
    <w:name w:val="ListLabel 160"/>
    <w:qFormat/>
    <w:rsid w:val="00ce3333"/>
    <w:rPr>
      <w:rFonts w:cs="Symbol"/>
    </w:rPr>
  </w:style>
  <w:style w:type="character" w:styleId="ListLabel161" w:customStyle="1">
    <w:name w:val="ListLabel 161"/>
    <w:qFormat/>
    <w:rsid w:val="00ce3333"/>
    <w:rPr>
      <w:rFonts w:cs="Courier New"/>
    </w:rPr>
  </w:style>
  <w:style w:type="character" w:styleId="ListLabel162" w:customStyle="1">
    <w:name w:val="ListLabel 162"/>
    <w:qFormat/>
    <w:rsid w:val="00ce3333"/>
    <w:rPr>
      <w:rFonts w:cs="Wingdings"/>
    </w:rPr>
  </w:style>
  <w:style w:type="character" w:styleId="ListLabel163" w:customStyle="1">
    <w:name w:val="ListLabel 163"/>
    <w:qFormat/>
    <w:rsid w:val="00ce3333"/>
    <w:rPr>
      <w:rFonts w:cs="Arial"/>
      <w:b/>
      <w:bCs/>
      <w:i w:val="false"/>
      <w:iCs w:val="false"/>
      <w:sz w:val="24"/>
      <w:szCs w:val="24"/>
    </w:rPr>
  </w:style>
  <w:style w:type="character" w:styleId="ListLabel164" w:customStyle="1">
    <w:name w:val="ListLabel 164"/>
    <w:qFormat/>
    <w:rsid w:val="00ce3333"/>
    <w:rPr>
      <w:b/>
      <w:bCs/>
      <w:i w:val="false"/>
      <w:iCs w:val="false"/>
    </w:rPr>
  </w:style>
  <w:style w:type="character" w:styleId="ListLabel165" w:customStyle="1">
    <w:name w:val="ListLabel 165"/>
    <w:qFormat/>
    <w:rsid w:val="00ce3333"/>
    <w:rPr>
      <w:b w:val="false"/>
      <w:bCs w:val="false"/>
      <w:i w:val="false"/>
      <w:iCs w:val="false"/>
      <w:sz w:val="16"/>
    </w:rPr>
  </w:style>
  <w:style w:type="character" w:styleId="ListLabel166" w:customStyle="1">
    <w:name w:val="ListLabel 166"/>
    <w:qFormat/>
    <w:rsid w:val="00ce3333"/>
    <w:rPr>
      <w:b w:val="false"/>
      <w:bCs w:val="false"/>
      <w:i w:val="false"/>
      <w:iCs w:val="false"/>
      <w:sz w:val="18"/>
    </w:rPr>
  </w:style>
  <w:style w:type="character" w:styleId="ListLabel167" w:customStyle="1">
    <w:name w:val="ListLabel 167"/>
    <w:qFormat/>
    <w:rsid w:val="00ce3333"/>
    <w:rPr>
      <w:rFonts w:cs="Symbol"/>
      <w:b/>
      <w:sz w:val="16"/>
    </w:rPr>
  </w:style>
  <w:style w:type="character" w:styleId="ListLabel168" w:customStyle="1">
    <w:name w:val="ListLabel 168"/>
    <w:qFormat/>
    <w:rsid w:val="00ce3333"/>
    <w:rPr>
      <w:rFonts w:cs="Courier New"/>
    </w:rPr>
  </w:style>
  <w:style w:type="character" w:styleId="ListLabel169" w:customStyle="1">
    <w:name w:val="ListLabel 169"/>
    <w:qFormat/>
    <w:rsid w:val="00ce3333"/>
    <w:rPr>
      <w:rFonts w:cs="Wingdings"/>
    </w:rPr>
  </w:style>
  <w:style w:type="character" w:styleId="ListLabel170" w:customStyle="1">
    <w:name w:val="ListLabel 170"/>
    <w:qFormat/>
    <w:rsid w:val="00ce3333"/>
    <w:rPr>
      <w:rFonts w:cs="Symbol"/>
    </w:rPr>
  </w:style>
  <w:style w:type="character" w:styleId="ListLabel171" w:customStyle="1">
    <w:name w:val="ListLabel 171"/>
    <w:qFormat/>
    <w:rsid w:val="00ce3333"/>
    <w:rPr>
      <w:rFonts w:cs="Courier New"/>
    </w:rPr>
  </w:style>
  <w:style w:type="character" w:styleId="ListLabel172" w:customStyle="1">
    <w:name w:val="ListLabel 172"/>
    <w:qFormat/>
    <w:rsid w:val="00ce3333"/>
    <w:rPr>
      <w:rFonts w:cs="Wingdings"/>
    </w:rPr>
  </w:style>
  <w:style w:type="character" w:styleId="ListLabel173" w:customStyle="1">
    <w:name w:val="ListLabel 173"/>
    <w:qFormat/>
    <w:rsid w:val="00ce3333"/>
    <w:rPr>
      <w:rFonts w:cs="Symbol"/>
    </w:rPr>
  </w:style>
  <w:style w:type="character" w:styleId="ListLabel174" w:customStyle="1">
    <w:name w:val="ListLabel 174"/>
    <w:qFormat/>
    <w:rsid w:val="00ce3333"/>
    <w:rPr>
      <w:rFonts w:cs="Courier New"/>
    </w:rPr>
  </w:style>
  <w:style w:type="character" w:styleId="ListLabel175" w:customStyle="1">
    <w:name w:val="ListLabel 175"/>
    <w:qFormat/>
    <w:rsid w:val="00ce3333"/>
    <w:rPr>
      <w:rFonts w:cs="Wingdings"/>
    </w:rPr>
  </w:style>
  <w:style w:type="character" w:styleId="ListLabel176" w:customStyle="1">
    <w:name w:val="ListLabel 176"/>
    <w:qFormat/>
    <w:rsid w:val="00ce3333"/>
    <w:rPr>
      <w:rFonts w:cs="Symbol"/>
      <w:sz w:val="16"/>
    </w:rPr>
  </w:style>
  <w:style w:type="character" w:styleId="ListLabel177" w:customStyle="1">
    <w:name w:val="ListLabel 177"/>
    <w:qFormat/>
    <w:rsid w:val="00ce3333"/>
    <w:rPr>
      <w:rFonts w:cs="Courier New"/>
    </w:rPr>
  </w:style>
  <w:style w:type="character" w:styleId="ListLabel178" w:customStyle="1">
    <w:name w:val="ListLabel 178"/>
    <w:qFormat/>
    <w:rsid w:val="00ce3333"/>
    <w:rPr>
      <w:rFonts w:cs="Wingdings"/>
    </w:rPr>
  </w:style>
  <w:style w:type="character" w:styleId="ListLabel179" w:customStyle="1">
    <w:name w:val="ListLabel 179"/>
    <w:qFormat/>
    <w:rsid w:val="00ce3333"/>
    <w:rPr>
      <w:rFonts w:cs="Symbol"/>
    </w:rPr>
  </w:style>
  <w:style w:type="character" w:styleId="ListLabel180" w:customStyle="1">
    <w:name w:val="ListLabel 180"/>
    <w:qFormat/>
    <w:rsid w:val="00ce3333"/>
    <w:rPr>
      <w:rFonts w:cs="Courier New"/>
    </w:rPr>
  </w:style>
  <w:style w:type="character" w:styleId="ListLabel181" w:customStyle="1">
    <w:name w:val="ListLabel 181"/>
    <w:qFormat/>
    <w:rsid w:val="00ce3333"/>
    <w:rPr>
      <w:rFonts w:cs="Wingdings"/>
    </w:rPr>
  </w:style>
  <w:style w:type="character" w:styleId="ListLabel182" w:customStyle="1">
    <w:name w:val="ListLabel 182"/>
    <w:qFormat/>
    <w:rsid w:val="00ce3333"/>
    <w:rPr>
      <w:rFonts w:cs="Symbol"/>
    </w:rPr>
  </w:style>
  <w:style w:type="character" w:styleId="ListLabel183" w:customStyle="1">
    <w:name w:val="ListLabel 183"/>
    <w:qFormat/>
    <w:rsid w:val="00ce3333"/>
    <w:rPr>
      <w:rFonts w:cs="Courier New"/>
    </w:rPr>
  </w:style>
  <w:style w:type="character" w:styleId="ListLabel184" w:customStyle="1">
    <w:name w:val="ListLabel 184"/>
    <w:qFormat/>
    <w:rsid w:val="00ce3333"/>
    <w:rPr>
      <w:rFonts w:cs="Wingdings"/>
    </w:rPr>
  </w:style>
  <w:style w:type="character" w:styleId="ListLabel185" w:customStyle="1">
    <w:name w:val="ListLabel 185"/>
    <w:qFormat/>
    <w:rsid w:val="00ce3333"/>
    <w:rPr>
      <w:rFonts w:cs="Symbol"/>
      <w:sz w:val="16"/>
    </w:rPr>
  </w:style>
  <w:style w:type="character" w:styleId="ListLabel186" w:customStyle="1">
    <w:name w:val="ListLabel 186"/>
    <w:qFormat/>
    <w:rsid w:val="00ce3333"/>
    <w:rPr>
      <w:rFonts w:cs="Courier New"/>
    </w:rPr>
  </w:style>
  <w:style w:type="character" w:styleId="ListLabel187" w:customStyle="1">
    <w:name w:val="ListLabel 187"/>
    <w:qFormat/>
    <w:rsid w:val="00ce3333"/>
    <w:rPr>
      <w:rFonts w:cs="Wingdings"/>
    </w:rPr>
  </w:style>
  <w:style w:type="character" w:styleId="ListLabel188" w:customStyle="1">
    <w:name w:val="ListLabel 188"/>
    <w:qFormat/>
    <w:rsid w:val="00ce3333"/>
    <w:rPr>
      <w:rFonts w:cs="Symbol"/>
    </w:rPr>
  </w:style>
  <w:style w:type="character" w:styleId="ListLabel189" w:customStyle="1">
    <w:name w:val="ListLabel 189"/>
    <w:qFormat/>
    <w:rsid w:val="00ce3333"/>
    <w:rPr>
      <w:rFonts w:cs="Courier New"/>
    </w:rPr>
  </w:style>
  <w:style w:type="character" w:styleId="ListLabel190" w:customStyle="1">
    <w:name w:val="ListLabel 190"/>
    <w:qFormat/>
    <w:rsid w:val="00ce3333"/>
    <w:rPr>
      <w:rFonts w:cs="Wingdings"/>
    </w:rPr>
  </w:style>
  <w:style w:type="character" w:styleId="ListLabel191" w:customStyle="1">
    <w:name w:val="ListLabel 191"/>
    <w:qFormat/>
    <w:rsid w:val="00ce3333"/>
    <w:rPr>
      <w:rFonts w:cs="Symbol"/>
    </w:rPr>
  </w:style>
  <w:style w:type="character" w:styleId="ListLabel192" w:customStyle="1">
    <w:name w:val="ListLabel 192"/>
    <w:qFormat/>
    <w:rsid w:val="00ce3333"/>
    <w:rPr>
      <w:rFonts w:cs="Courier New"/>
    </w:rPr>
  </w:style>
  <w:style w:type="character" w:styleId="ListLabel193" w:customStyle="1">
    <w:name w:val="ListLabel 193"/>
    <w:qFormat/>
    <w:rsid w:val="00ce3333"/>
    <w:rPr>
      <w:rFonts w:cs="Wingdings"/>
    </w:rPr>
  </w:style>
  <w:style w:type="character" w:styleId="ZhlavChar1" w:customStyle="1">
    <w:name w:val="Záhlaví Char1"/>
    <w:basedOn w:val="DefaultParagraphFont"/>
    <w:link w:val="Zhlav"/>
    <w:uiPriority w:val="99"/>
    <w:semiHidden/>
    <w:qFormat/>
    <w:rsid w:val="00e54519"/>
    <w:rPr>
      <w:rFonts w:ascii="Arial Narrow" w:hAnsi="Arial Narrow" w:cs="Arial Narrow"/>
      <w:color w:val="00000A"/>
      <w:szCs w:val="20"/>
      <w:lang w:eastAsia="cs-CZ"/>
    </w:rPr>
  </w:style>
  <w:style w:type="character" w:styleId="ZpatChar1" w:customStyle="1">
    <w:name w:val="Zápatí Char1"/>
    <w:basedOn w:val="DefaultParagraphFont"/>
    <w:link w:val="Zpat"/>
    <w:uiPriority w:val="99"/>
    <w:semiHidden/>
    <w:qFormat/>
    <w:rsid w:val="00e54519"/>
    <w:rPr>
      <w:rFonts w:ascii="Arial Narrow" w:hAnsi="Arial Narrow" w:cs="Arial Narrow"/>
      <w:color w:val="00000A"/>
      <w:szCs w:val="20"/>
      <w:lang w:eastAsia="cs-CZ"/>
    </w:rPr>
  </w:style>
  <w:style w:type="character" w:styleId="ListLabel194">
    <w:name w:val="ListLabel 194"/>
    <w:qFormat/>
    <w:rPr>
      <w:rFonts w:cs="Arial"/>
      <w:b/>
      <w:bCs/>
      <w:i w:val="false"/>
      <w:iCs w:val="false"/>
      <w:sz w:val="24"/>
      <w:szCs w:val="24"/>
    </w:rPr>
  </w:style>
  <w:style w:type="character" w:styleId="ListLabel195">
    <w:name w:val="ListLabel 195"/>
    <w:qFormat/>
    <w:rPr>
      <w:b/>
      <w:bCs/>
      <w:i w:val="false"/>
      <w:iCs w:val="false"/>
    </w:rPr>
  </w:style>
  <w:style w:type="character" w:styleId="ListLabel196">
    <w:name w:val="ListLabel 196"/>
    <w:qFormat/>
    <w:rPr>
      <w:b w:val="false"/>
      <w:bCs w:val="false"/>
      <w:i w:val="false"/>
      <w:iCs w:val="false"/>
      <w:sz w:val="16"/>
    </w:rPr>
  </w:style>
  <w:style w:type="character" w:styleId="ListLabel197">
    <w:name w:val="ListLabel 197"/>
    <w:qFormat/>
    <w:rPr>
      <w:b w:val="false"/>
      <w:bCs w:val="false"/>
      <w:i w:val="false"/>
      <w:iCs w:val="false"/>
      <w:sz w:val="18"/>
    </w:rPr>
  </w:style>
  <w:style w:type="character" w:styleId="ListLabel198">
    <w:name w:val="ListLabel 198"/>
    <w:qFormat/>
    <w:rPr>
      <w:rFonts w:cs="Symbol"/>
      <w:b/>
      <w:sz w:val="16"/>
    </w:rPr>
  </w:style>
  <w:style w:type="character" w:styleId="ListLabel199">
    <w:name w:val="ListLabel 199"/>
    <w:qFormat/>
    <w:rPr>
      <w:rFonts w:cs="Courier New"/>
    </w:rPr>
  </w:style>
  <w:style w:type="character" w:styleId="ListLabel200">
    <w:name w:val="ListLabel 200"/>
    <w:qFormat/>
    <w:rPr>
      <w:rFonts w:cs="Wingdings"/>
    </w:rPr>
  </w:style>
  <w:style w:type="character" w:styleId="ListLabel201">
    <w:name w:val="ListLabel 201"/>
    <w:qFormat/>
    <w:rPr>
      <w:rFonts w:cs="Symbol"/>
    </w:rPr>
  </w:style>
  <w:style w:type="character" w:styleId="ListLabel202">
    <w:name w:val="ListLabel 202"/>
    <w:qFormat/>
    <w:rPr>
      <w:rFonts w:cs="Courier New"/>
    </w:rPr>
  </w:style>
  <w:style w:type="character" w:styleId="ListLabel203">
    <w:name w:val="ListLabel 203"/>
    <w:qFormat/>
    <w:rPr>
      <w:rFonts w:cs="Wingdings"/>
    </w:rPr>
  </w:style>
  <w:style w:type="character" w:styleId="ListLabel204">
    <w:name w:val="ListLabel 204"/>
    <w:qFormat/>
    <w:rPr>
      <w:rFonts w:cs="Symbol"/>
    </w:rPr>
  </w:style>
  <w:style w:type="character" w:styleId="ListLabel205">
    <w:name w:val="ListLabel 205"/>
    <w:qFormat/>
    <w:rPr>
      <w:rFonts w:cs="Courier New"/>
    </w:rPr>
  </w:style>
  <w:style w:type="character" w:styleId="ListLabel206">
    <w:name w:val="ListLabel 206"/>
    <w:qFormat/>
    <w:rPr>
      <w:rFonts w:cs="Wingdings"/>
    </w:rPr>
  </w:style>
  <w:style w:type="character" w:styleId="ListLabel207">
    <w:name w:val="ListLabel 207"/>
    <w:qFormat/>
    <w:rPr>
      <w:rFonts w:cs="Symbol"/>
      <w:sz w:val="16"/>
    </w:rPr>
  </w:style>
  <w:style w:type="character" w:styleId="ListLabel208">
    <w:name w:val="ListLabel 208"/>
    <w:qFormat/>
    <w:rPr>
      <w:rFonts w:cs="Courier New"/>
    </w:rPr>
  </w:style>
  <w:style w:type="character" w:styleId="ListLabel209">
    <w:name w:val="ListLabel 209"/>
    <w:qFormat/>
    <w:rPr>
      <w:rFonts w:cs="Wingdings"/>
    </w:rPr>
  </w:style>
  <w:style w:type="character" w:styleId="ListLabel210">
    <w:name w:val="ListLabel 210"/>
    <w:qFormat/>
    <w:rPr>
      <w:rFonts w:cs="Symbol"/>
    </w:rPr>
  </w:style>
  <w:style w:type="character" w:styleId="ListLabel211">
    <w:name w:val="ListLabel 211"/>
    <w:qFormat/>
    <w:rPr>
      <w:rFonts w:cs="Courier New"/>
    </w:rPr>
  </w:style>
  <w:style w:type="character" w:styleId="ListLabel212">
    <w:name w:val="ListLabel 212"/>
    <w:qFormat/>
    <w:rPr>
      <w:rFonts w:cs="Wingdings"/>
    </w:rPr>
  </w:style>
  <w:style w:type="character" w:styleId="ListLabel213">
    <w:name w:val="ListLabel 213"/>
    <w:qFormat/>
    <w:rPr>
      <w:rFonts w:cs="Symbol"/>
    </w:rPr>
  </w:style>
  <w:style w:type="character" w:styleId="ListLabel214">
    <w:name w:val="ListLabel 214"/>
    <w:qFormat/>
    <w:rPr>
      <w:rFonts w:cs="Courier New"/>
    </w:rPr>
  </w:style>
  <w:style w:type="character" w:styleId="ListLabel215">
    <w:name w:val="ListLabel 215"/>
    <w:qFormat/>
    <w:rPr>
      <w:rFonts w:cs="Wingdings"/>
    </w:rPr>
  </w:style>
  <w:style w:type="character" w:styleId="ListLabel216">
    <w:name w:val="ListLabel 216"/>
    <w:qFormat/>
    <w:rPr>
      <w:rFonts w:cs="Symbol"/>
      <w:sz w:val="16"/>
    </w:rPr>
  </w:style>
  <w:style w:type="character" w:styleId="ListLabel217">
    <w:name w:val="ListLabel 217"/>
    <w:qFormat/>
    <w:rPr>
      <w:rFonts w:cs="Courier New"/>
    </w:rPr>
  </w:style>
  <w:style w:type="character" w:styleId="ListLabel218">
    <w:name w:val="ListLabel 218"/>
    <w:qFormat/>
    <w:rPr>
      <w:rFonts w:cs="Wingdings"/>
    </w:rPr>
  </w:style>
  <w:style w:type="character" w:styleId="ListLabel219">
    <w:name w:val="ListLabel 219"/>
    <w:qFormat/>
    <w:rPr>
      <w:rFonts w:cs="Symbol"/>
    </w:rPr>
  </w:style>
  <w:style w:type="character" w:styleId="ListLabel220">
    <w:name w:val="ListLabel 220"/>
    <w:qFormat/>
    <w:rPr>
      <w:rFonts w:cs="Courier New"/>
    </w:rPr>
  </w:style>
  <w:style w:type="character" w:styleId="ListLabel221">
    <w:name w:val="ListLabel 221"/>
    <w:qFormat/>
    <w:rPr>
      <w:rFonts w:cs="Wingdings"/>
    </w:rPr>
  </w:style>
  <w:style w:type="character" w:styleId="ListLabel222">
    <w:name w:val="ListLabel 222"/>
    <w:qFormat/>
    <w:rPr>
      <w:rFonts w:cs="Symbol"/>
    </w:rPr>
  </w:style>
  <w:style w:type="character" w:styleId="ListLabel223">
    <w:name w:val="ListLabel 223"/>
    <w:qFormat/>
    <w:rPr>
      <w:rFonts w:cs="Courier New"/>
    </w:rPr>
  </w:style>
  <w:style w:type="character" w:styleId="ListLabel224">
    <w:name w:val="ListLabel 224"/>
    <w:qFormat/>
    <w:rPr>
      <w:rFonts w:cs="Wingdings"/>
    </w:rPr>
  </w:style>
  <w:style w:type="character" w:styleId="ListLabel225">
    <w:name w:val="ListLabel 225"/>
    <w:qFormat/>
    <w:rPr>
      <w:sz w:val="16"/>
      <w:szCs w:val="16"/>
    </w:rPr>
  </w:style>
  <w:style w:type="character" w:styleId="ListLabel226">
    <w:name w:val="ListLabel 226"/>
    <w:qFormat/>
    <w:rPr>
      <w:rFonts w:cs="Arial"/>
      <w:b/>
      <w:bCs/>
      <w:i w:val="false"/>
      <w:iCs w:val="false"/>
      <w:sz w:val="24"/>
      <w:szCs w:val="24"/>
    </w:rPr>
  </w:style>
  <w:style w:type="character" w:styleId="ListLabel227">
    <w:name w:val="ListLabel 227"/>
    <w:qFormat/>
    <w:rPr>
      <w:b/>
      <w:bCs/>
      <w:i w:val="false"/>
      <w:iCs w:val="false"/>
    </w:rPr>
  </w:style>
  <w:style w:type="character" w:styleId="ListLabel228">
    <w:name w:val="ListLabel 228"/>
    <w:qFormat/>
    <w:rPr>
      <w:b w:val="false"/>
      <w:bCs w:val="false"/>
      <w:i w:val="false"/>
      <w:iCs w:val="false"/>
      <w:sz w:val="16"/>
    </w:rPr>
  </w:style>
  <w:style w:type="character" w:styleId="ListLabel229">
    <w:name w:val="ListLabel 229"/>
    <w:qFormat/>
    <w:rPr>
      <w:b w:val="false"/>
      <w:bCs w:val="false"/>
      <w:i w:val="false"/>
      <w:iCs w:val="false"/>
      <w:sz w:val="18"/>
    </w:rPr>
  </w:style>
  <w:style w:type="character" w:styleId="ListLabel230">
    <w:name w:val="ListLabel 230"/>
    <w:qFormat/>
    <w:rPr>
      <w:rFonts w:cs="Symbol"/>
      <w:b/>
      <w:sz w:val="16"/>
    </w:rPr>
  </w:style>
  <w:style w:type="character" w:styleId="ListLabel231">
    <w:name w:val="ListLabel 231"/>
    <w:qFormat/>
    <w:rPr>
      <w:rFonts w:cs="Courier New"/>
    </w:rPr>
  </w:style>
  <w:style w:type="character" w:styleId="ListLabel232">
    <w:name w:val="ListLabel 232"/>
    <w:qFormat/>
    <w:rPr>
      <w:rFonts w:cs="Wingdings"/>
    </w:rPr>
  </w:style>
  <w:style w:type="character" w:styleId="ListLabel233">
    <w:name w:val="ListLabel 233"/>
    <w:qFormat/>
    <w:rPr>
      <w:rFonts w:cs="Symbol"/>
    </w:rPr>
  </w:style>
  <w:style w:type="character" w:styleId="ListLabel234">
    <w:name w:val="ListLabel 234"/>
    <w:qFormat/>
    <w:rPr>
      <w:rFonts w:cs="Courier New"/>
    </w:rPr>
  </w:style>
  <w:style w:type="character" w:styleId="ListLabel235">
    <w:name w:val="ListLabel 235"/>
    <w:qFormat/>
    <w:rPr>
      <w:rFonts w:cs="Wingdings"/>
    </w:rPr>
  </w:style>
  <w:style w:type="character" w:styleId="ListLabel236">
    <w:name w:val="ListLabel 236"/>
    <w:qFormat/>
    <w:rPr>
      <w:rFonts w:cs="Symbol"/>
    </w:rPr>
  </w:style>
  <w:style w:type="character" w:styleId="ListLabel237">
    <w:name w:val="ListLabel 237"/>
    <w:qFormat/>
    <w:rPr>
      <w:rFonts w:cs="Courier New"/>
    </w:rPr>
  </w:style>
  <w:style w:type="character" w:styleId="ListLabel238">
    <w:name w:val="ListLabel 238"/>
    <w:qFormat/>
    <w:rPr>
      <w:rFonts w:cs="Wingdings"/>
    </w:rPr>
  </w:style>
  <w:style w:type="character" w:styleId="ListLabel239">
    <w:name w:val="ListLabel 239"/>
    <w:qFormat/>
    <w:rPr>
      <w:rFonts w:cs="Symbol"/>
      <w:sz w:val="16"/>
    </w:rPr>
  </w:style>
  <w:style w:type="character" w:styleId="ListLabel240">
    <w:name w:val="ListLabel 240"/>
    <w:qFormat/>
    <w:rPr>
      <w:rFonts w:cs="Courier New"/>
    </w:rPr>
  </w:style>
  <w:style w:type="character" w:styleId="ListLabel241">
    <w:name w:val="ListLabel 241"/>
    <w:qFormat/>
    <w:rPr>
      <w:rFonts w:cs="Wingdings"/>
    </w:rPr>
  </w:style>
  <w:style w:type="character" w:styleId="ListLabel242">
    <w:name w:val="ListLabel 242"/>
    <w:qFormat/>
    <w:rPr>
      <w:rFonts w:cs="Symbol"/>
    </w:rPr>
  </w:style>
  <w:style w:type="character" w:styleId="ListLabel243">
    <w:name w:val="ListLabel 243"/>
    <w:qFormat/>
    <w:rPr>
      <w:rFonts w:cs="Courier New"/>
    </w:rPr>
  </w:style>
  <w:style w:type="character" w:styleId="ListLabel244">
    <w:name w:val="ListLabel 244"/>
    <w:qFormat/>
    <w:rPr>
      <w:rFonts w:cs="Wingdings"/>
    </w:rPr>
  </w:style>
  <w:style w:type="character" w:styleId="ListLabel245">
    <w:name w:val="ListLabel 245"/>
    <w:qFormat/>
    <w:rPr>
      <w:rFonts w:cs="Symbol"/>
    </w:rPr>
  </w:style>
  <w:style w:type="character" w:styleId="ListLabel246">
    <w:name w:val="ListLabel 246"/>
    <w:qFormat/>
    <w:rPr>
      <w:rFonts w:cs="Courier New"/>
    </w:rPr>
  </w:style>
  <w:style w:type="character" w:styleId="ListLabel247">
    <w:name w:val="ListLabel 247"/>
    <w:qFormat/>
    <w:rPr>
      <w:rFonts w:cs="Wingdings"/>
    </w:rPr>
  </w:style>
  <w:style w:type="character" w:styleId="ListLabel248">
    <w:name w:val="ListLabel 248"/>
    <w:qFormat/>
    <w:rPr>
      <w:rFonts w:cs="Symbol"/>
      <w:sz w:val="16"/>
    </w:rPr>
  </w:style>
  <w:style w:type="character" w:styleId="ListLabel249">
    <w:name w:val="ListLabel 249"/>
    <w:qFormat/>
    <w:rPr>
      <w:rFonts w:cs="Courier New"/>
    </w:rPr>
  </w:style>
  <w:style w:type="character" w:styleId="ListLabel250">
    <w:name w:val="ListLabel 250"/>
    <w:qFormat/>
    <w:rPr>
      <w:rFonts w:cs="Wingdings"/>
    </w:rPr>
  </w:style>
  <w:style w:type="character" w:styleId="ListLabel251">
    <w:name w:val="ListLabel 251"/>
    <w:qFormat/>
    <w:rPr>
      <w:rFonts w:cs="Symbol"/>
    </w:rPr>
  </w:style>
  <w:style w:type="character" w:styleId="ListLabel252">
    <w:name w:val="ListLabel 252"/>
    <w:qFormat/>
    <w:rPr>
      <w:rFonts w:cs="Courier New"/>
    </w:rPr>
  </w:style>
  <w:style w:type="character" w:styleId="ListLabel253">
    <w:name w:val="ListLabel 253"/>
    <w:qFormat/>
    <w:rPr>
      <w:rFonts w:cs="Wingdings"/>
    </w:rPr>
  </w:style>
  <w:style w:type="character" w:styleId="ListLabel254">
    <w:name w:val="ListLabel 254"/>
    <w:qFormat/>
    <w:rPr>
      <w:rFonts w:cs="Symbol"/>
    </w:rPr>
  </w:style>
  <w:style w:type="character" w:styleId="ListLabel255">
    <w:name w:val="ListLabel 255"/>
    <w:qFormat/>
    <w:rPr>
      <w:rFonts w:cs="Courier New"/>
    </w:rPr>
  </w:style>
  <w:style w:type="character" w:styleId="ListLabel256">
    <w:name w:val="ListLabel 256"/>
    <w:qFormat/>
    <w:rPr>
      <w:rFonts w:cs="Wingdings"/>
    </w:rPr>
  </w:style>
  <w:style w:type="character" w:styleId="ListLabel257">
    <w:name w:val="ListLabel 257"/>
    <w:qFormat/>
    <w:rPr>
      <w:sz w:val="16"/>
      <w:szCs w:val="16"/>
    </w:rPr>
  </w:style>
  <w:style w:type="character" w:styleId="ListLabel258">
    <w:name w:val="ListLabel 258"/>
    <w:qFormat/>
    <w:rPr>
      <w:rFonts w:cs="Arial"/>
      <w:b/>
      <w:bCs/>
      <w:i w:val="false"/>
      <w:iCs w:val="false"/>
      <w:sz w:val="24"/>
      <w:szCs w:val="24"/>
    </w:rPr>
  </w:style>
  <w:style w:type="character" w:styleId="ListLabel259">
    <w:name w:val="ListLabel 259"/>
    <w:qFormat/>
    <w:rPr>
      <w:b/>
      <w:bCs/>
      <w:i w:val="false"/>
      <w:iCs w:val="false"/>
    </w:rPr>
  </w:style>
  <w:style w:type="character" w:styleId="ListLabel260">
    <w:name w:val="ListLabel 260"/>
    <w:qFormat/>
    <w:rPr>
      <w:b w:val="false"/>
      <w:bCs w:val="false"/>
      <w:i w:val="false"/>
      <w:iCs w:val="false"/>
      <w:sz w:val="16"/>
    </w:rPr>
  </w:style>
  <w:style w:type="character" w:styleId="ListLabel261">
    <w:name w:val="ListLabel 261"/>
    <w:qFormat/>
    <w:rPr>
      <w:b w:val="false"/>
      <w:bCs w:val="false"/>
      <w:i w:val="false"/>
      <w:iCs w:val="false"/>
      <w:sz w:val="18"/>
    </w:rPr>
  </w:style>
  <w:style w:type="character" w:styleId="ListLabel262">
    <w:name w:val="ListLabel 262"/>
    <w:qFormat/>
    <w:rPr>
      <w:rFonts w:cs="Symbol"/>
      <w:b/>
      <w:sz w:val="16"/>
    </w:rPr>
  </w:style>
  <w:style w:type="character" w:styleId="ListLabel263">
    <w:name w:val="ListLabel 263"/>
    <w:qFormat/>
    <w:rPr>
      <w:rFonts w:cs="Courier New"/>
    </w:rPr>
  </w:style>
  <w:style w:type="character" w:styleId="ListLabel264">
    <w:name w:val="ListLabel 264"/>
    <w:qFormat/>
    <w:rPr>
      <w:rFonts w:cs="Wingdings"/>
    </w:rPr>
  </w:style>
  <w:style w:type="character" w:styleId="ListLabel265">
    <w:name w:val="ListLabel 265"/>
    <w:qFormat/>
    <w:rPr>
      <w:rFonts w:cs="Symbol"/>
    </w:rPr>
  </w:style>
  <w:style w:type="character" w:styleId="ListLabel266">
    <w:name w:val="ListLabel 266"/>
    <w:qFormat/>
    <w:rPr>
      <w:rFonts w:cs="Courier New"/>
    </w:rPr>
  </w:style>
  <w:style w:type="character" w:styleId="ListLabel267">
    <w:name w:val="ListLabel 267"/>
    <w:qFormat/>
    <w:rPr>
      <w:rFonts w:cs="Wingdings"/>
    </w:rPr>
  </w:style>
  <w:style w:type="character" w:styleId="ListLabel268">
    <w:name w:val="ListLabel 268"/>
    <w:qFormat/>
    <w:rPr>
      <w:rFonts w:cs="Symbol"/>
    </w:rPr>
  </w:style>
  <w:style w:type="character" w:styleId="ListLabel269">
    <w:name w:val="ListLabel 269"/>
    <w:qFormat/>
    <w:rPr>
      <w:rFonts w:cs="Courier New"/>
    </w:rPr>
  </w:style>
  <w:style w:type="character" w:styleId="ListLabel270">
    <w:name w:val="ListLabel 270"/>
    <w:qFormat/>
    <w:rPr>
      <w:rFonts w:cs="Wingdings"/>
    </w:rPr>
  </w:style>
  <w:style w:type="character" w:styleId="ListLabel271">
    <w:name w:val="ListLabel 271"/>
    <w:qFormat/>
    <w:rPr>
      <w:rFonts w:cs="Symbol"/>
      <w:sz w:val="16"/>
    </w:rPr>
  </w:style>
  <w:style w:type="character" w:styleId="ListLabel272">
    <w:name w:val="ListLabel 272"/>
    <w:qFormat/>
    <w:rPr>
      <w:rFonts w:cs="Courier New"/>
    </w:rPr>
  </w:style>
  <w:style w:type="character" w:styleId="ListLabel273">
    <w:name w:val="ListLabel 273"/>
    <w:qFormat/>
    <w:rPr>
      <w:rFonts w:cs="Wingdings"/>
    </w:rPr>
  </w:style>
  <w:style w:type="character" w:styleId="ListLabel274">
    <w:name w:val="ListLabel 274"/>
    <w:qFormat/>
    <w:rPr>
      <w:rFonts w:cs="Symbol"/>
    </w:rPr>
  </w:style>
  <w:style w:type="character" w:styleId="ListLabel275">
    <w:name w:val="ListLabel 275"/>
    <w:qFormat/>
    <w:rPr>
      <w:rFonts w:cs="Courier New"/>
    </w:rPr>
  </w:style>
  <w:style w:type="character" w:styleId="ListLabel276">
    <w:name w:val="ListLabel 276"/>
    <w:qFormat/>
    <w:rPr>
      <w:rFonts w:cs="Wingdings"/>
    </w:rPr>
  </w:style>
  <w:style w:type="character" w:styleId="ListLabel277">
    <w:name w:val="ListLabel 277"/>
    <w:qFormat/>
    <w:rPr>
      <w:rFonts w:cs="Symbol"/>
    </w:rPr>
  </w:style>
  <w:style w:type="character" w:styleId="ListLabel278">
    <w:name w:val="ListLabel 278"/>
    <w:qFormat/>
    <w:rPr>
      <w:rFonts w:cs="Courier New"/>
    </w:rPr>
  </w:style>
  <w:style w:type="character" w:styleId="ListLabel279">
    <w:name w:val="ListLabel 279"/>
    <w:qFormat/>
    <w:rPr>
      <w:rFonts w:cs="Wingdings"/>
    </w:rPr>
  </w:style>
  <w:style w:type="character" w:styleId="ListLabel280">
    <w:name w:val="ListLabel 280"/>
    <w:qFormat/>
    <w:rPr>
      <w:rFonts w:cs="Symbol"/>
      <w:sz w:val="16"/>
    </w:rPr>
  </w:style>
  <w:style w:type="character" w:styleId="ListLabel281">
    <w:name w:val="ListLabel 281"/>
    <w:qFormat/>
    <w:rPr>
      <w:rFonts w:cs="Courier New"/>
    </w:rPr>
  </w:style>
  <w:style w:type="character" w:styleId="ListLabel282">
    <w:name w:val="ListLabel 282"/>
    <w:qFormat/>
    <w:rPr>
      <w:rFonts w:cs="Wingdings"/>
    </w:rPr>
  </w:style>
  <w:style w:type="character" w:styleId="ListLabel283">
    <w:name w:val="ListLabel 283"/>
    <w:qFormat/>
    <w:rPr>
      <w:rFonts w:cs="Symbol"/>
    </w:rPr>
  </w:style>
  <w:style w:type="character" w:styleId="ListLabel284">
    <w:name w:val="ListLabel 284"/>
    <w:qFormat/>
    <w:rPr>
      <w:rFonts w:cs="Courier New"/>
    </w:rPr>
  </w:style>
  <w:style w:type="character" w:styleId="ListLabel285">
    <w:name w:val="ListLabel 285"/>
    <w:qFormat/>
    <w:rPr>
      <w:rFonts w:cs="Wingdings"/>
    </w:rPr>
  </w:style>
  <w:style w:type="character" w:styleId="ListLabel286">
    <w:name w:val="ListLabel 286"/>
    <w:qFormat/>
    <w:rPr>
      <w:rFonts w:cs="Symbol"/>
    </w:rPr>
  </w:style>
  <w:style w:type="character" w:styleId="ListLabel287">
    <w:name w:val="ListLabel 287"/>
    <w:qFormat/>
    <w:rPr>
      <w:rFonts w:cs="Courier New"/>
    </w:rPr>
  </w:style>
  <w:style w:type="character" w:styleId="ListLabel288">
    <w:name w:val="ListLabel 288"/>
    <w:qFormat/>
    <w:rPr>
      <w:rFonts w:cs="Wingdings"/>
    </w:rPr>
  </w:style>
  <w:style w:type="character" w:styleId="ListLabel289">
    <w:name w:val="ListLabel 289"/>
    <w:qFormat/>
    <w:rPr>
      <w:sz w:val="16"/>
      <w:szCs w:val="16"/>
    </w:rPr>
  </w:style>
  <w:style w:type="character" w:styleId="ListLabel290">
    <w:name w:val="ListLabel 290"/>
    <w:qFormat/>
    <w:rPr>
      <w:rFonts w:cs="Arial"/>
      <w:b/>
      <w:bCs/>
      <w:i w:val="false"/>
      <w:iCs w:val="false"/>
      <w:sz w:val="24"/>
      <w:szCs w:val="24"/>
    </w:rPr>
  </w:style>
  <w:style w:type="character" w:styleId="ListLabel291">
    <w:name w:val="ListLabel 291"/>
    <w:qFormat/>
    <w:rPr>
      <w:b/>
      <w:bCs/>
      <w:i w:val="false"/>
      <w:iCs w:val="false"/>
    </w:rPr>
  </w:style>
  <w:style w:type="character" w:styleId="ListLabel292">
    <w:name w:val="ListLabel 292"/>
    <w:qFormat/>
    <w:rPr>
      <w:b w:val="false"/>
      <w:bCs w:val="false"/>
      <w:i w:val="false"/>
      <w:iCs w:val="false"/>
      <w:sz w:val="16"/>
    </w:rPr>
  </w:style>
  <w:style w:type="character" w:styleId="ListLabel293">
    <w:name w:val="ListLabel 293"/>
    <w:qFormat/>
    <w:rPr>
      <w:b w:val="false"/>
      <w:bCs w:val="false"/>
      <w:i w:val="false"/>
      <w:iCs w:val="false"/>
      <w:sz w:val="18"/>
    </w:rPr>
  </w:style>
  <w:style w:type="character" w:styleId="ListLabel294">
    <w:name w:val="ListLabel 294"/>
    <w:qFormat/>
    <w:rPr>
      <w:rFonts w:cs="Symbol"/>
      <w:b/>
      <w:sz w:val="16"/>
    </w:rPr>
  </w:style>
  <w:style w:type="character" w:styleId="ListLabel295">
    <w:name w:val="ListLabel 295"/>
    <w:qFormat/>
    <w:rPr>
      <w:rFonts w:cs="Courier New"/>
    </w:rPr>
  </w:style>
  <w:style w:type="character" w:styleId="ListLabel296">
    <w:name w:val="ListLabel 296"/>
    <w:qFormat/>
    <w:rPr>
      <w:rFonts w:cs="Wingdings"/>
    </w:rPr>
  </w:style>
  <w:style w:type="character" w:styleId="ListLabel297">
    <w:name w:val="ListLabel 297"/>
    <w:qFormat/>
    <w:rPr>
      <w:rFonts w:cs="Symbol"/>
    </w:rPr>
  </w:style>
  <w:style w:type="character" w:styleId="ListLabel298">
    <w:name w:val="ListLabel 298"/>
    <w:qFormat/>
    <w:rPr>
      <w:rFonts w:cs="Courier New"/>
    </w:rPr>
  </w:style>
  <w:style w:type="character" w:styleId="ListLabel299">
    <w:name w:val="ListLabel 299"/>
    <w:qFormat/>
    <w:rPr>
      <w:rFonts w:cs="Wingdings"/>
    </w:rPr>
  </w:style>
  <w:style w:type="character" w:styleId="ListLabel300">
    <w:name w:val="ListLabel 300"/>
    <w:qFormat/>
    <w:rPr>
      <w:rFonts w:cs="Symbol"/>
    </w:rPr>
  </w:style>
  <w:style w:type="character" w:styleId="ListLabel301">
    <w:name w:val="ListLabel 301"/>
    <w:qFormat/>
    <w:rPr>
      <w:rFonts w:cs="Courier New"/>
    </w:rPr>
  </w:style>
  <w:style w:type="character" w:styleId="ListLabel302">
    <w:name w:val="ListLabel 302"/>
    <w:qFormat/>
    <w:rPr>
      <w:rFonts w:cs="Wingdings"/>
    </w:rPr>
  </w:style>
  <w:style w:type="character" w:styleId="ListLabel303">
    <w:name w:val="ListLabel 303"/>
    <w:qFormat/>
    <w:rPr>
      <w:rFonts w:cs="Symbol"/>
      <w:sz w:val="16"/>
    </w:rPr>
  </w:style>
  <w:style w:type="character" w:styleId="ListLabel304">
    <w:name w:val="ListLabel 304"/>
    <w:qFormat/>
    <w:rPr>
      <w:rFonts w:cs="Courier New"/>
    </w:rPr>
  </w:style>
  <w:style w:type="character" w:styleId="ListLabel305">
    <w:name w:val="ListLabel 305"/>
    <w:qFormat/>
    <w:rPr>
      <w:rFonts w:cs="Wingdings"/>
    </w:rPr>
  </w:style>
  <w:style w:type="character" w:styleId="ListLabel306">
    <w:name w:val="ListLabel 306"/>
    <w:qFormat/>
    <w:rPr>
      <w:rFonts w:cs="Symbol"/>
    </w:rPr>
  </w:style>
  <w:style w:type="character" w:styleId="ListLabel307">
    <w:name w:val="ListLabel 307"/>
    <w:qFormat/>
    <w:rPr>
      <w:rFonts w:cs="Courier New"/>
    </w:rPr>
  </w:style>
  <w:style w:type="character" w:styleId="ListLabel308">
    <w:name w:val="ListLabel 308"/>
    <w:qFormat/>
    <w:rPr>
      <w:rFonts w:cs="Wingdings"/>
    </w:rPr>
  </w:style>
  <w:style w:type="character" w:styleId="ListLabel309">
    <w:name w:val="ListLabel 309"/>
    <w:qFormat/>
    <w:rPr>
      <w:rFonts w:cs="Symbol"/>
    </w:rPr>
  </w:style>
  <w:style w:type="character" w:styleId="ListLabel310">
    <w:name w:val="ListLabel 310"/>
    <w:qFormat/>
    <w:rPr>
      <w:rFonts w:cs="Courier New"/>
    </w:rPr>
  </w:style>
  <w:style w:type="character" w:styleId="ListLabel311">
    <w:name w:val="ListLabel 311"/>
    <w:qFormat/>
    <w:rPr>
      <w:rFonts w:cs="Wingdings"/>
    </w:rPr>
  </w:style>
  <w:style w:type="character" w:styleId="ListLabel312">
    <w:name w:val="ListLabel 312"/>
    <w:qFormat/>
    <w:rPr>
      <w:rFonts w:cs="Symbol"/>
      <w:sz w:val="16"/>
    </w:rPr>
  </w:style>
  <w:style w:type="character" w:styleId="ListLabel313">
    <w:name w:val="ListLabel 313"/>
    <w:qFormat/>
    <w:rPr>
      <w:rFonts w:cs="Courier New"/>
    </w:rPr>
  </w:style>
  <w:style w:type="character" w:styleId="ListLabel314">
    <w:name w:val="ListLabel 314"/>
    <w:qFormat/>
    <w:rPr>
      <w:rFonts w:cs="Wingdings"/>
    </w:rPr>
  </w:style>
  <w:style w:type="character" w:styleId="ListLabel315">
    <w:name w:val="ListLabel 315"/>
    <w:qFormat/>
    <w:rPr>
      <w:rFonts w:cs="Symbol"/>
    </w:rPr>
  </w:style>
  <w:style w:type="character" w:styleId="ListLabel316">
    <w:name w:val="ListLabel 316"/>
    <w:qFormat/>
    <w:rPr>
      <w:rFonts w:cs="Courier New"/>
    </w:rPr>
  </w:style>
  <w:style w:type="character" w:styleId="ListLabel317">
    <w:name w:val="ListLabel 317"/>
    <w:qFormat/>
    <w:rPr>
      <w:rFonts w:cs="Wingdings"/>
    </w:rPr>
  </w:style>
  <w:style w:type="character" w:styleId="ListLabel318">
    <w:name w:val="ListLabel 318"/>
    <w:qFormat/>
    <w:rPr>
      <w:rFonts w:cs="Symbol"/>
    </w:rPr>
  </w:style>
  <w:style w:type="character" w:styleId="ListLabel319">
    <w:name w:val="ListLabel 319"/>
    <w:qFormat/>
    <w:rPr>
      <w:rFonts w:cs="Courier New"/>
    </w:rPr>
  </w:style>
  <w:style w:type="character" w:styleId="ListLabel320">
    <w:name w:val="ListLabel 320"/>
    <w:qFormat/>
    <w:rPr>
      <w:rFonts w:cs="Wingdings"/>
    </w:rPr>
  </w:style>
  <w:style w:type="character" w:styleId="ListLabel321">
    <w:name w:val="ListLabel 321"/>
    <w:qFormat/>
    <w:rPr>
      <w:sz w:val="16"/>
      <w:szCs w:val="16"/>
    </w:rPr>
  </w:style>
  <w:style w:type="character" w:styleId="ListLabel322">
    <w:name w:val="ListLabel 322"/>
    <w:qFormat/>
    <w:rPr>
      <w:rFonts w:cs="Arial"/>
      <w:b/>
      <w:bCs/>
      <w:i w:val="false"/>
      <w:iCs w:val="false"/>
      <w:sz w:val="24"/>
      <w:szCs w:val="24"/>
    </w:rPr>
  </w:style>
  <w:style w:type="character" w:styleId="ListLabel323">
    <w:name w:val="ListLabel 323"/>
    <w:qFormat/>
    <w:rPr>
      <w:b/>
      <w:bCs/>
      <w:i w:val="false"/>
      <w:iCs w:val="false"/>
    </w:rPr>
  </w:style>
  <w:style w:type="character" w:styleId="ListLabel324">
    <w:name w:val="ListLabel 324"/>
    <w:qFormat/>
    <w:rPr>
      <w:b w:val="false"/>
      <w:bCs w:val="false"/>
      <w:i w:val="false"/>
      <w:iCs w:val="false"/>
      <w:sz w:val="16"/>
    </w:rPr>
  </w:style>
  <w:style w:type="character" w:styleId="ListLabel325">
    <w:name w:val="ListLabel 325"/>
    <w:qFormat/>
    <w:rPr>
      <w:b w:val="false"/>
      <w:bCs w:val="false"/>
      <w:i w:val="false"/>
      <w:iCs w:val="false"/>
      <w:sz w:val="18"/>
    </w:rPr>
  </w:style>
  <w:style w:type="character" w:styleId="ListLabel326">
    <w:name w:val="ListLabel 326"/>
    <w:qFormat/>
    <w:rPr>
      <w:rFonts w:cs="Symbol"/>
      <w:b/>
      <w:sz w:val="16"/>
    </w:rPr>
  </w:style>
  <w:style w:type="character" w:styleId="ListLabel327">
    <w:name w:val="ListLabel 327"/>
    <w:qFormat/>
    <w:rPr>
      <w:rFonts w:cs="Courier New"/>
    </w:rPr>
  </w:style>
  <w:style w:type="character" w:styleId="ListLabel328">
    <w:name w:val="ListLabel 328"/>
    <w:qFormat/>
    <w:rPr>
      <w:rFonts w:cs="Wingdings"/>
    </w:rPr>
  </w:style>
  <w:style w:type="character" w:styleId="ListLabel329">
    <w:name w:val="ListLabel 329"/>
    <w:qFormat/>
    <w:rPr>
      <w:rFonts w:cs="Symbol"/>
    </w:rPr>
  </w:style>
  <w:style w:type="character" w:styleId="ListLabel330">
    <w:name w:val="ListLabel 330"/>
    <w:qFormat/>
    <w:rPr>
      <w:rFonts w:cs="Courier New"/>
    </w:rPr>
  </w:style>
  <w:style w:type="character" w:styleId="ListLabel331">
    <w:name w:val="ListLabel 331"/>
    <w:qFormat/>
    <w:rPr>
      <w:rFonts w:cs="Wingdings"/>
    </w:rPr>
  </w:style>
  <w:style w:type="character" w:styleId="ListLabel332">
    <w:name w:val="ListLabel 332"/>
    <w:qFormat/>
    <w:rPr>
      <w:rFonts w:cs="Symbol"/>
    </w:rPr>
  </w:style>
  <w:style w:type="character" w:styleId="ListLabel333">
    <w:name w:val="ListLabel 333"/>
    <w:qFormat/>
    <w:rPr>
      <w:rFonts w:cs="Courier New"/>
    </w:rPr>
  </w:style>
  <w:style w:type="character" w:styleId="ListLabel334">
    <w:name w:val="ListLabel 334"/>
    <w:qFormat/>
    <w:rPr>
      <w:rFonts w:cs="Wingdings"/>
    </w:rPr>
  </w:style>
  <w:style w:type="character" w:styleId="ListLabel335">
    <w:name w:val="ListLabel 335"/>
    <w:qFormat/>
    <w:rPr>
      <w:rFonts w:cs="Symbol"/>
      <w:sz w:val="16"/>
    </w:rPr>
  </w:style>
  <w:style w:type="character" w:styleId="ListLabel336">
    <w:name w:val="ListLabel 336"/>
    <w:qFormat/>
    <w:rPr>
      <w:rFonts w:cs="Courier New"/>
    </w:rPr>
  </w:style>
  <w:style w:type="character" w:styleId="ListLabel337">
    <w:name w:val="ListLabel 337"/>
    <w:qFormat/>
    <w:rPr>
      <w:rFonts w:cs="Wingdings"/>
    </w:rPr>
  </w:style>
  <w:style w:type="character" w:styleId="ListLabel338">
    <w:name w:val="ListLabel 338"/>
    <w:qFormat/>
    <w:rPr>
      <w:rFonts w:cs="Symbol"/>
    </w:rPr>
  </w:style>
  <w:style w:type="character" w:styleId="ListLabel339">
    <w:name w:val="ListLabel 339"/>
    <w:qFormat/>
    <w:rPr>
      <w:rFonts w:cs="Courier New"/>
    </w:rPr>
  </w:style>
  <w:style w:type="character" w:styleId="ListLabel340">
    <w:name w:val="ListLabel 340"/>
    <w:qFormat/>
    <w:rPr>
      <w:rFonts w:cs="Wingdings"/>
    </w:rPr>
  </w:style>
  <w:style w:type="character" w:styleId="ListLabel341">
    <w:name w:val="ListLabel 341"/>
    <w:qFormat/>
    <w:rPr>
      <w:rFonts w:cs="Symbol"/>
    </w:rPr>
  </w:style>
  <w:style w:type="character" w:styleId="ListLabel342">
    <w:name w:val="ListLabel 342"/>
    <w:qFormat/>
    <w:rPr>
      <w:rFonts w:cs="Courier New"/>
    </w:rPr>
  </w:style>
  <w:style w:type="character" w:styleId="ListLabel343">
    <w:name w:val="ListLabel 343"/>
    <w:qFormat/>
    <w:rPr>
      <w:rFonts w:cs="Wingdings"/>
    </w:rPr>
  </w:style>
  <w:style w:type="character" w:styleId="ListLabel344">
    <w:name w:val="ListLabel 344"/>
    <w:qFormat/>
    <w:rPr>
      <w:rFonts w:cs="Symbol"/>
      <w:sz w:val="16"/>
    </w:rPr>
  </w:style>
  <w:style w:type="character" w:styleId="ListLabel345">
    <w:name w:val="ListLabel 345"/>
    <w:qFormat/>
    <w:rPr>
      <w:rFonts w:cs="Courier New"/>
    </w:rPr>
  </w:style>
  <w:style w:type="character" w:styleId="ListLabel346">
    <w:name w:val="ListLabel 346"/>
    <w:qFormat/>
    <w:rPr>
      <w:rFonts w:cs="Wingdings"/>
    </w:rPr>
  </w:style>
  <w:style w:type="character" w:styleId="ListLabel347">
    <w:name w:val="ListLabel 347"/>
    <w:qFormat/>
    <w:rPr>
      <w:rFonts w:cs="Symbol"/>
    </w:rPr>
  </w:style>
  <w:style w:type="character" w:styleId="ListLabel348">
    <w:name w:val="ListLabel 348"/>
    <w:qFormat/>
    <w:rPr>
      <w:rFonts w:cs="Courier New"/>
    </w:rPr>
  </w:style>
  <w:style w:type="character" w:styleId="ListLabel349">
    <w:name w:val="ListLabel 349"/>
    <w:qFormat/>
    <w:rPr>
      <w:rFonts w:cs="Wingdings"/>
    </w:rPr>
  </w:style>
  <w:style w:type="character" w:styleId="ListLabel350">
    <w:name w:val="ListLabel 350"/>
    <w:qFormat/>
    <w:rPr>
      <w:rFonts w:cs="Symbol"/>
    </w:rPr>
  </w:style>
  <w:style w:type="character" w:styleId="ListLabel351">
    <w:name w:val="ListLabel 351"/>
    <w:qFormat/>
    <w:rPr>
      <w:rFonts w:cs="Courier New"/>
    </w:rPr>
  </w:style>
  <w:style w:type="character" w:styleId="ListLabel352">
    <w:name w:val="ListLabel 352"/>
    <w:qFormat/>
    <w:rPr>
      <w:rFonts w:cs="Wingdings"/>
    </w:rPr>
  </w:style>
  <w:style w:type="character" w:styleId="ListLabel353">
    <w:name w:val="ListLabel 353"/>
    <w:qFormat/>
    <w:rPr>
      <w:sz w:val="16"/>
      <w:szCs w:val="16"/>
    </w:rPr>
  </w:style>
  <w:style w:type="character" w:styleId="ListLabel354">
    <w:name w:val="ListLabel 354"/>
    <w:qFormat/>
    <w:rPr>
      <w:rFonts w:cs="Arial"/>
      <w:b/>
      <w:bCs/>
      <w:i w:val="false"/>
      <w:iCs w:val="false"/>
      <w:sz w:val="24"/>
      <w:szCs w:val="24"/>
    </w:rPr>
  </w:style>
  <w:style w:type="character" w:styleId="ListLabel355">
    <w:name w:val="ListLabel 355"/>
    <w:qFormat/>
    <w:rPr>
      <w:b/>
      <w:bCs/>
      <w:i w:val="false"/>
      <w:iCs w:val="false"/>
    </w:rPr>
  </w:style>
  <w:style w:type="character" w:styleId="ListLabel356">
    <w:name w:val="ListLabel 356"/>
    <w:qFormat/>
    <w:rPr>
      <w:b w:val="false"/>
      <w:bCs w:val="false"/>
      <w:i w:val="false"/>
      <w:iCs w:val="false"/>
      <w:sz w:val="16"/>
    </w:rPr>
  </w:style>
  <w:style w:type="character" w:styleId="ListLabel357">
    <w:name w:val="ListLabel 357"/>
    <w:qFormat/>
    <w:rPr>
      <w:b w:val="false"/>
      <w:bCs w:val="false"/>
      <w:i w:val="false"/>
      <w:iCs w:val="false"/>
      <w:sz w:val="18"/>
    </w:rPr>
  </w:style>
  <w:style w:type="character" w:styleId="ListLabel358">
    <w:name w:val="ListLabel 358"/>
    <w:qFormat/>
    <w:rPr>
      <w:rFonts w:cs="Symbol"/>
      <w:b/>
      <w:sz w:val="16"/>
    </w:rPr>
  </w:style>
  <w:style w:type="character" w:styleId="ListLabel359">
    <w:name w:val="ListLabel 359"/>
    <w:qFormat/>
    <w:rPr>
      <w:rFonts w:cs="Courier New"/>
    </w:rPr>
  </w:style>
  <w:style w:type="character" w:styleId="ListLabel360">
    <w:name w:val="ListLabel 360"/>
    <w:qFormat/>
    <w:rPr>
      <w:rFonts w:cs="Wingdings"/>
    </w:rPr>
  </w:style>
  <w:style w:type="character" w:styleId="ListLabel361">
    <w:name w:val="ListLabel 361"/>
    <w:qFormat/>
    <w:rPr>
      <w:rFonts w:cs="Symbol"/>
    </w:rPr>
  </w:style>
  <w:style w:type="character" w:styleId="ListLabel362">
    <w:name w:val="ListLabel 362"/>
    <w:qFormat/>
    <w:rPr>
      <w:rFonts w:cs="Courier New"/>
    </w:rPr>
  </w:style>
  <w:style w:type="character" w:styleId="ListLabel363">
    <w:name w:val="ListLabel 363"/>
    <w:qFormat/>
    <w:rPr>
      <w:rFonts w:cs="Wingdings"/>
    </w:rPr>
  </w:style>
  <w:style w:type="character" w:styleId="ListLabel364">
    <w:name w:val="ListLabel 364"/>
    <w:qFormat/>
    <w:rPr>
      <w:rFonts w:cs="Symbol"/>
    </w:rPr>
  </w:style>
  <w:style w:type="character" w:styleId="ListLabel365">
    <w:name w:val="ListLabel 365"/>
    <w:qFormat/>
    <w:rPr>
      <w:rFonts w:cs="Courier New"/>
    </w:rPr>
  </w:style>
  <w:style w:type="character" w:styleId="ListLabel366">
    <w:name w:val="ListLabel 366"/>
    <w:qFormat/>
    <w:rPr>
      <w:rFonts w:cs="Wingdings"/>
    </w:rPr>
  </w:style>
  <w:style w:type="character" w:styleId="ListLabel367">
    <w:name w:val="ListLabel 367"/>
    <w:qFormat/>
    <w:rPr>
      <w:rFonts w:cs="Symbol"/>
      <w:sz w:val="16"/>
    </w:rPr>
  </w:style>
  <w:style w:type="character" w:styleId="ListLabel368">
    <w:name w:val="ListLabel 368"/>
    <w:qFormat/>
    <w:rPr>
      <w:rFonts w:cs="Courier New"/>
    </w:rPr>
  </w:style>
  <w:style w:type="character" w:styleId="ListLabel369">
    <w:name w:val="ListLabel 369"/>
    <w:qFormat/>
    <w:rPr>
      <w:rFonts w:cs="Wingdings"/>
    </w:rPr>
  </w:style>
  <w:style w:type="character" w:styleId="ListLabel370">
    <w:name w:val="ListLabel 370"/>
    <w:qFormat/>
    <w:rPr>
      <w:rFonts w:cs="Symbol"/>
    </w:rPr>
  </w:style>
  <w:style w:type="character" w:styleId="ListLabel371">
    <w:name w:val="ListLabel 371"/>
    <w:qFormat/>
    <w:rPr>
      <w:rFonts w:cs="Courier New"/>
    </w:rPr>
  </w:style>
  <w:style w:type="character" w:styleId="ListLabel372">
    <w:name w:val="ListLabel 372"/>
    <w:qFormat/>
    <w:rPr>
      <w:rFonts w:cs="Wingdings"/>
    </w:rPr>
  </w:style>
  <w:style w:type="character" w:styleId="ListLabel373">
    <w:name w:val="ListLabel 373"/>
    <w:qFormat/>
    <w:rPr>
      <w:rFonts w:cs="Symbol"/>
    </w:rPr>
  </w:style>
  <w:style w:type="character" w:styleId="ListLabel374">
    <w:name w:val="ListLabel 374"/>
    <w:qFormat/>
    <w:rPr>
      <w:rFonts w:cs="Courier New"/>
    </w:rPr>
  </w:style>
  <w:style w:type="character" w:styleId="ListLabel375">
    <w:name w:val="ListLabel 375"/>
    <w:qFormat/>
    <w:rPr>
      <w:rFonts w:cs="Wingdings"/>
    </w:rPr>
  </w:style>
  <w:style w:type="character" w:styleId="ListLabel376">
    <w:name w:val="ListLabel 376"/>
    <w:qFormat/>
    <w:rPr>
      <w:rFonts w:cs="Symbol"/>
      <w:sz w:val="16"/>
    </w:rPr>
  </w:style>
  <w:style w:type="character" w:styleId="ListLabel377">
    <w:name w:val="ListLabel 377"/>
    <w:qFormat/>
    <w:rPr>
      <w:rFonts w:cs="Courier New"/>
    </w:rPr>
  </w:style>
  <w:style w:type="character" w:styleId="ListLabel378">
    <w:name w:val="ListLabel 378"/>
    <w:qFormat/>
    <w:rPr>
      <w:rFonts w:cs="Wingdings"/>
    </w:rPr>
  </w:style>
  <w:style w:type="character" w:styleId="ListLabel379">
    <w:name w:val="ListLabel 379"/>
    <w:qFormat/>
    <w:rPr>
      <w:rFonts w:cs="Symbol"/>
    </w:rPr>
  </w:style>
  <w:style w:type="character" w:styleId="ListLabel380">
    <w:name w:val="ListLabel 380"/>
    <w:qFormat/>
    <w:rPr>
      <w:rFonts w:cs="Courier New"/>
    </w:rPr>
  </w:style>
  <w:style w:type="character" w:styleId="ListLabel381">
    <w:name w:val="ListLabel 381"/>
    <w:qFormat/>
    <w:rPr>
      <w:rFonts w:cs="Wingdings"/>
    </w:rPr>
  </w:style>
  <w:style w:type="character" w:styleId="ListLabel382">
    <w:name w:val="ListLabel 382"/>
    <w:qFormat/>
    <w:rPr>
      <w:rFonts w:cs="Symbol"/>
    </w:rPr>
  </w:style>
  <w:style w:type="character" w:styleId="ListLabel383">
    <w:name w:val="ListLabel 383"/>
    <w:qFormat/>
    <w:rPr>
      <w:rFonts w:cs="Courier New"/>
    </w:rPr>
  </w:style>
  <w:style w:type="character" w:styleId="ListLabel384">
    <w:name w:val="ListLabel 384"/>
    <w:qFormat/>
    <w:rPr>
      <w:rFonts w:cs="Wingdings"/>
    </w:rPr>
  </w:style>
  <w:style w:type="character" w:styleId="ListLabel385">
    <w:name w:val="ListLabel 385"/>
    <w:qFormat/>
    <w:rPr>
      <w:sz w:val="16"/>
      <w:szCs w:val="16"/>
    </w:rPr>
  </w:style>
  <w:style w:type="character" w:styleId="ListLabel386">
    <w:name w:val="ListLabel 386"/>
    <w:qFormat/>
    <w:rPr>
      <w:rFonts w:cs="Arial"/>
      <w:b/>
      <w:bCs/>
      <w:i w:val="false"/>
      <w:iCs w:val="false"/>
      <w:sz w:val="24"/>
      <w:szCs w:val="24"/>
    </w:rPr>
  </w:style>
  <w:style w:type="character" w:styleId="ListLabel387">
    <w:name w:val="ListLabel 387"/>
    <w:qFormat/>
    <w:rPr>
      <w:b/>
      <w:bCs/>
      <w:i w:val="false"/>
      <w:iCs w:val="false"/>
    </w:rPr>
  </w:style>
  <w:style w:type="character" w:styleId="ListLabel388">
    <w:name w:val="ListLabel 388"/>
    <w:qFormat/>
    <w:rPr>
      <w:b w:val="false"/>
      <w:bCs w:val="false"/>
      <w:i w:val="false"/>
      <w:iCs w:val="false"/>
      <w:sz w:val="16"/>
    </w:rPr>
  </w:style>
  <w:style w:type="character" w:styleId="ListLabel389">
    <w:name w:val="ListLabel 389"/>
    <w:qFormat/>
    <w:rPr>
      <w:b w:val="false"/>
      <w:bCs w:val="false"/>
      <w:i w:val="false"/>
      <w:iCs w:val="false"/>
      <w:sz w:val="18"/>
    </w:rPr>
  </w:style>
  <w:style w:type="character" w:styleId="ListLabel390">
    <w:name w:val="ListLabel 390"/>
    <w:qFormat/>
    <w:rPr>
      <w:rFonts w:cs="Symbol"/>
      <w:b/>
      <w:sz w:val="16"/>
    </w:rPr>
  </w:style>
  <w:style w:type="character" w:styleId="ListLabel391">
    <w:name w:val="ListLabel 391"/>
    <w:qFormat/>
    <w:rPr>
      <w:rFonts w:cs="Courier New"/>
    </w:rPr>
  </w:style>
  <w:style w:type="character" w:styleId="ListLabel392">
    <w:name w:val="ListLabel 392"/>
    <w:qFormat/>
    <w:rPr>
      <w:rFonts w:cs="Wingdings"/>
    </w:rPr>
  </w:style>
  <w:style w:type="character" w:styleId="ListLabel393">
    <w:name w:val="ListLabel 393"/>
    <w:qFormat/>
    <w:rPr>
      <w:rFonts w:cs="Symbol"/>
    </w:rPr>
  </w:style>
  <w:style w:type="character" w:styleId="ListLabel394">
    <w:name w:val="ListLabel 394"/>
    <w:qFormat/>
    <w:rPr>
      <w:rFonts w:cs="Courier New"/>
    </w:rPr>
  </w:style>
  <w:style w:type="character" w:styleId="ListLabel395">
    <w:name w:val="ListLabel 395"/>
    <w:qFormat/>
    <w:rPr>
      <w:rFonts w:cs="Wingdings"/>
    </w:rPr>
  </w:style>
  <w:style w:type="character" w:styleId="ListLabel396">
    <w:name w:val="ListLabel 396"/>
    <w:qFormat/>
    <w:rPr>
      <w:rFonts w:cs="Symbol"/>
    </w:rPr>
  </w:style>
  <w:style w:type="character" w:styleId="ListLabel397">
    <w:name w:val="ListLabel 397"/>
    <w:qFormat/>
    <w:rPr>
      <w:rFonts w:cs="Courier New"/>
    </w:rPr>
  </w:style>
  <w:style w:type="character" w:styleId="ListLabel398">
    <w:name w:val="ListLabel 398"/>
    <w:qFormat/>
    <w:rPr>
      <w:rFonts w:cs="Wingdings"/>
    </w:rPr>
  </w:style>
  <w:style w:type="character" w:styleId="ListLabel399">
    <w:name w:val="ListLabel 399"/>
    <w:qFormat/>
    <w:rPr>
      <w:rFonts w:cs="Symbol"/>
      <w:sz w:val="16"/>
    </w:rPr>
  </w:style>
  <w:style w:type="character" w:styleId="ListLabel400">
    <w:name w:val="ListLabel 400"/>
    <w:qFormat/>
    <w:rPr>
      <w:rFonts w:cs="Courier New"/>
    </w:rPr>
  </w:style>
  <w:style w:type="character" w:styleId="ListLabel401">
    <w:name w:val="ListLabel 401"/>
    <w:qFormat/>
    <w:rPr>
      <w:rFonts w:cs="Wingdings"/>
    </w:rPr>
  </w:style>
  <w:style w:type="character" w:styleId="ListLabel402">
    <w:name w:val="ListLabel 402"/>
    <w:qFormat/>
    <w:rPr>
      <w:rFonts w:cs="Symbol"/>
    </w:rPr>
  </w:style>
  <w:style w:type="character" w:styleId="ListLabel403">
    <w:name w:val="ListLabel 403"/>
    <w:qFormat/>
    <w:rPr>
      <w:rFonts w:cs="Courier New"/>
    </w:rPr>
  </w:style>
  <w:style w:type="character" w:styleId="ListLabel404">
    <w:name w:val="ListLabel 404"/>
    <w:qFormat/>
    <w:rPr>
      <w:rFonts w:cs="Wingdings"/>
    </w:rPr>
  </w:style>
  <w:style w:type="character" w:styleId="ListLabel405">
    <w:name w:val="ListLabel 405"/>
    <w:qFormat/>
    <w:rPr>
      <w:rFonts w:cs="Symbol"/>
    </w:rPr>
  </w:style>
  <w:style w:type="character" w:styleId="ListLabel406">
    <w:name w:val="ListLabel 406"/>
    <w:qFormat/>
    <w:rPr>
      <w:rFonts w:cs="Courier New"/>
    </w:rPr>
  </w:style>
  <w:style w:type="character" w:styleId="ListLabel407">
    <w:name w:val="ListLabel 407"/>
    <w:qFormat/>
    <w:rPr>
      <w:rFonts w:cs="Wingdings"/>
    </w:rPr>
  </w:style>
  <w:style w:type="character" w:styleId="ListLabel408">
    <w:name w:val="ListLabel 408"/>
    <w:qFormat/>
    <w:rPr>
      <w:rFonts w:cs="Symbol"/>
      <w:sz w:val="16"/>
    </w:rPr>
  </w:style>
  <w:style w:type="character" w:styleId="ListLabel409">
    <w:name w:val="ListLabel 409"/>
    <w:qFormat/>
    <w:rPr>
      <w:rFonts w:cs="Courier New"/>
    </w:rPr>
  </w:style>
  <w:style w:type="character" w:styleId="ListLabel410">
    <w:name w:val="ListLabel 410"/>
    <w:qFormat/>
    <w:rPr>
      <w:rFonts w:cs="Wingdings"/>
    </w:rPr>
  </w:style>
  <w:style w:type="character" w:styleId="ListLabel411">
    <w:name w:val="ListLabel 411"/>
    <w:qFormat/>
    <w:rPr>
      <w:rFonts w:cs="Symbol"/>
    </w:rPr>
  </w:style>
  <w:style w:type="character" w:styleId="ListLabel412">
    <w:name w:val="ListLabel 412"/>
    <w:qFormat/>
    <w:rPr>
      <w:rFonts w:cs="Courier New"/>
    </w:rPr>
  </w:style>
  <w:style w:type="character" w:styleId="ListLabel413">
    <w:name w:val="ListLabel 413"/>
    <w:qFormat/>
    <w:rPr>
      <w:rFonts w:cs="Wingdings"/>
    </w:rPr>
  </w:style>
  <w:style w:type="character" w:styleId="ListLabel414">
    <w:name w:val="ListLabel 414"/>
    <w:qFormat/>
    <w:rPr>
      <w:rFonts w:cs="Symbol"/>
    </w:rPr>
  </w:style>
  <w:style w:type="character" w:styleId="ListLabel415">
    <w:name w:val="ListLabel 415"/>
    <w:qFormat/>
    <w:rPr>
      <w:rFonts w:cs="Courier New"/>
    </w:rPr>
  </w:style>
  <w:style w:type="character" w:styleId="ListLabel416">
    <w:name w:val="ListLabel 416"/>
    <w:qFormat/>
    <w:rPr>
      <w:rFonts w:cs="Wingdings"/>
    </w:rPr>
  </w:style>
  <w:style w:type="character" w:styleId="ListLabel417">
    <w:name w:val="ListLabel 417"/>
    <w:qFormat/>
    <w:rPr>
      <w:sz w:val="16"/>
      <w:szCs w:val="16"/>
    </w:rPr>
  </w:style>
  <w:style w:type="paragraph" w:styleId="Nadpis" w:customStyle="1">
    <w:name w:val="Nadpis"/>
    <w:basedOn w:val="Normal"/>
    <w:next w:val="Telotextu"/>
    <w:qFormat/>
    <w:rsid w:val="00ce3333"/>
    <w:pPr>
      <w:keepNext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link w:val="ZkladntextChar"/>
    <w:uiPriority w:val="99"/>
    <w:rsid w:val="00497323"/>
    <w:pPr>
      <w:spacing w:lineRule="auto" w:line="240" w:before="0" w:after="0"/>
    </w:pPr>
    <w:rPr>
      <w:rFonts w:ascii="Arial" w:hAnsi="Arial" w:cs="Arial"/>
      <w:sz w:val="24"/>
      <w:szCs w:val="24"/>
      <w:lang w:val="de-DE"/>
    </w:rPr>
  </w:style>
  <w:style w:type="paragraph" w:styleId="Zoznam">
    <w:name w:val="List"/>
    <w:basedOn w:val="Telotextu"/>
    <w:rsid w:val="00ce3333"/>
    <w:pPr/>
    <w:rPr/>
  </w:style>
  <w:style w:type="paragraph" w:styleId="Popis" w:customStyle="1">
    <w:name w:val="Caption"/>
    <w:basedOn w:val="Normal"/>
    <w:qFormat/>
    <w:rsid w:val="00ce3333"/>
    <w:pPr>
      <w:suppressLineNumbers/>
    </w:pPr>
    <w:rPr>
      <w:rFonts w:cs="Arial"/>
      <w:i/>
      <w:iCs/>
      <w:sz w:val="24"/>
      <w:szCs w:val="24"/>
    </w:rPr>
  </w:style>
  <w:style w:type="paragraph" w:styleId="Index" w:customStyle="1">
    <w:name w:val="Index"/>
    <w:basedOn w:val="Normal"/>
    <w:qFormat/>
    <w:rsid w:val="00ce3333"/>
    <w:pPr>
      <w:suppressLineNumbers/>
    </w:pPr>
    <w:rPr>
      <w:rFonts w:cs="Arial"/>
    </w:rPr>
  </w:style>
  <w:style w:type="paragraph" w:styleId="Tl11ptTuniernaPodaokrajaVavo019cmRiadkova" w:customStyle="1">
    <w:name w:val="Štýl 11 pt Tučné Čierna Podľa okraja Vľavo:  019 cm Riadkova..."/>
    <w:uiPriority w:val="99"/>
    <w:qFormat/>
    <w:rsid w:val="00d71ffb"/>
    <w:pPr>
      <w:widowControl/>
      <w:bidi w:val="0"/>
      <w:spacing w:lineRule="auto" w:line="360"/>
      <w:jc w:val="both"/>
    </w:pPr>
    <w:rPr>
      <w:rFonts w:ascii="Arial" w:hAnsi="Arial" w:eastAsia="Times New Roman" w:cs="Arial"/>
      <w:color w:val="000000"/>
      <w:sz w:val="24"/>
      <w:szCs w:val="24"/>
      <w:lang w:val="sk-SK" w:eastAsia="cs-CZ" w:bidi="ar-SA"/>
    </w:rPr>
  </w:style>
  <w:style w:type="paragraph" w:styleId="TlPodaokrajaVavo019cmRiadkovanie15riadka" w:customStyle="1">
    <w:name w:val="Štýl Podľa okraja Vľavo:  019 cm Riadkovanie:  15 riadka"/>
    <w:basedOn w:val="Normal"/>
    <w:autoRedefine/>
    <w:uiPriority w:val="99"/>
    <w:qFormat/>
    <w:rsid w:val="00d71ffb"/>
    <w:pPr>
      <w:ind w:left="108" w:hanging="0"/>
    </w:pPr>
    <w:rPr/>
  </w:style>
  <w:style w:type="paragraph" w:styleId="Bododvodnenie" w:customStyle="1">
    <w:name w:val="Bod odôvodnenie"/>
    <w:uiPriority w:val="99"/>
    <w:qFormat/>
    <w:rsid w:val="00d440d5"/>
    <w:pPr>
      <w:widowControl/>
      <w:bidi w:val="0"/>
      <w:spacing w:before="120" w:after="120"/>
      <w:jc w:val="left"/>
    </w:pPr>
    <w:rPr>
      <w:rFonts w:ascii="Arial" w:hAnsi="Arial" w:eastAsia="Times New Roman" w:cs="Arial"/>
      <w:b/>
      <w:bCs/>
      <w:color w:val="00000A"/>
      <w:sz w:val="24"/>
      <w:szCs w:val="24"/>
      <w:lang w:val="sk-SK" w:eastAsia="cs-CZ" w:bidi="ar-SA"/>
    </w:rPr>
  </w:style>
  <w:style w:type="paragraph" w:styleId="TlArialPodaokraja" w:customStyle="1">
    <w:name w:val="Štýl Arial Podľa okraja"/>
    <w:autoRedefine/>
    <w:uiPriority w:val="99"/>
    <w:qFormat/>
    <w:rsid w:val="004337d2"/>
    <w:pPr>
      <w:widowControl/>
      <w:bidi w:val="0"/>
      <w:jc w:val="both"/>
    </w:pPr>
    <w:rPr>
      <w:rFonts w:ascii="Arial" w:hAnsi="Arial" w:eastAsia="Times New Roman" w:cs="Arial"/>
      <w:color w:val="00000A"/>
      <w:sz w:val="16"/>
      <w:szCs w:val="16"/>
      <w:lang w:val="sk-SK" w:eastAsia="cs-CZ" w:bidi="ar-SA"/>
    </w:rPr>
  </w:style>
  <w:style w:type="paragraph" w:styleId="Textpoznmky" w:customStyle="1">
    <w:name w:val="Text poznámky"/>
    <w:basedOn w:val="Normal"/>
    <w:autoRedefine/>
    <w:uiPriority w:val="99"/>
    <w:qFormat/>
    <w:rsid w:val="001f67e7"/>
    <w:pPr>
      <w:spacing w:lineRule="auto" w:line="240"/>
    </w:pPr>
    <w:rPr/>
  </w:style>
  <w:style w:type="paragraph" w:styleId="Pta">
    <w:name w:val="Footer"/>
    <w:basedOn w:val="Normal"/>
    <w:link w:val="ZpatChar1"/>
    <w:uiPriority w:val="99"/>
    <w:semiHidden/>
    <w:rsid w:val="00e54519"/>
    <w:pPr>
      <w:tabs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Normlny1" w:customStyle="1">
    <w:name w:val="Normálny1"/>
    <w:uiPriority w:val="99"/>
    <w:qFormat/>
    <w:rsid w:val="00a40be6"/>
    <w:pPr>
      <w:widowControl/>
      <w:bidi w:val="0"/>
      <w:spacing w:lineRule="auto" w:line="360" w:before="120" w:after="120"/>
      <w:ind w:firstLine="709"/>
      <w:jc w:val="both"/>
    </w:pPr>
    <w:rPr>
      <w:rFonts w:ascii="Arial" w:hAnsi="Arial" w:eastAsia="Times New Roman" w:cs="Arial"/>
      <w:color w:val="00000A"/>
      <w:sz w:val="24"/>
      <w:szCs w:val="24"/>
      <w:lang w:val="sk-SK" w:eastAsia="cs-CZ" w:bidi="ar-SA"/>
    </w:rPr>
  </w:style>
  <w:style w:type="paragraph" w:styleId="Textopatrenia" w:customStyle="1">
    <w:name w:val="Text opatrenia"/>
    <w:uiPriority w:val="99"/>
    <w:qFormat/>
    <w:rsid w:val="00503a66"/>
    <w:pPr>
      <w:widowControl/>
      <w:bidi w:val="0"/>
      <w:spacing w:before="120" w:after="120"/>
      <w:jc w:val="both"/>
    </w:pPr>
    <w:rPr>
      <w:rFonts w:ascii="Arial Narrow" w:hAnsi="Arial Narrow" w:eastAsia="Times New Roman" w:cs="Arial Narrow"/>
      <w:color w:val="00000A"/>
      <w:sz w:val="20"/>
      <w:szCs w:val="22"/>
      <w:lang w:val="sk-SK" w:eastAsia="cs-CZ" w:bidi="ar-SA"/>
    </w:rPr>
  </w:style>
  <w:style w:type="paragraph" w:styleId="TopHeader" w:customStyle="1">
    <w:name w:val="Top Header"/>
    <w:basedOn w:val="Normal"/>
    <w:uiPriority w:val="99"/>
    <w:qFormat/>
    <w:rsid w:val="00322d87"/>
    <w:pPr>
      <w:spacing w:lineRule="auto" w:line="240" w:before="0" w:after="0"/>
      <w:jc w:val="center"/>
    </w:pPr>
    <w:rPr>
      <w:b/>
      <w:bCs/>
      <w:sz w:val="22"/>
      <w:szCs w:val="22"/>
      <w:lang w:eastAsia="en-US"/>
    </w:rPr>
  </w:style>
  <w:style w:type="paragraph" w:styleId="ListParagraph">
    <w:name w:val="List Paragraph"/>
    <w:basedOn w:val="Normal"/>
    <w:uiPriority w:val="34"/>
    <w:qFormat/>
    <w:rsid w:val="00497323"/>
    <w:pPr>
      <w:ind w:left="708" w:hanging="0"/>
    </w:pPr>
    <w:rPr/>
  </w:style>
  <w:style w:type="paragraph" w:styleId="Hlavika">
    <w:name w:val="Header"/>
    <w:basedOn w:val="Normal"/>
    <w:link w:val="ZhlavChar1"/>
    <w:uiPriority w:val="99"/>
    <w:semiHidden/>
    <w:rsid w:val="00e54519"/>
    <w:pPr>
      <w:tabs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BalloonText">
    <w:name w:val="Balloon Text"/>
    <w:basedOn w:val="Normal"/>
    <w:link w:val="TextbublinyChar"/>
    <w:uiPriority w:val="99"/>
    <w:semiHidden/>
    <w:qFormat/>
    <w:rsid w:val="001058f5"/>
    <w:pPr>
      <w:spacing w:lineRule="auto" w:line="240" w:before="0" w:after="0"/>
    </w:pPr>
    <w:rPr>
      <w:rFonts w:ascii="Tahoma" w:hAnsi="Tahoma" w:cs="Tahoma"/>
      <w:sz w:val="16"/>
      <w:szCs w:val="16"/>
    </w:rPr>
  </w:style>
  <w:style w:type="paragraph" w:styleId="Obsahtabuky">
    <w:name w:val="Obsah tabuľky"/>
    <w:basedOn w:val="Normal"/>
    <w:qFormat/>
    <w:pPr/>
    <w:rPr/>
  </w:style>
  <w:style w:type="paragraph" w:styleId="Nadpistabuky">
    <w:name w:val="Nadpis tabuľky"/>
    <w:basedOn w:val="Obsahtabuky"/>
    <w:qFormat/>
    <w:pPr/>
    <w:rPr/>
  </w:style>
  <w:style w:type="numbering" w:styleId="NoList" w:default="1">
    <w:name w:val="No List"/>
    <w:uiPriority w:val="99"/>
    <w:semiHidden/>
    <w:unhideWhenUsed/>
    <w:qFormat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styleId="Mkatabulky">
    <w:name w:val="Table Grid"/>
    <w:basedOn w:val="Normlntabulka"/>
    <w:uiPriority w:val="99"/>
    <w:rsid w:val="00db1285"/>
    <w:rPr>
      <w:szCs w:val="20"/>
    </w:r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oter" Target="footer1.xml"/><Relationship Id="rId3" Type="http://schemas.openxmlformats.org/officeDocument/2006/relationships/numbering" Target="numbering.xml"/><Relationship Id="rId4" Type="http://schemas.openxmlformats.org/officeDocument/2006/relationships/fontTable" Target="fontTable.xml"/><Relationship Id="rId5" Type="http://schemas.openxmlformats.org/officeDocument/2006/relationships/settings" Target="settings.xml"/><Relationship Id="rId6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309</TotalTime>
  <Application>LibreOffice/5.3.3.2$Windows_X86_64 LibreOffice_project/3d9a8b4b4e538a85e0782bd6c2d430bafe583448</Application>
  <Pages>12</Pages>
  <Words>3423</Words>
  <Characters>20694</Characters>
  <CharactersWithSpaces>23761</CharactersWithSpaces>
  <Paragraphs>844</Paragraphs>
  <Company>MF-SR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2023-03-19T10:46:00Z</dcterms:created>
  <dc:creator>Vlaďka</dc:creator>
  <dc:description/>
  <dc:language>sk-SK</dc:language>
  <cp:lastModifiedBy/>
  <dcterms:modified xsi:type="dcterms:W3CDTF">2025-03-03T12:29:07Z</dcterms:modified>
  <cp:revision>14</cp:revision>
  <dc:subject/>
  <dc:title>Príloha č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MF-SR</vt:lpwstr>
  </property>
  <property fmtid="{D5CDD505-2E9C-101B-9397-08002B2CF9AE}" pid="4" name="DocSecurity">
    <vt:i4>0</vt:i4>
  </property>
  <property fmtid="{D5CDD505-2E9C-101B-9397-08002B2CF9AE}" pid="5" name="HyperlinksChanged">
    <vt:bool>0</vt:bool>
  </property>
  <property fmtid="{D5CDD505-2E9C-101B-9397-08002B2CF9AE}" pid="6" name="LinksUpToDate">
    <vt:bool>0</vt:bool>
  </property>
  <property fmtid="{D5CDD505-2E9C-101B-9397-08002B2CF9AE}" pid="7" name="ScaleCrop">
    <vt:bool>0</vt:bool>
  </property>
  <property fmtid="{D5CDD505-2E9C-101B-9397-08002B2CF9AE}" pid="8" name="ShareDoc">
    <vt:bool>0</vt:bool>
  </property>
</Properties>
</file>