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SOTEKO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Kadavého 829/6,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27.12.1994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Obrábanie kovov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SOTEKO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542031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1338062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3316636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2214997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11.3.2024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10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</w:t>
      </w:r>
      <w:r>
        <w:rPr>
          <w:rFonts w:cs="Arial Narrow" w:ascii="Arial Narrow" w:hAnsi="Arial Narrow"/>
          <w:b/>
          <w:sz w:val="22"/>
          <w:szCs w:val="22"/>
        </w:rPr>
        <w:t xml:space="preserve">): poskytnutá pôžička závislým osobám výške </w:t>
      </w:r>
      <w:r>
        <w:rPr>
          <w:rFonts w:cs="Arial Narrow" w:ascii="Arial Narrow" w:hAnsi="Arial Narrow"/>
          <w:b/>
          <w:sz w:val="22"/>
          <w:szCs w:val="22"/>
        </w:rPr>
        <w:t>60 000</w:t>
      </w:r>
      <w:r>
        <w:rPr>
          <w:rFonts w:cs="Arial Narrow" w:ascii="Arial Narrow" w:hAnsi="Arial Narrow"/>
          <w:b/>
          <w:sz w:val="22"/>
          <w:szCs w:val="22"/>
        </w:rPr>
        <w:t xml:space="preserve"> úročená </w:t>
      </w:r>
      <w:r>
        <w:rPr>
          <w:rFonts w:cs="Arial Narrow" w:ascii="Arial Narrow" w:hAnsi="Arial Narrow"/>
          <w:b/>
          <w:sz w:val="22"/>
          <w:szCs w:val="22"/>
        </w:rPr>
        <w:t>7,49</w:t>
      </w:r>
      <w:r>
        <w:rPr>
          <w:rFonts w:cs="Arial Narrow" w:ascii="Arial Narrow" w:hAnsi="Arial Narrow"/>
          <w:b/>
          <w:sz w:val="22"/>
          <w:szCs w:val="22"/>
        </w:rPr>
        <w:t>%p.a., výška úroku v roku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1452,85</w:t>
      </w:r>
      <w:r>
        <w:rPr>
          <w:rFonts w:cs="Arial Narrow" w:ascii="Arial Narrow" w:hAnsi="Arial Narrow"/>
          <w:b/>
          <w:sz w:val="22"/>
          <w:szCs w:val="22"/>
        </w:rPr>
        <w:t>€, úrok nie je súsačasťou riadku 100, je uvedený na r. 110 v DP PO 202</w:t>
      </w:r>
      <w:r>
        <w:rPr>
          <w:rFonts w:cs="Arial Narrow" w:ascii="Arial Narrow" w:hAnsi="Arial Narrow"/>
          <w:b/>
          <w:sz w:val="22"/>
          <w:szCs w:val="22"/>
        </w:rPr>
        <w:t>4</w:t>
      </w:r>
    </w:p>
    <w:p>
      <w:pPr>
        <w:pStyle w:val="Normal"/>
        <w:spacing w:before="0" w:after="120"/>
        <w:jc w:val="both"/>
        <w:rPr/>
      </w:pPr>
      <w:r>
        <w:rPr/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spacing w:before="0" w:after="120"/>
        <w:jc w:val="both"/>
        <w:rPr/>
      </w:pPr>
      <w:r>
        <w:rPr>
          <w:rFonts w:cs="Arial" w:ascii="Arial" w:hAnsi="Arial"/>
          <w:color w:val="000000"/>
          <w:sz w:val="22"/>
        </w:rPr>
        <w:t xml:space="preserve">Komentár k oceňovaniu majetku a záväzkov: </w:t>
      </w:r>
    </w:p>
    <w:p>
      <w:pPr>
        <w:pStyle w:val="Normal"/>
        <w:numPr>
          <w:ilvl w:val="0"/>
          <w:numId w:val="2"/>
        </w:numPr>
        <w:spacing w:before="0" w:after="125"/>
        <w:ind w:hanging="0" w:left="0"/>
        <w:rPr/>
      </w:pPr>
      <w:r>
        <w:rPr>
          <w:rFonts w:eastAsia="Wingdings" w:cs="Wingdings" w:ascii="Wingdings" w:hAnsi="Wingdings"/>
          <w:color w:val="000000"/>
          <w:sz w:val="22"/>
        </w:rPr>
        <w:t xml:space="preserve"> </w:t>
      </w:r>
      <w:r>
        <w:rPr>
          <w:rFonts w:cs="Arial" w:ascii="Arial" w:hAnsi="Arial"/>
          <w:color w:val="000000"/>
          <w:sz w:val="22"/>
        </w:rPr>
        <w:t xml:space="preserve">Rezervy ocenila UJ kalkulačnou metódou kvalifikovaného odhadu ich menovitej hodnoty na pokrytie budúcich záväzkov. </w:t>
      </w:r>
    </w:p>
    <w:p>
      <w:pPr>
        <w:pStyle w:val="Normal"/>
        <w:numPr>
          <w:ilvl w:val="0"/>
          <w:numId w:val="2"/>
        </w:numPr>
        <w:spacing w:before="0" w:after="125"/>
        <w:ind w:hanging="0" w:left="0"/>
        <w:rPr/>
      </w:pPr>
      <w:r>
        <w:rPr>
          <w:rFonts w:eastAsia="Wingdings" w:cs="Wingdings" w:ascii="Wingdings" w:hAnsi="Wingdings"/>
          <w:color w:val="000000"/>
          <w:sz w:val="22"/>
        </w:rPr>
        <w:t xml:space="preserve"> </w:t>
      </w:r>
      <w:r>
        <w:rPr>
          <w:rFonts w:cs="Arial" w:ascii="Arial" w:hAnsi="Arial"/>
          <w:color w:val="000000"/>
          <w:sz w:val="22"/>
        </w:rPr>
        <w:t xml:space="preserve">ÚJ používa pri oceňovaní úbytku rovnakého druhu zásob – FIFO (§ 25/5 ZoU; § 22/1 PU). </w:t>
      </w:r>
    </w:p>
    <w:p>
      <w:pPr>
        <w:pStyle w:val="Normal"/>
        <w:numPr>
          <w:ilvl w:val="0"/>
          <w:numId w:val="2"/>
        </w:numPr>
        <w:spacing w:before="0" w:after="125"/>
        <w:ind w:hanging="0" w:left="0"/>
        <w:rPr/>
      </w:pPr>
      <w:r>
        <w:rPr>
          <w:rFonts w:eastAsia="Wingdings" w:cs="Wingdings" w:ascii="Wingdings" w:hAnsi="Wingdings"/>
          <w:color w:val="000000"/>
          <w:sz w:val="22"/>
        </w:rPr>
        <w:t xml:space="preserve"> </w:t>
      </w:r>
      <w:r>
        <w:rPr>
          <w:rFonts w:cs="Arial" w:ascii="Arial" w:hAnsi="Arial"/>
          <w:color w:val="000000"/>
          <w:sz w:val="22"/>
        </w:rPr>
        <w:t xml:space="preserve">ÚJ používa pri oceňovaní prírastku cudzej meny v hotovosti alebo na bankový účet – zmenárenský kurz konkrétnej banky (§ 24/3 ZoU). </w:t>
      </w:r>
    </w:p>
    <w:p>
      <w:pPr>
        <w:pStyle w:val="Normal"/>
        <w:numPr>
          <w:ilvl w:val="0"/>
          <w:numId w:val="2"/>
        </w:numPr>
        <w:ind w:hanging="0" w:left="0"/>
        <w:jc w:val="both"/>
        <w:rPr/>
      </w:pPr>
      <w:r>
        <w:rPr>
          <w:rFonts w:eastAsia="Wingdings" w:cs="Wingdings" w:ascii="Wingdings" w:hAnsi="Wingdings"/>
          <w:color w:val="000000"/>
          <w:sz w:val="22"/>
          <w:szCs w:val="22"/>
        </w:rPr>
        <w:t xml:space="preserve"> </w:t>
      </w:r>
      <w:r>
        <w:rPr>
          <w:rFonts w:cs="Arial" w:ascii="Arial" w:hAnsi="Arial"/>
          <w:color w:val="000000"/>
          <w:sz w:val="22"/>
          <w:szCs w:val="22"/>
        </w:rPr>
        <w:t xml:space="preserve">ÚJ používa pri oceňovaní úbytku cudzej meny v hotovosti alebo z bankového účtu – základné pravidlo (D-1), teda kurz zo dňa predchádzajúceho dňu účtovného prípadu (§ 24/2/a; § 24/6 ZoU).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720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-  opravné položky k pohľadávkam  9397,49 eur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c) Záväzky účtovná jednotka ocenila menovitou hodnotou záväzkov. Rezervy účtovná jednotka ocenila odborným odhadom budúcej menovitej hodnoty potrebnej na ich úhradu. Nie je náplň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720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</w:p>
    <w:p>
      <w:pPr>
        <w:pStyle w:val="Normal"/>
        <w:rPr/>
      </w:pPr>
      <w:r>
        <w:rPr/>
        <w:t>úrad práce: 4</w:t>
      </w:r>
      <w:r>
        <w:rPr/>
        <w:t>593,87</w:t>
      </w:r>
      <w:r>
        <w:rPr/>
        <w:t>€</w:t>
      </w:r>
    </w:p>
    <w:p>
      <w:pPr>
        <w:pStyle w:val="Normal"/>
        <w:jc w:val="both"/>
        <w:rPr/>
      </w:pPr>
      <w:r>
        <w:rPr>
          <w:rFonts w:cs="Arial" w:ascii="Arial" w:hAnsi="Arial"/>
          <w:color w:val="000000"/>
          <w:sz w:val="22"/>
        </w:rPr>
        <w:t>i) Odložené dane. Odložené dane (odložená daňová pohľadávka a odložený daňový záväzok) sa vzťahujú na:</w:t>
      </w:r>
    </w:p>
    <w:p>
      <w:pPr>
        <w:pStyle w:val="Normal"/>
        <w:jc w:val="both"/>
        <w:rPr/>
      </w:pPr>
      <w:r>
        <w:rPr/>
      </w:r>
    </w:p>
    <w:p>
      <w:pPr>
        <w:pStyle w:val="Normal"/>
        <w:spacing w:before="0" w:after="14"/>
        <w:rPr/>
      </w:pPr>
      <w:r>
        <w:rPr>
          <w:rFonts w:cs="Arial" w:ascii="Arial" w:hAnsi="Arial"/>
          <w:color w:val="000000"/>
          <w:sz w:val="22"/>
        </w:rPr>
        <w:t xml:space="preserve">a) dočasné rozdiely medzi účtovnou hodnotou majetku a účtovnou hodnotou záväzkov vykázanou v súvahe a ich daňovou základňou, </w:t>
      </w:r>
    </w:p>
    <w:p>
      <w:pPr>
        <w:pStyle w:val="Normal"/>
        <w:spacing w:before="0" w:after="14"/>
        <w:rPr/>
      </w:pPr>
      <w:r>
        <w:rPr>
          <w:rFonts w:cs="Arial" w:ascii="Arial" w:hAnsi="Arial"/>
          <w:color w:val="000000"/>
          <w:sz w:val="22"/>
        </w:rPr>
        <w:t xml:space="preserve">b) možnosť umorovať daňovú stratu v budúcnosti, ktorou sa rozumie možnosť odpočítať daňovú stratu od základu dane v budúcnosti, </w:t>
      </w:r>
    </w:p>
    <w:p>
      <w:pPr>
        <w:pStyle w:val="Normal"/>
        <w:rPr/>
      </w:pPr>
      <w:r>
        <w:rPr>
          <w:rFonts w:cs="Arial" w:ascii="Arial" w:hAnsi="Arial"/>
          <w:color w:val="000000"/>
          <w:sz w:val="22"/>
        </w:rPr>
        <w:t xml:space="preserve">c) možnosť previesť nevyužité daňové odpočty a iné daňové nároky do budúcich období. </w:t>
      </w:r>
    </w:p>
    <w:p>
      <w:pPr>
        <w:pStyle w:val="Normal"/>
        <w:jc w:val="both"/>
        <w:rPr/>
      </w:pPr>
      <w:r>
        <w:rPr/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sz w:val="22"/>
          <w:szCs w:val="22"/>
        </w:rPr>
        <w:t xml:space="preserve">zrušenie </w:t>
      </w:r>
      <w:r>
        <w:rPr>
          <w:rFonts w:cs="Arial Narrow" w:ascii="Arial Narrow" w:hAnsi="Arial Narrow"/>
          <w:b/>
          <w:sz w:val="22"/>
          <w:szCs w:val="22"/>
        </w:rPr>
        <w:t xml:space="preserve">opravné položky k neuhradeným pohľadávkam </w:t>
      </w:r>
      <w:r>
        <w:rPr>
          <w:rFonts w:cs="Arial Narrow" w:ascii="Arial Narrow" w:hAnsi="Arial Narrow"/>
          <w:b/>
          <w:sz w:val="22"/>
          <w:szCs w:val="22"/>
        </w:rPr>
        <w:t>23 493,73</w:t>
      </w:r>
      <w:r>
        <w:rPr>
          <w:rFonts w:cs="Arial Narrow" w:ascii="Arial Narrow" w:hAnsi="Arial Narrow"/>
          <w:b/>
          <w:sz w:val="22"/>
          <w:szCs w:val="22"/>
        </w:rPr>
        <w:t>€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720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31620906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2020434097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720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31620906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2020434097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dstrike w:val="false"/>
        <w:strike w:val="false"/>
        <w:sz w:val="22"/>
        <w:szCs w:val="22"/>
        <w:color w:val="00000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720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720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trike w:val="false"/>
      <w:dstrike w:val="false"/>
      <w:color w:val="000000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720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720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paragraph" w:styleId="Default" w:customStyle="1">
    <w:name w:val="Default"/>
    <w:qFormat/>
    <w:pPr>
      <w:widowControl w:val="false"/>
      <w:suppressAutoHyphens w:val="true"/>
      <w:bidi w:val="0"/>
      <w:spacing w:before="0" w:after="0"/>
      <w:jc w:val="left"/>
    </w:pPr>
    <w:rPr>
      <w:rFonts w:ascii="Arial" w:hAnsi="Arial" w:eastAsia="SimSun" w:cs="Mangal"/>
      <w:color w:val="000000"/>
      <w:kern w:val="0"/>
      <w:sz w:val="24"/>
      <w:szCs w:val="24"/>
      <w:lang w:val="sk-SK" w:eastAsia="zh-CN" w:bidi="hi-IN"/>
    </w:rPr>
  </w:style>
  <w:style w:type="paragraph" w:styleId="Zhlavietabuky" w:customStyle="1">
    <w:name w:val="Záhlavie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Application>LibreOffice/24.2.3.2$Windows_X86_64 LibreOffice_project/433d9c2ded56988e8a90e6b2e771ee4e6a5ab2ba</Application>
  <AppVersion>15.0000</AppVersion>
  <Pages>5</Pages>
  <Words>1904</Words>
  <Characters>10854</Characters>
  <CharactersWithSpaces>12733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2023-03-16T15:46:00Z</dcterms:created>
  <dc:creator>user</dc:creator>
  <dc:description/>
  <dc:language>sk-SK</dc:language>
  <cp:lastModifiedBy/>
  <cp:lastPrinted>1995-11-21T16:41:00Z</cp:lastPrinted>
  <dcterms:modified xsi:type="dcterms:W3CDTF">2025-03-06T17:12:52Z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