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4"/>
          <w:szCs w:val="24"/>
          <w:lang w:val="sk-SK"/>
        </w:rPr>
      </w:pPr>
    </w:p>
    <w:p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IČO: 42036127</w:t>
      </w:r>
    </w:p>
    <w:p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DIČ: 2022232938</w:t>
      </w:r>
    </w:p>
    <w:p>
      <w:pPr>
        <w:rPr>
          <w:sz w:val="24"/>
          <w:szCs w:val="24"/>
          <w:lang w:val="sk-SK"/>
        </w:rPr>
      </w:pPr>
    </w:p>
    <w:p>
      <w:pPr>
        <w:rPr>
          <w:sz w:val="24"/>
          <w:szCs w:val="24"/>
          <w:lang w:val="sk-SK"/>
        </w:rPr>
      </w:pPr>
      <w:bookmarkStart w:id="0" w:name="_GoBack"/>
      <w:bookmarkEnd w:id="0"/>
    </w:p>
    <w:p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Poznámky k účtovnej uzávierke</w:t>
      </w:r>
    </w:p>
    <w:p>
      <w:pPr>
        <w:jc w:val="center"/>
        <w:rPr>
          <w:b/>
          <w:bCs/>
          <w:sz w:val="28"/>
          <w:szCs w:val="28"/>
          <w:lang w:val="sk-SK"/>
        </w:rPr>
      </w:pPr>
    </w:p>
    <w:p>
      <w:pPr>
        <w:rPr>
          <w:sz w:val="24"/>
          <w:szCs w:val="24"/>
          <w:lang w:val="sk-SK"/>
        </w:rPr>
      </w:pPr>
    </w:p>
    <w:p>
      <w:pPr>
        <w:rPr>
          <w:b/>
          <w:bCs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a meno účtonej jednotky:  </w:t>
      </w:r>
      <w:r>
        <w:rPr>
          <w:b/>
          <w:bCs/>
          <w:sz w:val="24"/>
          <w:szCs w:val="24"/>
          <w:lang w:val="sk-SK"/>
        </w:rPr>
        <w:t>Urbárske a pozemkové spoločenstvo Hanušovce</w:t>
      </w:r>
    </w:p>
    <w:p>
      <w:pPr>
        <w:rPr>
          <w:b/>
          <w:bCs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Sídlo:                        Jarmočná 371/27, 094 31  Hanušovce n. Topľou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Priemerný počet zamestnancov:   0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Informácie o prijatých postupoch:</w:t>
      </w:r>
      <w:r>
        <w:rPr>
          <w:b w:val="0"/>
          <w:bCs w:val="0"/>
          <w:sz w:val="24"/>
          <w:szCs w:val="24"/>
          <w:lang w:val="sk-SK"/>
        </w:rPr>
        <w:t xml:space="preserve">  V roku 2024 nedošlo k žiadnym zmenám.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Nepretržité  pokračovanie účtovnej jednotky: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Účtovná závierka je zostavená za splnenia predpokladu, že jednotka bude nepretržite pokračovať vo svojej činnosti aj v roku 2025.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Spôsob oceňovania jednotlivých položiek majetku a záväzkov: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sa v roku 2024 nemenil.</w:t>
      </w:r>
    </w:p>
    <w:p>
      <w:pPr>
        <w:rPr>
          <w:b/>
          <w:bCs/>
          <w:sz w:val="24"/>
          <w:szCs w:val="24"/>
          <w:lang w:val="sk-SK"/>
        </w:rPr>
      </w:pPr>
    </w:p>
    <w:p>
      <w:pPr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Doplňujúce údaje k výkazu ziskov a strát:</w:t>
      </w:r>
    </w:p>
    <w:p>
      <w:pPr>
        <w:rPr>
          <w:b/>
          <w:bCs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V roku 2024 UPS dosiahlo tržby vo výške 12216 €. Pozostávali z predaja dreva - 8114 € a z prenájmu pôdy 4102 €.</w:t>
      </w: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Náklady na zabezpečenie tržieb predstavovali 3637 €.</w:t>
      </w: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Výsledok hospodárenia za účtovné obdobie pred zdanením bol 8364 €.</w:t>
      </w: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Daňová povinnosť za rok 2024 - 1276 €.</w:t>
      </w: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HV za účtovné obdobie po zdanení bol 7088 €.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O použití dosiahnutého zisku rozhodne valné zhromaždenie podielnikov na svojom zasadnutí dňa 22.3.2025.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 xml:space="preserve">Iné: </w:t>
      </w:r>
      <w:r>
        <w:rPr>
          <w:b w:val="0"/>
          <w:bCs w:val="0"/>
          <w:sz w:val="24"/>
          <w:szCs w:val="24"/>
          <w:lang w:val="sk-SK"/>
        </w:rPr>
        <w:t>UPS nemá žiadne ďalšie doplňujúce alebo vysvetľujúce informácie.</w:t>
      </w: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</w:p>
    <w:p>
      <w:pPr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>Hanušovce n.T. 3.3.2025</w:t>
      </w:r>
    </w:p>
    <w:p>
      <w:pPr>
        <w:rPr>
          <w:b/>
          <w:bCs/>
          <w:sz w:val="24"/>
          <w:szCs w:val="24"/>
          <w:lang w:val="sk-SK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CF0832"/>
    <w:rsid w:val="18A26FA4"/>
    <w:rsid w:val="3F242358"/>
    <w:rsid w:val="72CF0832"/>
    <w:rsid w:val="75F51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Office_10.2.0.7636_F1E327BC-269C-435d-A152-05C5408002CA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2025-03-05T19:34:00Z</dcterms:created>
  <dc:creator>Maria Tomkova</dc:creator>
  <cp:lastModifiedBy>Maria Tomkova</cp:lastModifiedBy>
  <dcterms:modified xsi:type="dcterms:W3CDTF">2025-03-05T19:55:39Z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1033-10.2.0.7636</vt:lpwstr>
  </property>
</Properties>
</file>