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38" w:type="dxa"/>
        <w:tblLayout w:type="fixed"/>
        <w:tblLook w:val="04A0" w:firstRow="1" w:lastRow="0" w:firstColumn="1" w:lastColumn="0" w:noHBand="0" w:noVBand="1"/>
      </w:tblPr>
      <w:tblGrid>
        <w:gridCol w:w="1487"/>
        <w:gridCol w:w="993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</w:tblGrid>
      <w:tr w:rsidR="00980FA7"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keepNext/>
              <w:spacing w:before="60" w:after="60" w:line="240" w:lineRule="auto"/>
              <w:jc w:val="left"/>
              <w:outlineLvl w:val="2"/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99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keepNext/>
              <w:spacing w:before="60" w:after="60" w:line="240" w:lineRule="auto"/>
              <w:jc w:val="left"/>
              <w:outlineLvl w:val="2"/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0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0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  <w:lang w:val="en-US"/>
              </w:rPr>
              <w:t>1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7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8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2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0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9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0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7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0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5</w:t>
            </w:r>
          </w:p>
        </w:tc>
      </w:tr>
    </w:tbl>
    <w:p w:rsidR="00980FA7" w:rsidRDefault="00980FA7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980FA7" w:rsidRDefault="00980FA7">
      <w:pPr>
        <w:keepNext/>
        <w:spacing w:before="0" w:line="240" w:lineRule="auto"/>
        <w:outlineLvl w:val="2"/>
        <w:rPr>
          <w:rFonts w:cs="Arial"/>
          <w:b/>
          <w:bCs/>
          <w:sz w:val="22"/>
          <w:szCs w:val="22"/>
        </w:rPr>
      </w:pPr>
    </w:p>
    <w:p w:rsidR="00980FA7" w:rsidRDefault="000433A3">
      <w:pPr>
        <w:keepNext/>
        <w:spacing w:before="0" w:line="240" w:lineRule="auto"/>
        <w:jc w:val="center"/>
        <w:outlineLvl w:val="2"/>
        <w:rPr>
          <w:rFonts w:cs="Arial"/>
          <w:b/>
          <w:sz w:val="22"/>
          <w:szCs w:val="22"/>
        </w:rPr>
      </w:pPr>
      <w:r>
        <w:rPr>
          <w:rFonts w:cs="Arial"/>
          <w:b/>
          <w:sz w:val="22"/>
          <w:szCs w:val="22"/>
        </w:rPr>
        <w:t>Čl. I</w:t>
      </w:r>
    </w:p>
    <w:p w:rsidR="00980FA7" w:rsidRDefault="000433A3">
      <w:pPr>
        <w:keepNext/>
        <w:spacing w:before="0" w:line="240" w:lineRule="auto"/>
        <w:jc w:val="center"/>
        <w:outlineLvl w:val="1"/>
        <w:rPr>
          <w:sz w:val="18"/>
          <w:szCs w:val="18"/>
        </w:rPr>
      </w:pPr>
      <w:r>
        <w:rPr>
          <w:rFonts w:cs="Arial"/>
          <w:b/>
          <w:sz w:val="22"/>
          <w:szCs w:val="22"/>
        </w:rPr>
        <w:t>Všeobecné informácie</w:t>
      </w:r>
    </w:p>
    <w:p w:rsidR="00980FA7" w:rsidRDefault="000433A3">
      <w:pPr>
        <w:numPr>
          <w:ilvl w:val="0"/>
          <w:numId w:val="6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Layout w:type="fixed"/>
        <w:tblLook w:val="04A0" w:firstRow="1" w:lastRow="0" w:firstColumn="1" w:lastColumn="0" w:noHBand="0" w:noVBand="1"/>
      </w:tblPr>
      <w:tblGrid>
        <w:gridCol w:w="2867"/>
        <w:gridCol w:w="6967"/>
      </w:tblGrid>
      <w:tr w:rsidR="00980FA7">
        <w:trPr>
          <w:trHeight w:val="284"/>
        </w:trPr>
        <w:tc>
          <w:tcPr>
            <w:tcW w:w="28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980FA7">
        <w:trPr>
          <w:trHeight w:val="284"/>
        </w:trPr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FD239F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Slovenský rybársky zväz Miestna organizácia Poprad</w:t>
            </w:r>
          </w:p>
        </w:tc>
      </w:tr>
      <w:tr w:rsidR="00980FA7">
        <w:trPr>
          <w:trHeight w:val="284"/>
        </w:trPr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980FA7">
        <w:trPr>
          <w:trHeight w:val="284"/>
        </w:trPr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980FA7">
        <w:trPr>
          <w:trHeight w:val="178"/>
        </w:trPr>
        <w:tc>
          <w:tcPr>
            <w:tcW w:w="2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80FA7" w:rsidRDefault="00980FA7">
      <w:pPr>
        <w:spacing w:before="0" w:after="0" w:line="240" w:lineRule="auto"/>
        <w:ind w:left="360"/>
        <w:rPr>
          <w:sz w:val="18"/>
          <w:szCs w:val="18"/>
        </w:rPr>
      </w:pPr>
    </w:p>
    <w:p w:rsidR="00980FA7" w:rsidRDefault="000433A3">
      <w:pPr>
        <w:numPr>
          <w:ilvl w:val="0"/>
          <w:numId w:val="6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 :</w:t>
      </w: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2835"/>
        <w:gridCol w:w="6967"/>
      </w:tblGrid>
      <w:tr w:rsidR="00980FA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Štatutárne orgány:</w:t>
            </w:r>
          </w:p>
          <w:p w:rsidR="00980FA7" w:rsidRDefault="000433A3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FD239F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Predseda Ing.Štefan Kolcún</w:t>
            </w:r>
          </w:p>
        </w:tc>
      </w:tr>
      <w:tr w:rsidR="00980FA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Pr="00FD239F" w:rsidRDefault="00FD239F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Podpredseda </w:t>
            </w:r>
            <w:r>
              <w:rPr>
                <w:sz w:val="16"/>
                <w:szCs w:val="16"/>
              </w:rPr>
              <w:t>Ing.Peter Ďuroška</w:t>
            </w:r>
          </w:p>
        </w:tc>
      </w:tr>
      <w:tr w:rsidR="00980FA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Pr="00FD239F" w:rsidRDefault="00FD239F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Tajomník Ing.Peter Polovka</w:t>
            </w:r>
          </w:p>
        </w:tc>
      </w:tr>
      <w:tr w:rsidR="00980FA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FD239F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Hospodár Miroslav Šidlovský</w:t>
            </w:r>
          </w:p>
        </w:tc>
      </w:tr>
      <w:tr w:rsidR="00980FA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FD239F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Pokladnik Zuzana Cuníková</w:t>
            </w:r>
          </w:p>
        </w:tc>
      </w:tr>
      <w:tr w:rsidR="00980FA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980FA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980FA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Dozorný orgán:</w:t>
            </w:r>
          </w:p>
          <w:p w:rsidR="00980FA7" w:rsidRDefault="000433A3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FD239F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Ing.Ondrej Seman</w:t>
            </w:r>
          </w:p>
        </w:tc>
      </w:tr>
      <w:tr w:rsidR="00980FA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980FA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980FA7" w:rsidRDefault="00980FA7">
      <w:pPr>
        <w:spacing w:before="0" w:after="0" w:line="240" w:lineRule="auto"/>
        <w:rPr>
          <w:sz w:val="18"/>
          <w:szCs w:val="18"/>
        </w:rPr>
      </w:pPr>
    </w:p>
    <w:p w:rsidR="00980FA7" w:rsidRDefault="000433A3">
      <w:pPr>
        <w:numPr>
          <w:ilvl w:val="0"/>
          <w:numId w:val="6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2835"/>
        <w:gridCol w:w="6967"/>
      </w:tblGrid>
      <w:tr w:rsidR="00FD239F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D239F" w:rsidRDefault="00FD239F" w:rsidP="00FD239F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D239F" w:rsidRDefault="00FD239F" w:rsidP="00FD239F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Slovenský rybársky zväz Miestna organizácia Poprad</w:t>
            </w:r>
            <w:r>
              <w:rPr>
                <w:b/>
                <w:sz w:val="16"/>
                <w:szCs w:val="16"/>
              </w:rPr>
              <w:t xml:space="preserve"> je občianskym združením v súlade zo zákonom o združ.občanov.</w:t>
            </w:r>
          </w:p>
        </w:tc>
      </w:tr>
      <w:tr w:rsidR="00FD239F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D239F" w:rsidRDefault="00FD239F" w:rsidP="00FD239F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D239F" w:rsidRDefault="00FD239F" w:rsidP="00FD239F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Je </w:t>
            </w:r>
            <w:r>
              <w:rPr>
                <w:b/>
                <w:sz w:val="16"/>
                <w:szCs w:val="16"/>
              </w:rPr>
              <w:t>občianskym združením</w:t>
            </w:r>
            <w:r>
              <w:rPr>
                <w:b/>
                <w:sz w:val="16"/>
                <w:szCs w:val="16"/>
              </w:rPr>
              <w:t xml:space="preserve"> v oblasti športového rybárstva, ochrany prírody životného prostredia</w:t>
            </w:r>
          </w:p>
        </w:tc>
      </w:tr>
      <w:tr w:rsidR="00FD239F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D239F" w:rsidRDefault="00FD239F" w:rsidP="00FD239F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D239F" w:rsidRDefault="00FD239F" w:rsidP="00FD239F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FD239F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D239F" w:rsidRDefault="00FD239F" w:rsidP="00FD239F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D239F" w:rsidRDefault="00FD239F" w:rsidP="00FD239F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FD239F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D239F" w:rsidRDefault="00FD239F" w:rsidP="00FD239F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D239F" w:rsidRDefault="00FD239F" w:rsidP="00FD239F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FD239F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D239F" w:rsidRDefault="00FD239F" w:rsidP="00FD239F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D239F" w:rsidRDefault="00FD239F" w:rsidP="00FD239F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Hostovacie povolenia</w:t>
            </w:r>
          </w:p>
        </w:tc>
      </w:tr>
      <w:tr w:rsidR="00FD239F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D239F" w:rsidRDefault="00FD239F" w:rsidP="00FD239F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D239F" w:rsidRDefault="00FD239F" w:rsidP="00FD239F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2%</w:t>
            </w:r>
          </w:p>
        </w:tc>
      </w:tr>
      <w:tr w:rsidR="00FD239F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D239F" w:rsidRDefault="00FD239F" w:rsidP="00FD239F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D239F" w:rsidRDefault="00FD239F" w:rsidP="00FD239F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980FA7" w:rsidRDefault="00980FA7">
      <w:pPr>
        <w:spacing w:before="0" w:after="0" w:line="240" w:lineRule="auto"/>
        <w:rPr>
          <w:sz w:val="18"/>
          <w:szCs w:val="18"/>
        </w:rPr>
      </w:pPr>
    </w:p>
    <w:p w:rsidR="00980FA7" w:rsidRDefault="000433A3">
      <w:pPr>
        <w:numPr>
          <w:ilvl w:val="0"/>
          <w:numId w:val="6"/>
        </w:numPr>
        <w:spacing w:before="0" w:line="240" w:lineRule="auto"/>
        <w:rPr>
          <w:b/>
          <w:i/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:rsidR="00980FA7" w:rsidRDefault="000433A3">
      <w:pPr>
        <w:spacing w:before="0" w:line="240" w:lineRule="auto"/>
        <w:ind w:firstLine="360"/>
        <w:rPr>
          <w:sz w:val="16"/>
          <w:szCs w:val="16"/>
        </w:rPr>
      </w:pPr>
      <w:r>
        <w:rPr>
          <w:b/>
          <w:i/>
          <w:sz w:val="18"/>
          <w:szCs w:val="18"/>
        </w:rPr>
        <w:t>Tabuľka k čl. I ods. 4  o počte zamestnancov a dobrovoľníkov:</w:t>
      </w:r>
    </w:p>
    <w:tbl>
      <w:tblPr>
        <w:tblW w:w="4800" w:type="pct"/>
        <w:tblInd w:w="392" w:type="dxa"/>
        <w:tblLayout w:type="fixed"/>
        <w:tblLook w:val="04A0" w:firstRow="1" w:lastRow="0" w:firstColumn="1" w:lastColumn="0" w:noHBand="0" w:noVBand="1"/>
      </w:tblPr>
      <w:tblGrid>
        <w:gridCol w:w="4665"/>
        <w:gridCol w:w="2601"/>
        <w:gridCol w:w="2601"/>
      </w:tblGrid>
      <w:tr w:rsidR="00980FA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val="en-US" w:eastAsia="sk-SK"/>
              </w:rPr>
              <w:t>Počet hodín vykonávania dobrovľníckej činnosti</w:t>
            </w:r>
          </w:p>
        </w:tc>
      </w:tr>
      <w:tr w:rsidR="00980FA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  <w:r>
              <w:rPr>
                <w:sz w:val="16"/>
                <w:szCs w:val="16"/>
              </w:rPr>
              <w:t>x</w:t>
            </w:r>
          </w:p>
        </w:tc>
      </w:tr>
      <w:tr w:rsidR="00980FA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  <w:r>
              <w:rPr>
                <w:sz w:val="16"/>
                <w:szCs w:val="16"/>
              </w:rPr>
              <w:t>x</w:t>
            </w:r>
          </w:p>
        </w:tc>
      </w:tr>
      <w:tr w:rsidR="00980FA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980FA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lastRenderedPageBreak/>
              <w:t>Počet dobrovoľníkov, ktorí vykonávali dobrovoľnícku činnosť pre účtovnú jednotku počas účtovného obdobia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:rsidR="00980FA7" w:rsidRDefault="00980FA7">
      <w:pPr>
        <w:spacing w:before="0" w:line="240" w:lineRule="auto"/>
        <w:rPr>
          <w:sz w:val="18"/>
          <w:szCs w:val="18"/>
        </w:rPr>
      </w:pPr>
    </w:p>
    <w:p w:rsidR="00980FA7" w:rsidRDefault="000433A3"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Organizačná štruktúra účtovnej jednotky.</w:t>
      </w:r>
    </w:p>
    <w:p w:rsidR="00980FA7" w:rsidRDefault="00980FA7">
      <w:pPr>
        <w:spacing w:before="0" w:line="240" w:lineRule="auto"/>
        <w:rPr>
          <w:sz w:val="18"/>
          <w:szCs w:val="18"/>
        </w:rPr>
      </w:pP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2835"/>
        <w:gridCol w:w="6967"/>
      </w:tblGrid>
      <w:tr w:rsidR="00980FA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Orgány účtovnej jednotky :</w:t>
            </w:r>
          </w:p>
          <w:p w:rsidR="00980FA7" w:rsidRDefault="000433A3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(riadiace , štatutárne , kontrolné)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80FA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980FA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980FA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980FA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980FA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980FA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980FA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Organizačné útvary:</w:t>
            </w:r>
          </w:p>
          <w:p w:rsidR="00980FA7" w:rsidRDefault="000433A3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(zabezpečujúce hlavnú nezdaňovanú činnosť , prípadne ekonomickú , resp. zdaňovanú činnosť a obslužné činnosti 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80FA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980FA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980FA7">
        <w:trPr>
          <w:trHeight w:val="284"/>
          <w:jc w:val="right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980FA7">
        <w:trPr>
          <w:trHeight w:val="284"/>
          <w:jc w:val="right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980FA7" w:rsidRDefault="00980FA7">
      <w:pPr>
        <w:spacing w:before="0" w:line="240" w:lineRule="auto"/>
        <w:ind w:left="360"/>
        <w:rPr>
          <w:sz w:val="18"/>
          <w:szCs w:val="18"/>
        </w:rPr>
      </w:pPr>
    </w:p>
    <w:p w:rsidR="00980FA7" w:rsidRDefault="000433A3">
      <w:pPr>
        <w:numPr>
          <w:ilvl w:val="0"/>
          <w:numId w:val="6"/>
        </w:num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Informácia o organizáciách v zriaďovateľskej pôsobnosti účtovnej jednotky :</w:t>
      </w:r>
    </w:p>
    <w:tbl>
      <w:tblPr>
        <w:tblW w:w="4800" w:type="pct"/>
        <w:tblInd w:w="392" w:type="dxa"/>
        <w:tblLayout w:type="fixed"/>
        <w:tblLook w:val="04A0" w:firstRow="1" w:lastRow="0" w:firstColumn="1" w:lastColumn="0" w:noHBand="0" w:noVBand="1"/>
      </w:tblPr>
      <w:tblGrid>
        <w:gridCol w:w="4665"/>
        <w:gridCol w:w="2601"/>
        <w:gridCol w:w="2601"/>
      </w:tblGrid>
      <w:tr w:rsidR="00980FA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0433A3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rPr>
                <w:sz w:val="16"/>
                <w:szCs w:val="16"/>
                <w:lang w:val="en-US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IČO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  <w:jc w:val="center"/>
              <w:rPr>
                <w:lang w:val="en-US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Názov organizácie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  <w:jc w:val="center"/>
              <w:rPr>
                <w:lang w:val="en-US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Právna forma</w:t>
            </w:r>
          </w:p>
        </w:tc>
      </w:tr>
      <w:tr w:rsidR="00980FA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FD239F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t>001782090705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FD239F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Slovenský rybársky zväz MO Poprad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FD239F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  <w:r>
              <w:t>OZ</w:t>
            </w:r>
          </w:p>
        </w:tc>
      </w:tr>
      <w:tr w:rsidR="00980FA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</w:p>
        </w:tc>
      </w:tr>
      <w:tr w:rsidR="00980FA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:rsidR="00980FA7" w:rsidRDefault="00980FA7">
      <w:pPr>
        <w:spacing w:before="0" w:line="240" w:lineRule="auto"/>
        <w:rPr>
          <w:rFonts w:cs="Arial"/>
          <w:sz w:val="22"/>
          <w:szCs w:val="22"/>
        </w:rPr>
      </w:pPr>
    </w:p>
    <w:p w:rsidR="00980FA7" w:rsidRDefault="00980FA7">
      <w:pPr>
        <w:spacing w:before="0" w:line="240" w:lineRule="auto"/>
        <w:rPr>
          <w:rFonts w:cs="Arial"/>
          <w:sz w:val="22"/>
          <w:szCs w:val="22"/>
        </w:rPr>
      </w:pPr>
    </w:p>
    <w:p w:rsidR="00980FA7" w:rsidRDefault="000433A3">
      <w:pPr>
        <w:keepNext/>
        <w:spacing w:before="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II</w:t>
      </w:r>
    </w:p>
    <w:p w:rsidR="00980FA7" w:rsidRDefault="000433A3">
      <w:pPr>
        <w:keepNext/>
        <w:spacing w:before="0" w:line="240" w:lineRule="auto"/>
        <w:jc w:val="center"/>
        <w:outlineLvl w:val="1"/>
        <w:rPr>
          <w:sz w:val="18"/>
          <w:szCs w:val="18"/>
        </w:rPr>
      </w:pPr>
      <w:r>
        <w:rPr>
          <w:rFonts w:cs="Arial"/>
          <w:b/>
          <w:sz w:val="22"/>
          <w:szCs w:val="22"/>
        </w:rPr>
        <w:t>Informácie o účtovných zásadách a účtovných metódach</w:t>
      </w:r>
    </w:p>
    <w:p w:rsidR="00980FA7" w:rsidRDefault="000433A3">
      <w:pPr>
        <w:numPr>
          <w:ilvl w:val="0"/>
          <w:numId w:val="7"/>
        </w:numPr>
        <w:spacing w:before="0" w:line="240" w:lineRule="auto"/>
        <w:rPr>
          <w:sz w:val="18"/>
          <w:szCs w:val="18"/>
          <w:bdr w:val="single" w:sz="4" w:space="0" w:color="000000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:rsidR="00980FA7" w:rsidRDefault="000433A3">
      <w:pPr>
        <w:spacing w:before="0" w:line="240" w:lineRule="auto"/>
        <w:ind w:left="360"/>
        <w:rPr>
          <w:sz w:val="18"/>
          <w:szCs w:val="18"/>
        </w:rPr>
      </w:pPr>
      <w:r>
        <w:rPr>
          <w:sz w:val="18"/>
          <w:szCs w:val="18"/>
          <w:bdr w:val="single" w:sz="4" w:space="0" w:color="000000"/>
        </w:rPr>
        <w:t>ÁNO</w:t>
      </w:r>
      <w:r>
        <w:rPr>
          <w:sz w:val="18"/>
          <w:szCs w:val="18"/>
          <w:bdr w:val="single" w:sz="4" w:space="0" w:color="000000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  <w:bdr w:val="single" w:sz="4" w:space="0" w:color="000000"/>
        </w:rPr>
        <w:t>NIE</w:t>
      </w:r>
      <w:r>
        <w:rPr>
          <w:sz w:val="18"/>
          <w:szCs w:val="18"/>
        </w:rPr>
        <w:t xml:space="preserve"> </w:t>
      </w:r>
    </w:p>
    <w:p w:rsidR="00980FA7" w:rsidRDefault="000433A3">
      <w:pPr>
        <w:numPr>
          <w:ilvl w:val="0"/>
          <w:numId w:val="7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00" w:type="pct"/>
        <w:tblInd w:w="35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65"/>
        <w:gridCol w:w="3265"/>
        <w:gridCol w:w="3264"/>
      </w:tblGrid>
      <w:tr w:rsidR="00980FA7">
        <w:trPr>
          <w:trHeight w:val="284"/>
        </w:trPr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pStyle w:val="Zkladntext"/>
              <w:jc w:val="center"/>
            </w:pPr>
            <w:r>
              <w:rPr>
                <w:b/>
                <w:sz w:val="16"/>
                <w:szCs w:val="16"/>
              </w:rPr>
              <w:t>Druh zmeny</w:t>
            </w:r>
          </w:p>
        </w:tc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pStyle w:val="Zkladntext"/>
              <w:jc w:val="center"/>
            </w:pPr>
            <w:r>
              <w:rPr>
                <w:b/>
                <w:sz w:val="16"/>
                <w:szCs w:val="16"/>
              </w:rPr>
              <w:t>Dôvod</w:t>
            </w:r>
          </w:p>
        </w:tc>
        <w:tc>
          <w:tcPr>
            <w:tcW w:w="3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pStyle w:val="Zkladntext"/>
              <w:jc w:val="center"/>
            </w:pPr>
            <w:r>
              <w:rPr>
                <w:b/>
                <w:sz w:val="16"/>
                <w:szCs w:val="16"/>
              </w:rPr>
              <w:t>Vplyv na hodnotu majetku, záväzkov, základného imania a výsledku hospodárenia</w:t>
            </w:r>
          </w:p>
        </w:tc>
      </w:tr>
      <w:tr w:rsidR="00980FA7">
        <w:trPr>
          <w:trHeight w:val="284"/>
        </w:trPr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pStyle w:val="Zkladntext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pStyle w:val="Zkladntext"/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3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pStyle w:val="Zkladntext"/>
              <w:snapToGrid w:val="0"/>
              <w:jc w:val="center"/>
              <w:rPr>
                <w:sz w:val="16"/>
                <w:szCs w:val="16"/>
              </w:rPr>
            </w:pPr>
          </w:p>
        </w:tc>
      </w:tr>
    </w:tbl>
    <w:p w:rsidR="00980FA7" w:rsidRDefault="00980FA7">
      <w:pPr>
        <w:spacing w:before="0" w:after="0" w:line="240" w:lineRule="auto"/>
        <w:rPr>
          <w:sz w:val="18"/>
          <w:szCs w:val="18"/>
        </w:rPr>
      </w:pPr>
    </w:p>
    <w:p w:rsidR="00980FA7" w:rsidRDefault="000433A3">
      <w:pPr>
        <w:numPr>
          <w:ilvl w:val="0"/>
          <w:numId w:val="7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6295"/>
        <w:gridCol w:w="3507"/>
      </w:tblGrid>
      <w:tr w:rsidR="00980FA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Spôsob oceňovania</w:t>
            </w:r>
          </w:p>
        </w:tc>
      </w:tr>
      <w:tr w:rsidR="00980FA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nehmotný majetok obstaraný kúpou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FD239F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980FA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nehmotný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FD239F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Vlastné náklady</w:t>
            </w:r>
          </w:p>
        </w:tc>
      </w:tr>
      <w:tr w:rsidR="00980FA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nehmotný majetok obstaraný iným spôsobom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FA7">
        <w:trPr>
          <w:trHeight w:hRule="exact" w:val="250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hmotný majetok obstaraný kúpou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FA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FA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hmotný majetok obstaraný iným spôsobom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FA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finančný majetok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FD239F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980FA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zásoby obstarané kúpou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FD239F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980FA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zásoby vytvorené vlastnou činnosťou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FA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zásoby obstarané iným spôsobom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FA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pohľadávky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FA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krátkodobý finančný majetok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FA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časové rozlíšenie na strane aktív súvahy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FA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FA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FA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FA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FA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FA7" w:rsidRDefault="00980FA7">
      <w:pPr>
        <w:spacing w:before="0" w:after="240" w:line="240" w:lineRule="auto"/>
        <w:rPr>
          <w:rFonts w:cs="Arial"/>
          <w:sz w:val="22"/>
          <w:szCs w:val="22"/>
        </w:rPr>
      </w:pPr>
    </w:p>
    <w:p w:rsidR="00980FA7" w:rsidRDefault="000433A3">
      <w:pPr>
        <w:spacing w:before="0" w:after="240" w:line="240" w:lineRule="auto"/>
        <w:rPr>
          <w:rFonts w:cs="Arial"/>
          <w:b/>
          <w:sz w:val="22"/>
          <w:szCs w:val="22"/>
        </w:rPr>
      </w:pPr>
      <w:r>
        <w:rPr>
          <w:rFonts w:cs="Arial"/>
          <w:sz w:val="22"/>
          <w:szCs w:val="22"/>
        </w:rPr>
        <w:t xml:space="preserve"> Spôsob zostavenia odpisového plánu pre jednotlivé druhy dlhodobého hmotného majetku a dlhodobého nehmotného majetku, pričom sa uvádza doba odpisovania, použité sadzby odpisov a odpisové metódy pri určení odpisov. 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2548"/>
        <w:gridCol w:w="2548"/>
        <w:gridCol w:w="2549"/>
        <w:gridCol w:w="2549"/>
      </w:tblGrid>
      <w:tr w:rsidR="00980FA7">
        <w:trPr>
          <w:trHeight w:val="416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keepNext/>
              <w:spacing w:before="0" w:after="24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Odpisová metóda</w:t>
            </w:r>
          </w:p>
        </w:tc>
      </w:tr>
      <w:tr w:rsidR="00980FA7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80FA7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80FA7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980FA7" w:rsidRDefault="00980FA7">
      <w:pPr>
        <w:spacing w:before="0" w:line="240" w:lineRule="auto"/>
        <w:ind w:left="360"/>
        <w:rPr>
          <w:sz w:val="22"/>
          <w:szCs w:val="22"/>
        </w:rPr>
      </w:pPr>
    </w:p>
    <w:p w:rsidR="00980FA7" w:rsidRDefault="000433A3">
      <w:pPr>
        <w:numPr>
          <w:ilvl w:val="0"/>
          <w:numId w:val="7"/>
        </w:numPr>
        <w:spacing w:before="0" w:line="240" w:lineRule="auto"/>
        <w:rPr>
          <w:rFonts w:cs="Arial"/>
          <w:b/>
          <w:sz w:val="16"/>
          <w:szCs w:val="16"/>
        </w:rPr>
      </w:pPr>
      <w:r>
        <w:rPr>
          <w:rFonts w:cs="Arial"/>
          <w:sz w:val="22"/>
          <w:szCs w:val="22"/>
        </w:rPr>
        <w:t xml:space="preserve">Zásady pre zohľadnenie zníženia hodnoty majetku – účtovná jednotka uplatňuje: </w:t>
      </w:r>
    </w:p>
    <w:tbl>
      <w:tblPr>
        <w:tblW w:w="0" w:type="auto"/>
        <w:tblInd w:w="392" w:type="dxa"/>
        <w:tblLayout w:type="fixed"/>
        <w:tblLook w:val="04A0" w:firstRow="1" w:lastRow="0" w:firstColumn="1" w:lastColumn="0" w:noHBand="0" w:noVBand="1"/>
      </w:tblPr>
      <w:tblGrid>
        <w:gridCol w:w="4863"/>
        <w:gridCol w:w="4863"/>
      </w:tblGrid>
      <w:tr w:rsidR="00980FA7">
        <w:trPr>
          <w:trHeight w:val="284"/>
        </w:trPr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pStyle w:val="Zkladntext"/>
              <w:jc w:val="center"/>
            </w:pPr>
            <w:r>
              <w:rPr>
                <w:rFonts w:cs="Arial"/>
                <w:b/>
                <w:sz w:val="16"/>
                <w:szCs w:val="16"/>
              </w:rPr>
              <w:t>Opravné položky</w:t>
            </w:r>
          </w:p>
        </w:tc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pStyle w:val="Zkladntext"/>
              <w:jc w:val="center"/>
            </w:pPr>
            <w:r>
              <w:rPr>
                <w:rFonts w:cs="Arial"/>
                <w:b/>
                <w:sz w:val="16"/>
                <w:szCs w:val="16"/>
              </w:rPr>
              <w:t>Rezervy</w:t>
            </w:r>
          </w:p>
        </w:tc>
      </w:tr>
      <w:tr w:rsidR="00980FA7">
        <w:trPr>
          <w:trHeight w:val="284"/>
        </w:trPr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  <w:jc w:val="center"/>
            </w:pPr>
            <w:r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  <w:jc w:val="center"/>
            </w:pPr>
            <w:r>
              <w:rPr>
                <w:sz w:val="18"/>
                <w:szCs w:val="18"/>
              </w:rPr>
              <w:t>áno / nie</w:t>
            </w:r>
          </w:p>
        </w:tc>
      </w:tr>
    </w:tbl>
    <w:p w:rsidR="00980FA7" w:rsidRDefault="00980FA7">
      <w:pPr>
        <w:spacing w:before="0" w:line="240" w:lineRule="auto"/>
        <w:rPr>
          <w:rFonts w:cs="Arial"/>
          <w:sz w:val="22"/>
          <w:szCs w:val="22"/>
        </w:rPr>
      </w:pPr>
    </w:p>
    <w:p w:rsidR="00980FA7" w:rsidRDefault="00980FA7">
      <w:pPr>
        <w:spacing w:before="0" w:line="240" w:lineRule="auto"/>
        <w:rPr>
          <w:rFonts w:cs="Arial"/>
          <w:sz w:val="22"/>
          <w:szCs w:val="22"/>
        </w:rPr>
      </w:pPr>
    </w:p>
    <w:p w:rsidR="00980FA7" w:rsidRDefault="000433A3">
      <w:p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Informácie o účtovaní opráv významných chýb minulých účtovných období v bežnom účtovnom období s uvedením vplyvu na výsledok hospodárenia minulých rokov; súčasne sa môže uviesť aj informácia o účtovaní opráv nevýznamných chýb minulých účtovných období v bežnom účtovnom období s uvedením vplyvu na výsledok hospodárenia bežného účtovného obdobia.</w:t>
      </w:r>
    </w:p>
    <w:p w:rsidR="00980FA7" w:rsidRDefault="00980FA7">
      <w:pPr>
        <w:spacing w:before="0" w:line="240" w:lineRule="auto"/>
        <w:rPr>
          <w:rFonts w:cs="Arial"/>
          <w:sz w:val="22"/>
          <w:szCs w:val="22"/>
        </w:rPr>
      </w:pP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3576"/>
        <w:gridCol w:w="3450"/>
        <w:gridCol w:w="3105"/>
      </w:tblGrid>
      <w:tr w:rsidR="00980FA7">
        <w:trPr>
          <w:trHeight w:val="462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keepNext/>
              <w:spacing w:before="0" w:after="240" w:line="240" w:lineRule="auto"/>
              <w:jc w:val="center"/>
            </w:pPr>
            <w:r>
              <w:rPr>
                <w:b/>
                <w:bCs/>
                <w:sz w:val="22"/>
                <w:szCs w:val="22"/>
              </w:rPr>
              <w:t>Opravy chýb minulých účtovných období</w:t>
            </w: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Vplyv na výsledok hospodárenia minulých období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Vplyv na výsledok hospodáreniabežného účtovného obdobia</w:t>
            </w:r>
          </w:p>
        </w:tc>
      </w:tr>
      <w:tr w:rsidR="00980FA7">
        <w:trPr>
          <w:trHeight w:val="374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80FA7">
        <w:trPr>
          <w:trHeight w:val="374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80FA7">
        <w:trPr>
          <w:trHeight w:val="374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980FA7" w:rsidRDefault="00980FA7">
      <w:pPr>
        <w:spacing w:before="0" w:line="240" w:lineRule="auto"/>
        <w:rPr>
          <w:rFonts w:cs="Arial"/>
          <w:sz w:val="22"/>
          <w:szCs w:val="22"/>
        </w:rPr>
      </w:pPr>
    </w:p>
    <w:p w:rsidR="00980FA7" w:rsidRDefault="000433A3">
      <w:pPr>
        <w:keepNext/>
        <w:spacing w:before="24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III</w:t>
      </w:r>
    </w:p>
    <w:p w:rsidR="00980FA7" w:rsidRDefault="000433A3">
      <w:pPr>
        <w:keepNext/>
        <w:spacing w:before="0" w:line="240" w:lineRule="auto"/>
        <w:jc w:val="center"/>
        <w:outlineLvl w:val="1"/>
        <w:rPr>
          <w:rFonts w:eastAsia="Arial Narrow"/>
          <w:sz w:val="22"/>
          <w:szCs w:val="22"/>
        </w:rPr>
      </w:pPr>
      <w:r>
        <w:rPr>
          <w:rFonts w:cs="Arial"/>
          <w:b/>
          <w:sz w:val="22"/>
          <w:szCs w:val="22"/>
        </w:rPr>
        <w:t>Informácie, ktoré dopĺňajú a vysvetľujú údaje v súvahe</w:t>
      </w:r>
    </w:p>
    <w:p w:rsidR="00980FA7" w:rsidRDefault="000433A3">
      <w:pPr>
        <w:numPr>
          <w:ilvl w:val="0"/>
          <w:numId w:val="9"/>
        </w:numPr>
        <w:spacing w:before="0" w:line="240" w:lineRule="auto"/>
        <w:ind w:left="0" w:firstLine="0"/>
        <w:rPr>
          <w:b/>
          <w:i/>
          <w:sz w:val="18"/>
          <w:szCs w:val="18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Významné sumy prírastkov a úbytkov dlhodobého nehmotného majetku a dlhodobého hmotného majetku.</w:t>
      </w:r>
    </w:p>
    <w:tbl>
      <w:tblPr>
        <w:tblW w:w="5123" w:type="pct"/>
        <w:tblInd w:w="3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8"/>
        <w:gridCol w:w="2697"/>
        <w:gridCol w:w="2744"/>
      </w:tblGrid>
      <w:tr w:rsidR="00980FA7">
        <w:trPr>
          <w:trHeight w:val="284"/>
        </w:trPr>
        <w:tc>
          <w:tcPr>
            <w:tcW w:w="2217" w:type="pct"/>
            <w:vAlign w:val="center"/>
          </w:tcPr>
          <w:p w:rsidR="00980FA7" w:rsidRDefault="000433A3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  <w:lang w:val="en-US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Dlhodobý nehmotný majetok</w:t>
            </w:r>
          </w:p>
        </w:tc>
        <w:tc>
          <w:tcPr>
            <w:tcW w:w="1231" w:type="pct"/>
            <w:vAlign w:val="center"/>
          </w:tcPr>
          <w:p w:rsidR="00980FA7" w:rsidRDefault="000433A3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val="en-US" w:eastAsia="sk-SK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Prírastky</w:t>
            </w:r>
          </w:p>
        </w:tc>
        <w:tc>
          <w:tcPr>
            <w:tcW w:w="1252" w:type="pct"/>
            <w:vAlign w:val="center"/>
          </w:tcPr>
          <w:p w:rsidR="00980FA7" w:rsidRDefault="000433A3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val="en-US" w:eastAsia="sk-SK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Úbytky</w:t>
            </w:r>
          </w:p>
        </w:tc>
      </w:tr>
      <w:tr w:rsidR="00980FA7">
        <w:trPr>
          <w:trHeight w:val="284"/>
        </w:trPr>
        <w:tc>
          <w:tcPr>
            <w:tcW w:w="2217" w:type="pct"/>
            <w:vAlign w:val="center"/>
          </w:tcPr>
          <w:p w:rsidR="00980FA7" w:rsidRDefault="000433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Nehmotné výsledky z vývojovej a obdobnej činnosti</w:t>
            </w:r>
          </w:p>
        </w:tc>
        <w:tc>
          <w:tcPr>
            <w:tcW w:w="1231" w:type="pct"/>
            <w:vAlign w:val="center"/>
          </w:tcPr>
          <w:p w:rsidR="00980FA7" w:rsidRDefault="000433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980FA7" w:rsidRDefault="000433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980FA7">
        <w:trPr>
          <w:trHeight w:val="284"/>
        </w:trPr>
        <w:tc>
          <w:tcPr>
            <w:tcW w:w="2217" w:type="pct"/>
            <w:vAlign w:val="center"/>
          </w:tcPr>
          <w:p w:rsidR="00980FA7" w:rsidRDefault="000433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Softvér</w:t>
            </w:r>
          </w:p>
        </w:tc>
        <w:tc>
          <w:tcPr>
            <w:tcW w:w="1231" w:type="pct"/>
            <w:vAlign w:val="center"/>
          </w:tcPr>
          <w:p w:rsidR="00980FA7" w:rsidRDefault="000433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980FA7" w:rsidRDefault="000433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980FA7">
        <w:trPr>
          <w:trHeight w:val="284"/>
        </w:trPr>
        <w:tc>
          <w:tcPr>
            <w:tcW w:w="2217" w:type="pct"/>
            <w:vAlign w:val="center"/>
          </w:tcPr>
          <w:p w:rsidR="00980FA7" w:rsidRDefault="000433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Oceniteľné práva</w:t>
            </w:r>
          </w:p>
        </w:tc>
        <w:tc>
          <w:tcPr>
            <w:tcW w:w="1231" w:type="pct"/>
            <w:vAlign w:val="center"/>
          </w:tcPr>
          <w:p w:rsidR="00980FA7" w:rsidRDefault="000433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980FA7" w:rsidRDefault="000433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980FA7">
        <w:trPr>
          <w:trHeight w:val="284"/>
        </w:trPr>
        <w:tc>
          <w:tcPr>
            <w:tcW w:w="2217" w:type="pct"/>
            <w:vAlign w:val="center"/>
          </w:tcPr>
          <w:p w:rsidR="00980FA7" w:rsidRDefault="000433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Ostatný dlhodobý majetok</w:t>
            </w:r>
          </w:p>
        </w:tc>
        <w:tc>
          <w:tcPr>
            <w:tcW w:w="1231" w:type="pct"/>
            <w:vAlign w:val="center"/>
          </w:tcPr>
          <w:p w:rsidR="00980FA7" w:rsidRDefault="000433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980FA7" w:rsidRDefault="000433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980FA7">
        <w:trPr>
          <w:trHeight w:val="284"/>
        </w:trPr>
        <w:tc>
          <w:tcPr>
            <w:tcW w:w="2217" w:type="pct"/>
            <w:vAlign w:val="center"/>
          </w:tcPr>
          <w:p w:rsidR="00980FA7" w:rsidRDefault="000433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Obstaranie nehmotného majetku</w:t>
            </w:r>
          </w:p>
        </w:tc>
        <w:tc>
          <w:tcPr>
            <w:tcW w:w="1231" w:type="pct"/>
            <w:vAlign w:val="center"/>
          </w:tcPr>
          <w:p w:rsidR="00980FA7" w:rsidRDefault="000433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980FA7" w:rsidRDefault="000433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980FA7">
        <w:trPr>
          <w:trHeight w:val="284"/>
        </w:trPr>
        <w:tc>
          <w:tcPr>
            <w:tcW w:w="2217" w:type="pct"/>
            <w:vAlign w:val="center"/>
          </w:tcPr>
          <w:p w:rsidR="00980FA7" w:rsidRDefault="000433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231" w:type="pct"/>
            <w:vAlign w:val="center"/>
          </w:tcPr>
          <w:p w:rsidR="00980FA7" w:rsidRDefault="000433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980FA7" w:rsidRDefault="000433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980FA7">
        <w:trPr>
          <w:trHeight w:val="284"/>
        </w:trPr>
        <w:tc>
          <w:tcPr>
            <w:tcW w:w="2217" w:type="pct"/>
            <w:vAlign w:val="center"/>
          </w:tcPr>
          <w:p w:rsidR="00980FA7" w:rsidRDefault="000433A3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Dlhodobý hmotný majetok</w:t>
            </w:r>
          </w:p>
        </w:tc>
        <w:tc>
          <w:tcPr>
            <w:tcW w:w="1231" w:type="pct"/>
            <w:vAlign w:val="center"/>
          </w:tcPr>
          <w:p w:rsidR="00980FA7" w:rsidRDefault="000433A3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  <w:lang w:val="en-US" w:eastAsia="sk-SK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Prírastky</w:t>
            </w:r>
          </w:p>
        </w:tc>
        <w:tc>
          <w:tcPr>
            <w:tcW w:w="1252" w:type="pct"/>
            <w:vAlign w:val="center"/>
          </w:tcPr>
          <w:p w:rsidR="00980FA7" w:rsidRDefault="000433A3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  <w:lang w:val="en-US" w:eastAsia="sk-SK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Úbytky</w:t>
            </w:r>
          </w:p>
        </w:tc>
      </w:tr>
      <w:tr w:rsidR="00980FA7">
        <w:trPr>
          <w:trHeight w:val="284"/>
        </w:trPr>
        <w:tc>
          <w:tcPr>
            <w:tcW w:w="2217" w:type="pct"/>
            <w:vAlign w:val="center"/>
          </w:tcPr>
          <w:p w:rsidR="00980FA7" w:rsidRDefault="000433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Pozemky</w:t>
            </w:r>
          </w:p>
        </w:tc>
        <w:tc>
          <w:tcPr>
            <w:tcW w:w="1231" w:type="pct"/>
            <w:vAlign w:val="center"/>
          </w:tcPr>
          <w:p w:rsidR="00980FA7" w:rsidRDefault="000433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980FA7" w:rsidRDefault="000433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  <w:lang w:val="en-US" w:eastAsia="sk-SK"/>
              </w:rPr>
            </w:pPr>
            <w:r>
              <w:rPr>
                <w:rFonts w:cs="Arial"/>
                <w:sz w:val="16"/>
                <w:szCs w:val="16"/>
                <w:lang w:val="en-US" w:eastAsia="sk-SK"/>
              </w:rPr>
              <w:t>0</w:t>
            </w:r>
          </w:p>
        </w:tc>
      </w:tr>
      <w:tr w:rsidR="00980FA7">
        <w:trPr>
          <w:trHeight w:val="284"/>
        </w:trPr>
        <w:tc>
          <w:tcPr>
            <w:tcW w:w="2217" w:type="pct"/>
            <w:vAlign w:val="center"/>
          </w:tcPr>
          <w:p w:rsidR="00980FA7" w:rsidRDefault="000433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Umelecké diela a zbierky</w:t>
            </w:r>
          </w:p>
        </w:tc>
        <w:tc>
          <w:tcPr>
            <w:tcW w:w="1231" w:type="pct"/>
            <w:vAlign w:val="center"/>
          </w:tcPr>
          <w:p w:rsidR="00980FA7" w:rsidRDefault="000433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980FA7" w:rsidRDefault="000433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980FA7">
        <w:trPr>
          <w:trHeight w:val="284"/>
        </w:trPr>
        <w:tc>
          <w:tcPr>
            <w:tcW w:w="2217" w:type="pct"/>
            <w:vAlign w:val="center"/>
          </w:tcPr>
          <w:p w:rsidR="00980FA7" w:rsidRDefault="000433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Stavby</w:t>
            </w:r>
          </w:p>
        </w:tc>
        <w:tc>
          <w:tcPr>
            <w:tcW w:w="1231" w:type="pct"/>
            <w:vAlign w:val="center"/>
          </w:tcPr>
          <w:p w:rsidR="00980FA7" w:rsidRDefault="000433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980FA7" w:rsidRDefault="000433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980FA7">
        <w:trPr>
          <w:trHeight w:val="284"/>
        </w:trPr>
        <w:tc>
          <w:tcPr>
            <w:tcW w:w="2217" w:type="pct"/>
            <w:vAlign w:val="center"/>
          </w:tcPr>
          <w:p w:rsidR="00980FA7" w:rsidRDefault="000433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Samostatne  hnuteľné veci a súbory hnuteľných vecí</w:t>
            </w:r>
          </w:p>
        </w:tc>
        <w:tc>
          <w:tcPr>
            <w:tcW w:w="1231" w:type="pct"/>
            <w:vAlign w:val="center"/>
          </w:tcPr>
          <w:p w:rsidR="00980FA7" w:rsidRDefault="000433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980FA7" w:rsidRDefault="000433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980FA7">
        <w:trPr>
          <w:trHeight w:val="284"/>
        </w:trPr>
        <w:tc>
          <w:tcPr>
            <w:tcW w:w="2217" w:type="pct"/>
            <w:vAlign w:val="center"/>
          </w:tcPr>
          <w:p w:rsidR="00980FA7" w:rsidRDefault="000433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Dopravné prostriedky</w:t>
            </w:r>
          </w:p>
        </w:tc>
        <w:tc>
          <w:tcPr>
            <w:tcW w:w="1231" w:type="pct"/>
            <w:vAlign w:val="center"/>
          </w:tcPr>
          <w:p w:rsidR="00980FA7" w:rsidRDefault="000433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980FA7" w:rsidRDefault="000433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980FA7">
        <w:trPr>
          <w:trHeight w:val="284"/>
        </w:trPr>
        <w:tc>
          <w:tcPr>
            <w:tcW w:w="2217" w:type="pct"/>
            <w:vAlign w:val="center"/>
          </w:tcPr>
          <w:p w:rsidR="00980FA7" w:rsidRDefault="000433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Pestovateľské celky trvalých porastov</w:t>
            </w:r>
          </w:p>
        </w:tc>
        <w:tc>
          <w:tcPr>
            <w:tcW w:w="1231" w:type="pct"/>
            <w:vAlign w:val="center"/>
          </w:tcPr>
          <w:p w:rsidR="00980FA7" w:rsidRDefault="000433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980FA7" w:rsidRDefault="000433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980FA7">
        <w:trPr>
          <w:trHeight w:val="284"/>
        </w:trPr>
        <w:tc>
          <w:tcPr>
            <w:tcW w:w="2217" w:type="pct"/>
            <w:vAlign w:val="center"/>
          </w:tcPr>
          <w:p w:rsidR="00980FA7" w:rsidRDefault="000433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stádo a ťažné zvieratá</w:t>
            </w:r>
          </w:p>
        </w:tc>
        <w:tc>
          <w:tcPr>
            <w:tcW w:w="1231" w:type="pct"/>
            <w:vAlign w:val="center"/>
          </w:tcPr>
          <w:p w:rsidR="00980FA7" w:rsidRDefault="000433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980FA7" w:rsidRDefault="000433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980FA7">
        <w:trPr>
          <w:trHeight w:val="284"/>
        </w:trPr>
        <w:tc>
          <w:tcPr>
            <w:tcW w:w="2217" w:type="pct"/>
            <w:vAlign w:val="center"/>
          </w:tcPr>
          <w:p w:rsidR="00980FA7" w:rsidRDefault="000433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Drobný a ostatný dlhodobý hmotný majetok</w:t>
            </w:r>
          </w:p>
        </w:tc>
        <w:tc>
          <w:tcPr>
            <w:tcW w:w="1231" w:type="pct"/>
            <w:vAlign w:val="center"/>
          </w:tcPr>
          <w:p w:rsidR="00980FA7" w:rsidRDefault="000433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980FA7" w:rsidRDefault="000433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980FA7">
        <w:trPr>
          <w:trHeight w:val="284"/>
        </w:trPr>
        <w:tc>
          <w:tcPr>
            <w:tcW w:w="2217" w:type="pct"/>
            <w:vAlign w:val="center"/>
          </w:tcPr>
          <w:p w:rsidR="00980FA7" w:rsidRDefault="000433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Obstaranie dlhodobého hmotného majetku</w:t>
            </w:r>
          </w:p>
        </w:tc>
        <w:tc>
          <w:tcPr>
            <w:tcW w:w="1231" w:type="pct"/>
            <w:vAlign w:val="center"/>
          </w:tcPr>
          <w:p w:rsidR="00980FA7" w:rsidRDefault="000433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980FA7" w:rsidRDefault="000433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980FA7">
        <w:trPr>
          <w:trHeight w:val="284"/>
        </w:trPr>
        <w:tc>
          <w:tcPr>
            <w:tcW w:w="2217" w:type="pct"/>
            <w:vAlign w:val="center"/>
          </w:tcPr>
          <w:p w:rsidR="00980FA7" w:rsidRDefault="000433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31" w:type="pct"/>
            <w:vAlign w:val="center"/>
          </w:tcPr>
          <w:p w:rsidR="00980FA7" w:rsidRDefault="000433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980FA7" w:rsidRDefault="000433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</w:tbl>
    <w:p w:rsidR="00980FA7" w:rsidRDefault="00980FA7">
      <w:pPr>
        <w:spacing w:before="0" w:line="240" w:lineRule="auto"/>
        <w:rPr>
          <w:rFonts w:eastAsia="Arial Narrow"/>
          <w:sz w:val="22"/>
          <w:szCs w:val="22"/>
        </w:rPr>
      </w:pPr>
    </w:p>
    <w:p w:rsidR="00980FA7" w:rsidRDefault="000433A3">
      <w:pPr>
        <w:numPr>
          <w:ilvl w:val="0"/>
          <w:numId w:val="9"/>
        </w:numPr>
        <w:spacing w:before="0" w:line="240" w:lineRule="auto"/>
        <w:ind w:left="0" w:firstLine="0"/>
        <w:rPr>
          <w:rFonts w:eastAsia="Arial Narrow" w:cs="Arial"/>
          <w:sz w:val="22"/>
          <w:szCs w:val="22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dlhodobého majetku, na ktorý je zriadené záložné právo a prehľad dlhodobého majetku, pri ktorom má účtovná jednotka obmedzené právo s ním nakladať.</w:t>
      </w:r>
    </w:p>
    <w:p w:rsidR="00980FA7" w:rsidRDefault="000433A3">
      <w:pPr>
        <w:numPr>
          <w:ilvl w:val="0"/>
          <w:numId w:val="9"/>
        </w:numPr>
        <w:spacing w:before="0"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štruktúre dlhodobého finančného majetku za bežné účtovné obdobie a jeho umiestnenie v členení podľa položiek súvahy v riadkoch 022 a 023.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19"/>
        <w:gridCol w:w="2409"/>
        <w:gridCol w:w="2694"/>
      </w:tblGrid>
      <w:tr w:rsidR="00980FA7">
        <w:trPr>
          <w:trHeight w:val="399"/>
        </w:trPr>
        <w:tc>
          <w:tcPr>
            <w:tcW w:w="49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Názov účtovnej jednotky</w:t>
            </w:r>
          </w:p>
        </w:tc>
        <w:tc>
          <w:tcPr>
            <w:tcW w:w="24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Podiel účtovnej jednotky na hlasovacích právach</w:t>
            </w:r>
          </w:p>
          <w:p w:rsidR="00980FA7" w:rsidRDefault="000433A3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(v %)</w:t>
            </w:r>
          </w:p>
        </w:tc>
      </w:tr>
      <w:tr w:rsidR="00980FA7">
        <w:trPr>
          <w:trHeight w:val="1073"/>
        </w:trPr>
        <w:tc>
          <w:tcPr>
            <w:tcW w:w="49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4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6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</w:tr>
      <w:tr w:rsidR="00980FA7">
        <w:trPr>
          <w:trHeight w:val="374"/>
        </w:trPr>
        <w:tc>
          <w:tcPr>
            <w:tcW w:w="4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80FA7">
        <w:trPr>
          <w:trHeight w:val="374"/>
        </w:trPr>
        <w:tc>
          <w:tcPr>
            <w:tcW w:w="4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80FA7" w:rsidRDefault="000433A3">
      <w:pPr>
        <w:spacing w:line="240" w:lineRule="auto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(4) </w:t>
      </w:r>
      <w:r>
        <w:rPr>
          <w:rFonts w:cs="Arial"/>
          <w:sz w:val="22"/>
          <w:szCs w:val="22"/>
        </w:rPr>
        <w:t>Údaje o štruktúre dlhodobého finančného majetku a krátkodobého finančného majetku v členení podľa položiek súvahy v riadkoch 024, 026 a 055.</w:t>
      </w:r>
    </w:p>
    <w:tbl>
      <w:tblPr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3355"/>
        <w:gridCol w:w="3351"/>
        <w:gridCol w:w="3351"/>
      </w:tblGrid>
      <w:tr w:rsidR="00980FA7"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keepNext/>
              <w:spacing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 xml:space="preserve">Opis druhu finančného majetku 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0433A3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0433A3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80FA7">
        <w:trPr>
          <w:trHeight w:val="374"/>
        </w:trPr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80FA7">
        <w:trPr>
          <w:trHeight w:val="374"/>
        </w:trPr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80FA7" w:rsidRDefault="000433A3">
      <w:pPr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štruktúre dlhodobých pôžičiek.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3350"/>
        <w:gridCol w:w="3351"/>
        <w:gridCol w:w="3351"/>
      </w:tblGrid>
      <w:tr w:rsidR="00980FA7"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keepNext/>
              <w:spacing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0433A3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0433A3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80FA7">
        <w:trPr>
          <w:trHeight w:val="374"/>
        </w:trPr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80FA7">
        <w:trPr>
          <w:trHeight w:val="374"/>
        </w:trPr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80FA7" w:rsidRDefault="000433A3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lastRenderedPageBreak/>
        <w:t xml:space="preserve"> </w:t>
      </w:r>
      <w:r>
        <w:rPr>
          <w:rFonts w:cs="Arial"/>
          <w:sz w:val="22"/>
          <w:szCs w:val="22"/>
        </w:rPr>
        <w:t>Prehľad  o vývoji významných súm opravných položiek podľa jednotlivých druhov majetku.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51"/>
        <w:gridCol w:w="1561"/>
        <w:gridCol w:w="1560"/>
        <w:gridCol w:w="1560"/>
        <w:gridCol w:w="1560"/>
        <w:gridCol w:w="1560"/>
      </w:tblGrid>
      <w:tr w:rsidR="00980FA7">
        <w:trPr>
          <w:trHeight w:val="284"/>
        </w:trPr>
        <w:tc>
          <w:tcPr>
            <w:tcW w:w="1119" w:type="pct"/>
            <w:vAlign w:val="center"/>
          </w:tcPr>
          <w:p w:rsidR="00980FA7" w:rsidRDefault="000433A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980FA7" w:rsidRDefault="000433A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980FA7" w:rsidRDefault="000433A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980FA7" w:rsidRDefault="000433A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980FA7" w:rsidRDefault="000433A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980FA7" w:rsidRDefault="000433A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80FA7">
        <w:trPr>
          <w:trHeight w:val="284"/>
        </w:trPr>
        <w:tc>
          <w:tcPr>
            <w:tcW w:w="1119" w:type="pct"/>
            <w:vAlign w:val="center"/>
          </w:tcPr>
          <w:p w:rsidR="00980FA7" w:rsidRDefault="000433A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980FA7" w:rsidRDefault="000433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980FA7" w:rsidRDefault="000433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980FA7" w:rsidRDefault="000433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980FA7" w:rsidRDefault="00980F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980FA7" w:rsidRDefault="000433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80FA7">
        <w:trPr>
          <w:trHeight w:val="284"/>
        </w:trPr>
        <w:tc>
          <w:tcPr>
            <w:tcW w:w="1119" w:type="pct"/>
            <w:vAlign w:val="center"/>
          </w:tcPr>
          <w:p w:rsidR="00980FA7" w:rsidRDefault="000433A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980FA7" w:rsidRDefault="000433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980FA7" w:rsidRDefault="000433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980FA7" w:rsidRDefault="000433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980FA7" w:rsidRDefault="00980F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980FA7" w:rsidRDefault="000433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80FA7">
        <w:trPr>
          <w:trHeight w:val="284"/>
        </w:trPr>
        <w:tc>
          <w:tcPr>
            <w:tcW w:w="1119" w:type="pct"/>
            <w:vAlign w:val="center"/>
          </w:tcPr>
          <w:p w:rsidR="00980FA7" w:rsidRDefault="000433A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980FA7" w:rsidRDefault="000433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980FA7" w:rsidRDefault="000433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980FA7" w:rsidRDefault="000433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980FA7" w:rsidRDefault="00980F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980FA7" w:rsidRDefault="000433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80FA7">
        <w:trPr>
          <w:trHeight w:val="284"/>
        </w:trPr>
        <w:tc>
          <w:tcPr>
            <w:tcW w:w="1119" w:type="pct"/>
            <w:vAlign w:val="center"/>
          </w:tcPr>
          <w:p w:rsidR="00980FA7" w:rsidRDefault="000433A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980FA7" w:rsidRDefault="000433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980FA7" w:rsidRDefault="000433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980FA7" w:rsidRDefault="000433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980FA7" w:rsidRDefault="00980F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980FA7" w:rsidRDefault="000433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80FA7">
        <w:trPr>
          <w:trHeight w:val="284"/>
        </w:trPr>
        <w:tc>
          <w:tcPr>
            <w:tcW w:w="1119" w:type="pct"/>
            <w:vAlign w:val="center"/>
          </w:tcPr>
          <w:p w:rsidR="00980FA7" w:rsidRDefault="000433A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980FA7" w:rsidRDefault="00980FA7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980FA7" w:rsidRDefault="00980FA7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980FA7" w:rsidRDefault="00980FA7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980FA7" w:rsidRDefault="00980FA7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980FA7" w:rsidRDefault="00980FA7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980FA7">
        <w:trPr>
          <w:trHeight w:val="284"/>
        </w:trPr>
        <w:tc>
          <w:tcPr>
            <w:tcW w:w="1119" w:type="pct"/>
            <w:vAlign w:val="center"/>
          </w:tcPr>
          <w:p w:rsidR="00980FA7" w:rsidRDefault="000433A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980FA7" w:rsidRDefault="000433A3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980FA7" w:rsidRDefault="000433A3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980FA7" w:rsidRDefault="000433A3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980FA7" w:rsidRDefault="00980FA7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980FA7" w:rsidRDefault="000433A3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80FA7" w:rsidRDefault="00980FA7">
      <w:pPr>
        <w:keepNext/>
        <w:spacing w:line="240" w:lineRule="auto"/>
        <w:rPr>
          <w:rFonts w:cs="Arial"/>
          <w:b/>
          <w:sz w:val="22"/>
          <w:szCs w:val="22"/>
        </w:rPr>
      </w:pPr>
    </w:p>
    <w:p w:rsidR="00980FA7" w:rsidRDefault="000433A3">
      <w:pPr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Opis významných súm pohľadávok</w:t>
      </w:r>
      <w:r>
        <w:rPr>
          <w:rFonts w:cs="Arial"/>
          <w:b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v nadväznosti na položky súvahy, v členení na pohľadávky za hlavnú nezdaňovanú činnosť a zdaňovanú činnosť za bežné účtovné obdobie.</w:t>
      </w:r>
    </w:p>
    <w:tbl>
      <w:tblPr>
        <w:tblW w:w="0" w:type="auto"/>
        <w:tblInd w:w="38" w:type="dxa"/>
        <w:tblLayout w:type="fixed"/>
        <w:tblLook w:val="04A0" w:firstRow="1" w:lastRow="0" w:firstColumn="1" w:lastColumn="0" w:noHBand="0" w:noVBand="1"/>
      </w:tblPr>
      <w:tblGrid>
        <w:gridCol w:w="4068"/>
        <w:gridCol w:w="2977"/>
        <w:gridCol w:w="2693"/>
      </w:tblGrid>
      <w:tr w:rsidR="00980FA7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0433A3">
            <w:pPr>
              <w:spacing w:before="0" w:line="240" w:lineRule="auto"/>
            </w:pPr>
            <w:r>
              <w:rPr>
                <w:rFonts w:cs="Arial"/>
                <w:b/>
                <w:sz w:val="22"/>
                <w:szCs w:val="22"/>
              </w:rPr>
              <w:t xml:space="preserve">Druh a opis významných položiek pohľadávok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Zdaňovaná činnosť</w:t>
            </w:r>
          </w:p>
        </w:tc>
      </w:tr>
      <w:tr w:rsidR="00980FA7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FD239F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Auto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FD239F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2242,50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80FA7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FD239F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Garaž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FD239F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522,96</w:t>
            </w:r>
            <w:bookmarkStart w:id="0" w:name="_GoBack"/>
            <w:bookmarkEnd w:id="0"/>
          </w:p>
        </w:tc>
      </w:tr>
      <w:tr w:rsidR="00980FA7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980FA7" w:rsidRDefault="000433A3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b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pohľadávok do uplynutia lehoty splatnosti a po uplynutí lehoty splatnosti.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2689"/>
        <w:gridCol w:w="3588"/>
        <w:gridCol w:w="3499"/>
      </w:tblGrid>
      <w:tr w:rsidR="00980FA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0433A3">
            <w:pPr>
              <w:keepNext/>
              <w:spacing w:before="0" w:line="240" w:lineRule="auto"/>
            </w:pPr>
            <w:r>
              <w:rPr>
                <w:rFonts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0433A3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80FA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- do uplynutia lehoty splatnosti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80FA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- po uplynutí lehoty splatnosti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80FA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</w:tr>
    </w:tbl>
    <w:p w:rsidR="00980FA7" w:rsidRDefault="000433A3">
      <w:pPr>
        <w:numPr>
          <w:ilvl w:val="0"/>
          <w:numId w:val="9"/>
        </w:numPr>
        <w:spacing w:line="240" w:lineRule="auto"/>
        <w:ind w:left="0" w:firstLine="0"/>
        <w:rPr>
          <w:rFonts w:cs="Arial"/>
          <w:sz w:val="22"/>
          <w:szCs w:val="22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o významných položkách časového rozlíšenia nákladov budúcich období a príjmov budúcich období.</w:t>
      </w:r>
    </w:p>
    <w:p w:rsidR="00980FA7" w:rsidRDefault="00980FA7">
      <w:pPr>
        <w:spacing w:line="240" w:lineRule="auto"/>
        <w:ind w:left="644"/>
        <w:rPr>
          <w:rFonts w:cs="Arial"/>
          <w:sz w:val="22"/>
          <w:szCs w:val="22"/>
        </w:rPr>
      </w:pPr>
    </w:p>
    <w:p w:rsidR="00980FA7" w:rsidRDefault="00980FA7">
      <w:pPr>
        <w:spacing w:line="240" w:lineRule="auto"/>
        <w:ind w:left="644"/>
        <w:rPr>
          <w:rFonts w:cs="Arial"/>
          <w:sz w:val="22"/>
          <w:szCs w:val="22"/>
        </w:rPr>
      </w:pPr>
    </w:p>
    <w:p w:rsidR="00980FA7" w:rsidRDefault="000433A3">
      <w:pPr>
        <w:pageBreakBefore/>
        <w:spacing w:before="0" w:line="240" w:lineRule="auto"/>
        <w:rPr>
          <w:b/>
          <w:sz w:val="16"/>
          <w:szCs w:val="16"/>
        </w:rPr>
      </w:pPr>
      <w:r>
        <w:rPr>
          <w:b/>
          <w:i/>
          <w:sz w:val="18"/>
          <w:szCs w:val="18"/>
        </w:rPr>
        <w:lastRenderedPageBreak/>
        <w:t>(10) Opis a výška zmien vlastného imania v priebehu účtovného obdobia podľa položiek súvahy</w:t>
      </w:r>
    </w:p>
    <w:tbl>
      <w:tblPr>
        <w:tblW w:w="445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0"/>
        <w:gridCol w:w="1063"/>
        <w:gridCol w:w="1066"/>
        <w:gridCol w:w="1066"/>
        <w:gridCol w:w="1066"/>
        <w:gridCol w:w="1131"/>
      </w:tblGrid>
      <w:tr w:rsidR="00980FA7">
        <w:trPr>
          <w:trHeight w:val="284"/>
        </w:trPr>
        <w:tc>
          <w:tcPr>
            <w:tcW w:w="1991" w:type="pct"/>
            <w:vAlign w:val="center"/>
          </w:tcPr>
          <w:p w:rsidR="00980FA7" w:rsidRDefault="00980FA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3" w:type="pct"/>
            <w:vAlign w:val="center"/>
          </w:tcPr>
          <w:p w:rsidR="00980FA7" w:rsidRDefault="000433A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5" w:type="pct"/>
            <w:vAlign w:val="center"/>
          </w:tcPr>
          <w:p w:rsidR="00980FA7" w:rsidRDefault="000433A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  <w:p w:rsidR="00980FA7" w:rsidRDefault="000433A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5" w:type="pct"/>
            <w:vAlign w:val="center"/>
          </w:tcPr>
          <w:p w:rsidR="00980FA7" w:rsidRDefault="000433A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  <w:p w:rsidR="00980FA7" w:rsidRDefault="000433A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5" w:type="pct"/>
            <w:vAlign w:val="center"/>
          </w:tcPr>
          <w:p w:rsidR="00980FA7" w:rsidRDefault="000433A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Presuny</w:t>
            </w:r>
          </w:p>
          <w:p w:rsidR="00980FA7" w:rsidRDefault="000433A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9" w:type="pct"/>
            <w:vAlign w:val="center"/>
          </w:tcPr>
          <w:p w:rsidR="00980FA7" w:rsidRDefault="000433A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80FA7">
        <w:trPr>
          <w:trHeight w:val="284"/>
        </w:trPr>
        <w:tc>
          <w:tcPr>
            <w:tcW w:w="5000" w:type="pct"/>
            <w:gridSpan w:val="6"/>
            <w:vAlign w:val="center"/>
          </w:tcPr>
          <w:p w:rsidR="00980FA7" w:rsidRDefault="000433A3">
            <w:pPr>
              <w:spacing w:before="0" w:after="0" w:line="240" w:lineRule="auto"/>
              <w:jc w:val="left"/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</w:pPr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>Vlastné imanie</w:t>
            </w:r>
          </w:p>
        </w:tc>
      </w:tr>
      <w:tr w:rsidR="00980FA7">
        <w:trPr>
          <w:trHeight w:val="284"/>
        </w:trPr>
        <w:tc>
          <w:tcPr>
            <w:tcW w:w="1991" w:type="pct"/>
            <w:vAlign w:val="center"/>
          </w:tcPr>
          <w:p w:rsidR="00980FA7" w:rsidRDefault="000433A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593" w:type="pct"/>
            <w:vAlign w:val="center"/>
          </w:tcPr>
          <w:p w:rsidR="00980FA7" w:rsidRDefault="000433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US"/>
              </w:rPr>
              <w:t>29489,94</w:t>
            </w:r>
          </w:p>
        </w:tc>
        <w:tc>
          <w:tcPr>
            <w:tcW w:w="595" w:type="pct"/>
            <w:vAlign w:val="center"/>
          </w:tcPr>
          <w:p w:rsidR="00980FA7" w:rsidRDefault="000433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980FA7" w:rsidRDefault="000433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980FA7" w:rsidRDefault="00980F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980FA7" w:rsidRDefault="000433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29489,94</w:t>
            </w:r>
          </w:p>
        </w:tc>
      </w:tr>
      <w:tr w:rsidR="00980FA7">
        <w:trPr>
          <w:trHeight w:val="284"/>
        </w:trPr>
        <w:tc>
          <w:tcPr>
            <w:tcW w:w="1991" w:type="pct"/>
            <w:vAlign w:val="center"/>
          </w:tcPr>
          <w:p w:rsidR="00980FA7" w:rsidRDefault="000433A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 w:rsidR="00980FA7" w:rsidRDefault="000433A3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3" w:type="pct"/>
            <w:vAlign w:val="center"/>
          </w:tcPr>
          <w:p w:rsidR="00980FA7" w:rsidRDefault="00980F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980FA7" w:rsidRDefault="00980F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980FA7" w:rsidRDefault="00980F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980FA7" w:rsidRDefault="00980F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980FA7" w:rsidRDefault="00980F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FA7">
        <w:trPr>
          <w:trHeight w:val="284"/>
        </w:trPr>
        <w:tc>
          <w:tcPr>
            <w:tcW w:w="1991" w:type="pct"/>
            <w:vAlign w:val="center"/>
          </w:tcPr>
          <w:p w:rsidR="00980FA7" w:rsidRDefault="000433A3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593" w:type="pct"/>
            <w:vAlign w:val="center"/>
          </w:tcPr>
          <w:p w:rsidR="00980FA7" w:rsidRDefault="00980F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980FA7" w:rsidRDefault="00980F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980FA7" w:rsidRDefault="00980F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980FA7" w:rsidRDefault="00980F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980FA7" w:rsidRDefault="00980F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FA7">
        <w:trPr>
          <w:trHeight w:val="284"/>
        </w:trPr>
        <w:tc>
          <w:tcPr>
            <w:tcW w:w="1991" w:type="pct"/>
            <w:vAlign w:val="center"/>
          </w:tcPr>
          <w:p w:rsidR="00980FA7" w:rsidRDefault="000433A3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593" w:type="pct"/>
            <w:vAlign w:val="center"/>
          </w:tcPr>
          <w:p w:rsidR="00980FA7" w:rsidRDefault="00980F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980FA7" w:rsidRDefault="00980F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980FA7" w:rsidRDefault="00980F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980FA7" w:rsidRDefault="00980F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980FA7" w:rsidRDefault="00980F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FA7">
        <w:trPr>
          <w:trHeight w:val="284"/>
        </w:trPr>
        <w:tc>
          <w:tcPr>
            <w:tcW w:w="1991" w:type="pct"/>
            <w:vAlign w:val="center"/>
          </w:tcPr>
          <w:p w:rsidR="00980FA7" w:rsidRDefault="000433A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3" w:type="pct"/>
            <w:vAlign w:val="center"/>
          </w:tcPr>
          <w:p w:rsidR="00980FA7" w:rsidRDefault="000433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980FA7" w:rsidRDefault="000433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980FA7" w:rsidRDefault="000433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980FA7" w:rsidRDefault="00980F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980FA7" w:rsidRDefault="000433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80FA7">
        <w:trPr>
          <w:trHeight w:val="284"/>
        </w:trPr>
        <w:tc>
          <w:tcPr>
            <w:tcW w:w="1991" w:type="pct"/>
            <w:vAlign w:val="center"/>
          </w:tcPr>
          <w:p w:rsidR="00980FA7" w:rsidRDefault="000433A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593" w:type="pct"/>
            <w:vAlign w:val="center"/>
          </w:tcPr>
          <w:p w:rsidR="00980FA7" w:rsidRDefault="000433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980FA7" w:rsidRDefault="000433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980FA7" w:rsidRDefault="000433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980FA7" w:rsidRDefault="00980F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980FA7" w:rsidRDefault="000433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80FA7">
        <w:trPr>
          <w:trHeight w:val="284"/>
        </w:trPr>
        <w:tc>
          <w:tcPr>
            <w:tcW w:w="1991" w:type="pct"/>
            <w:vAlign w:val="center"/>
          </w:tcPr>
          <w:p w:rsidR="00980FA7" w:rsidRDefault="000433A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3" w:type="pct"/>
            <w:vAlign w:val="center"/>
          </w:tcPr>
          <w:p w:rsidR="00980FA7" w:rsidRDefault="000433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980FA7" w:rsidRDefault="000433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980FA7" w:rsidRDefault="000433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980FA7" w:rsidRDefault="00980F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980FA7" w:rsidRDefault="000433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80FA7">
        <w:trPr>
          <w:trHeight w:val="284"/>
        </w:trPr>
        <w:tc>
          <w:tcPr>
            <w:tcW w:w="5000" w:type="pct"/>
            <w:gridSpan w:val="6"/>
            <w:vAlign w:val="center"/>
          </w:tcPr>
          <w:p w:rsidR="00980FA7" w:rsidRDefault="000433A3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Fondy tvorené zo zisku</w:t>
            </w:r>
          </w:p>
        </w:tc>
      </w:tr>
      <w:tr w:rsidR="00980FA7">
        <w:trPr>
          <w:trHeight w:val="284"/>
        </w:trPr>
        <w:tc>
          <w:tcPr>
            <w:tcW w:w="1991" w:type="pct"/>
            <w:vAlign w:val="center"/>
          </w:tcPr>
          <w:p w:rsidR="00980FA7" w:rsidRDefault="000433A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593" w:type="pct"/>
            <w:vAlign w:val="center"/>
          </w:tcPr>
          <w:p w:rsidR="00980FA7" w:rsidRDefault="000433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980FA7" w:rsidRDefault="000433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980FA7" w:rsidRDefault="000433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980FA7" w:rsidRDefault="00980F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980FA7" w:rsidRDefault="000433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80FA7">
        <w:trPr>
          <w:trHeight w:val="284"/>
        </w:trPr>
        <w:tc>
          <w:tcPr>
            <w:tcW w:w="1991" w:type="pct"/>
            <w:vAlign w:val="center"/>
          </w:tcPr>
          <w:p w:rsidR="00980FA7" w:rsidRDefault="000433A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3" w:type="pct"/>
            <w:vAlign w:val="center"/>
          </w:tcPr>
          <w:p w:rsidR="00980FA7" w:rsidRDefault="000433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33401,88</w:t>
            </w:r>
          </w:p>
        </w:tc>
        <w:tc>
          <w:tcPr>
            <w:tcW w:w="595" w:type="pct"/>
            <w:vAlign w:val="center"/>
          </w:tcPr>
          <w:p w:rsidR="00980FA7" w:rsidRDefault="000433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980FA7" w:rsidRDefault="000433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980FA7" w:rsidRDefault="00980F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980FA7" w:rsidRDefault="000433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33401,88</w:t>
            </w:r>
          </w:p>
        </w:tc>
      </w:tr>
      <w:tr w:rsidR="00980FA7">
        <w:trPr>
          <w:trHeight w:val="284"/>
        </w:trPr>
        <w:tc>
          <w:tcPr>
            <w:tcW w:w="1991" w:type="pct"/>
            <w:vAlign w:val="center"/>
          </w:tcPr>
          <w:p w:rsidR="00980FA7" w:rsidRDefault="000433A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593" w:type="pct"/>
            <w:vAlign w:val="center"/>
          </w:tcPr>
          <w:p w:rsidR="00980FA7" w:rsidRDefault="000433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980FA7" w:rsidRDefault="000433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980FA7" w:rsidRDefault="000433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980FA7" w:rsidRDefault="00980F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980FA7" w:rsidRDefault="000433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80FA7">
        <w:trPr>
          <w:trHeight w:val="284"/>
        </w:trPr>
        <w:tc>
          <w:tcPr>
            <w:tcW w:w="1991" w:type="pct"/>
            <w:vAlign w:val="center"/>
          </w:tcPr>
          <w:p w:rsidR="00980FA7" w:rsidRDefault="000433A3">
            <w:pPr>
              <w:spacing w:before="0" w:after="0" w:line="240" w:lineRule="auto"/>
              <w:jc w:val="left"/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</w:pPr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>Výsledok hospodárenia</w:t>
            </w:r>
          </w:p>
        </w:tc>
        <w:tc>
          <w:tcPr>
            <w:tcW w:w="3008" w:type="pct"/>
            <w:gridSpan w:val="5"/>
            <w:vAlign w:val="center"/>
          </w:tcPr>
          <w:p w:rsidR="00980FA7" w:rsidRDefault="00980FA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80FA7">
        <w:trPr>
          <w:trHeight w:val="284"/>
        </w:trPr>
        <w:tc>
          <w:tcPr>
            <w:tcW w:w="1991" w:type="pct"/>
            <w:vAlign w:val="center"/>
          </w:tcPr>
          <w:p w:rsidR="00980FA7" w:rsidRDefault="000433A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593" w:type="pct"/>
            <w:vAlign w:val="center"/>
          </w:tcPr>
          <w:p w:rsidR="00980FA7" w:rsidRDefault="000433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18231,93</w:t>
            </w:r>
          </w:p>
        </w:tc>
        <w:tc>
          <w:tcPr>
            <w:tcW w:w="595" w:type="pct"/>
            <w:vAlign w:val="center"/>
          </w:tcPr>
          <w:p w:rsidR="00980FA7" w:rsidRDefault="000433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980FA7" w:rsidRDefault="000433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980FA7" w:rsidRDefault="00980F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980FA7" w:rsidRDefault="000433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18231,93</w:t>
            </w:r>
          </w:p>
        </w:tc>
      </w:tr>
      <w:tr w:rsidR="00980FA7">
        <w:trPr>
          <w:trHeight w:val="284"/>
        </w:trPr>
        <w:tc>
          <w:tcPr>
            <w:tcW w:w="1991" w:type="pct"/>
            <w:vAlign w:val="center"/>
          </w:tcPr>
          <w:p w:rsidR="00980FA7" w:rsidRDefault="000433A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3" w:type="pct"/>
            <w:vAlign w:val="center"/>
          </w:tcPr>
          <w:p w:rsidR="00980FA7" w:rsidRDefault="00980F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980FA7" w:rsidRDefault="000433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39570,35</w:t>
            </w:r>
          </w:p>
        </w:tc>
        <w:tc>
          <w:tcPr>
            <w:tcW w:w="595" w:type="pct"/>
            <w:vAlign w:val="center"/>
          </w:tcPr>
          <w:p w:rsidR="00980FA7" w:rsidRDefault="000433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41359,53</w:t>
            </w:r>
          </w:p>
        </w:tc>
        <w:tc>
          <w:tcPr>
            <w:tcW w:w="595" w:type="pct"/>
            <w:vAlign w:val="center"/>
          </w:tcPr>
          <w:p w:rsidR="00980FA7" w:rsidRDefault="00980F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980FA7" w:rsidRDefault="000433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-1789,18</w:t>
            </w:r>
          </w:p>
        </w:tc>
      </w:tr>
      <w:tr w:rsidR="00980FA7">
        <w:trPr>
          <w:trHeight w:val="284"/>
        </w:trPr>
        <w:tc>
          <w:tcPr>
            <w:tcW w:w="1991" w:type="pct"/>
            <w:vAlign w:val="center"/>
          </w:tcPr>
          <w:p w:rsidR="00980FA7" w:rsidRDefault="000433A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3" w:type="pct"/>
            <w:vAlign w:val="center"/>
          </w:tcPr>
          <w:p w:rsidR="00980FA7" w:rsidRDefault="000433A3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81123,75</w:t>
            </w:r>
          </w:p>
        </w:tc>
        <w:tc>
          <w:tcPr>
            <w:tcW w:w="595" w:type="pct"/>
            <w:vAlign w:val="center"/>
          </w:tcPr>
          <w:p w:rsidR="00980FA7" w:rsidRDefault="000433A3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39570,35</w:t>
            </w:r>
          </w:p>
        </w:tc>
        <w:tc>
          <w:tcPr>
            <w:tcW w:w="595" w:type="pct"/>
            <w:vAlign w:val="center"/>
          </w:tcPr>
          <w:p w:rsidR="00980FA7" w:rsidRDefault="000433A3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41359,53</w:t>
            </w:r>
          </w:p>
        </w:tc>
        <w:tc>
          <w:tcPr>
            <w:tcW w:w="595" w:type="pct"/>
            <w:vAlign w:val="center"/>
          </w:tcPr>
          <w:p w:rsidR="00980FA7" w:rsidRDefault="00980FA7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980FA7" w:rsidRDefault="000433A3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79334,57</w:t>
            </w:r>
          </w:p>
        </w:tc>
      </w:tr>
    </w:tbl>
    <w:p w:rsidR="00980FA7" w:rsidRDefault="00980FA7">
      <w:pPr>
        <w:spacing w:before="0" w:after="0" w:line="240" w:lineRule="auto"/>
        <w:rPr>
          <w:sz w:val="18"/>
          <w:szCs w:val="18"/>
        </w:rPr>
      </w:pPr>
    </w:p>
    <w:p w:rsidR="00980FA7" w:rsidRDefault="000433A3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Opis a vyčíslenie jednotlivých druhov fondov tvorených podľa osobitných predpisov.</w:t>
      </w:r>
    </w:p>
    <w:tbl>
      <w:tblPr>
        <w:tblW w:w="0" w:type="auto"/>
        <w:tblInd w:w="38" w:type="dxa"/>
        <w:tblLayout w:type="fixed"/>
        <w:tblLook w:val="04A0" w:firstRow="1" w:lastRow="0" w:firstColumn="1" w:lastColumn="0" w:noHBand="0" w:noVBand="1"/>
      </w:tblPr>
      <w:tblGrid>
        <w:gridCol w:w="2546"/>
        <w:gridCol w:w="2365"/>
        <w:gridCol w:w="1464"/>
        <w:gridCol w:w="1858"/>
        <w:gridCol w:w="1923"/>
      </w:tblGrid>
      <w:tr w:rsidR="00980FA7"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Opis fondov tvorených podľa osobitných predpisov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Stav na konci bezprostredne predchádzajúceho účtovného obdobia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0433A3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0433A3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Stav na konci bežného účtovného obdobia</w:t>
            </w:r>
          </w:p>
        </w:tc>
      </w:tr>
      <w:tr w:rsidR="00980FA7">
        <w:trPr>
          <w:trHeight w:val="373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80FA7">
        <w:trPr>
          <w:trHeight w:val="407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80FA7">
        <w:trPr>
          <w:trHeight w:val="413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980FA7" w:rsidRDefault="000433A3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Informácia o rozdelení účtovného zisku alebo o vysporiadaní účtovnej straty za bezprostredne predchádzajúce účtovné obdobie.</w:t>
      </w:r>
    </w:p>
    <w:tbl>
      <w:tblPr>
        <w:tblW w:w="4700" w:type="pct"/>
        <w:tblInd w:w="113" w:type="dxa"/>
        <w:tblLayout w:type="fixed"/>
        <w:tblLook w:val="04A0" w:firstRow="1" w:lastRow="0" w:firstColumn="1" w:lastColumn="0" w:noHBand="0" w:noVBand="1"/>
      </w:tblPr>
      <w:tblGrid>
        <w:gridCol w:w="4536"/>
        <w:gridCol w:w="5125"/>
      </w:tblGrid>
      <w:tr w:rsidR="00980FA7">
        <w:trPr>
          <w:trHeight w:val="765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pStyle w:val="TopHeader"/>
              <w:keepNext/>
            </w:pPr>
            <w:r>
              <w:rPr>
                <w:rFonts w:cs="Arial"/>
              </w:rPr>
              <w:t>Názov položky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pStyle w:val="TopHeader"/>
              <w:keepNext/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980FA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  <w:jc w:val="right"/>
            </w:pPr>
            <w:r>
              <w:rPr>
                <w:b/>
                <w:sz w:val="16"/>
                <w:szCs w:val="16"/>
              </w:rPr>
              <w:t>          </w:t>
            </w:r>
            <w:r>
              <w:rPr>
                <w:sz w:val="16"/>
                <w:szCs w:val="16"/>
              </w:rPr>
              <w:t>     </w:t>
            </w:r>
          </w:p>
        </w:tc>
      </w:tr>
      <w:tr w:rsidR="00980FA7">
        <w:trPr>
          <w:trHeight w:val="330"/>
        </w:trPr>
        <w:tc>
          <w:tcPr>
            <w:tcW w:w="94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980FA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980FA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f</w:t>
            </w:r>
            <w:r>
              <w:rPr>
                <w:rFonts w:cs="Arial"/>
                <w:sz w:val="22"/>
                <w:szCs w:val="22"/>
              </w:rPr>
              <w:t>ondov tvorených podľa osobitných predpisov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980FA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980FA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980FA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fondov tvorených zo zisku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980FA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980FA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980FA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lastRenderedPageBreak/>
              <w:t xml:space="preserve">Prevod do sociálneho fondu 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980FA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Prevod  do n</w:t>
            </w:r>
            <w:r>
              <w:rPr>
                <w:rFonts w:cs="Arial"/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980FA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980FA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center"/>
              <w:rPr>
                <w:rFonts w:cs="Arial"/>
                <w:b/>
                <w:color w:val="000000"/>
                <w:sz w:val="22"/>
                <w:szCs w:val="22"/>
              </w:rPr>
            </w:pPr>
          </w:p>
        </w:tc>
      </w:tr>
      <w:tr w:rsidR="00980FA7">
        <w:trPr>
          <w:trHeight w:val="330"/>
        </w:trPr>
        <w:tc>
          <w:tcPr>
            <w:tcW w:w="94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980FA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980FA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980FA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 fondov tvorených zo zisku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980FA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980FA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980FA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Prevod do n</w:t>
            </w:r>
            <w:r>
              <w:rPr>
                <w:rFonts w:cs="Arial"/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980FA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</w:tbl>
    <w:p w:rsidR="00980FA7" w:rsidRDefault="000433A3">
      <w:pPr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jednotlivých druhoch rezerv v členení na stav rezerv na konci bezprostredne predchádzajúceho účtovného obdobia a stav rezerv na konci bežného účtovného obdobia, ich tvorbu, použitie alebo zrušenie v priebehu bežného účtovného obdobia.</w:t>
      </w:r>
    </w:p>
    <w:tbl>
      <w:tblPr>
        <w:tblW w:w="0" w:type="auto"/>
        <w:tblInd w:w="79" w:type="dxa"/>
        <w:tblLayout w:type="fixed"/>
        <w:tblLook w:val="04A0" w:firstRow="1" w:lastRow="0" w:firstColumn="1" w:lastColumn="0" w:noHBand="0" w:noVBand="1"/>
      </w:tblPr>
      <w:tblGrid>
        <w:gridCol w:w="2278"/>
        <w:gridCol w:w="1822"/>
        <w:gridCol w:w="1368"/>
        <w:gridCol w:w="1481"/>
        <w:gridCol w:w="1504"/>
        <w:gridCol w:w="1746"/>
      </w:tblGrid>
      <w:tr w:rsidR="00980FA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keepNext/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Druh rezervy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Tvorba rezerv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Použitie rezerv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Zrušenie rezerv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80FA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980FA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980FA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</w:tr>
      <w:tr w:rsidR="00980FA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980FA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980FA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980FA7">
        <w:trPr>
          <w:trHeight w:val="374"/>
        </w:trPr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Rezervy spolu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</w:tbl>
    <w:p w:rsidR="00980FA7" w:rsidRDefault="000433A3">
      <w:pPr>
        <w:keepNext/>
        <w:numPr>
          <w:ilvl w:val="0"/>
          <w:numId w:val="9"/>
        </w:numPr>
        <w:spacing w:line="240" w:lineRule="auto"/>
        <w:ind w:left="142" w:hanging="142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 významných sumách záväzkov v nadväznosti na položky súvahy, v členení na záväzky za hlavnú nezdaňovanú činnosť a zdaňovanú činnosť.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478"/>
        <w:gridCol w:w="3111"/>
        <w:gridCol w:w="2538"/>
      </w:tblGrid>
      <w:tr w:rsidR="00980FA7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0433A3">
            <w:pPr>
              <w:keepNext/>
              <w:spacing w:before="0" w:line="240" w:lineRule="auto"/>
            </w:pPr>
            <w:r>
              <w:rPr>
                <w:rFonts w:cs="Arial"/>
                <w:b/>
                <w:sz w:val="22"/>
                <w:szCs w:val="22"/>
              </w:rPr>
              <w:t xml:space="preserve">Druh a opis významných položiek záväzkov </w:t>
            </w: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Zdaňovaná činnosť</w:t>
            </w:r>
          </w:p>
        </w:tc>
      </w:tr>
      <w:tr w:rsidR="00980FA7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80FA7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80FA7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980FA7" w:rsidRDefault="000433A3">
      <w:pPr>
        <w:keepNext/>
        <w:numPr>
          <w:ilvl w:val="0"/>
          <w:numId w:val="9"/>
        </w:numPr>
        <w:spacing w:before="24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záväzkov do uplynutia lehoty splatnosti a po uplynutí lehoty splatnosti.</w:t>
      </w:r>
    </w:p>
    <w:tbl>
      <w:tblPr>
        <w:tblW w:w="0" w:type="auto"/>
        <w:tblInd w:w="250" w:type="dxa"/>
        <w:tblLayout w:type="fixed"/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980FA7">
        <w:trPr>
          <w:trHeight w:val="608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keepNext/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Záväzky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0433A3">
            <w:pPr>
              <w:keepNext/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keepNext/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80FA7">
        <w:trPr>
          <w:trHeight w:val="374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 xml:space="preserve">- do uplynutia lehoty splatnosti 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  <w:lang w:eastAsia="sk-SK"/>
              </w:rPr>
            </w:pP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  <w:lang w:eastAsia="sk-SK"/>
              </w:rPr>
            </w:pPr>
          </w:p>
        </w:tc>
      </w:tr>
      <w:tr w:rsidR="00980FA7">
        <w:trPr>
          <w:trHeight w:val="374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- po uplynutí lehoty splatnosti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980FA7">
        <w:trPr>
          <w:trHeight w:val="374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</w:tbl>
    <w:p w:rsidR="00980FA7" w:rsidRDefault="000433A3">
      <w:pPr>
        <w:numPr>
          <w:ilvl w:val="0"/>
          <w:numId w:val="9"/>
        </w:numPr>
        <w:spacing w:before="24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lastRenderedPageBreak/>
        <w:t xml:space="preserve"> </w:t>
      </w:r>
      <w:r>
        <w:rPr>
          <w:rFonts w:cs="Arial"/>
          <w:sz w:val="22"/>
          <w:szCs w:val="22"/>
        </w:rPr>
        <w:t xml:space="preserve">Prehľad o začiatočnom stave, tvorbe, čerpaní a konečnom zostatku sociálneho fondu v priebehu bežného účtovného obdobia. </w:t>
      </w:r>
    </w:p>
    <w:tbl>
      <w:tblPr>
        <w:tblW w:w="0" w:type="auto"/>
        <w:tblInd w:w="293" w:type="dxa"/>
        <w:tblLayout w:type="fixed"/>
        <w:tblLook w:val="04A0" w:firstRow="1" w:lastRow="0" w:firstColumn="1" w:lastColumn="0" w:noHBand="0" w:noVBand="1"/>
      </w:tblPr>
      <w:tblGrid>
        <w:gridCol w:w="5740"/>
        <w:gridCol w:w="3686"/>
      </w:tblGrid>
      <w:tr w:rsidR="00980FA7">
        <w:trPr>
          <w:trHeight w:val="447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980FA7">
        <w:trPr>
          <w:trHeight w:val="510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Stav k prvému dňu bežného účtovného obdobia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</w:tr>
      <w:tr w:rsidR="00980FA7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980FA7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980FA7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Čerpanie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980FA7">
        <w:trPr>
          <w:trHeight w:val="557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Stav k poslednému dňu bežného účtovného obdobia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</w:tr>
    </w:tbl>
    <w:p w:rsidR="00980FA7" w:rsidRDefault="000433A3">
      <w:pPr>
        <w:numPr>
          <w:ilvl w:val="0"/>
          <w:numId w:val="9"/>
        </w:numPr>
        <w:spacing w:before="24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 xml:space="preserve">Prehľad o bankových úveroch, pôžičkách a návratných finančných výpomociach s uvedením meny. </w:t>
      </w:r>
    </w:p>
    <w:tbl>
      <w:tblPr>
        <w:tblW w:w="0" w:type="auto"/>
        <w:tblInd w:w="293" w:type="dxa"/>
        <w:tblLayout w:type="fixed"/>
        <w:tblLook w:val="04A0" w:firstRow="1" w:lastRow="0" w:firstColumn="1" w:lastColumn="0" w:noHBand="0" w:noVBand="1"/>
      </w:tblPr>
      <w:tblGrid>
        <w:gridCol w:w="2338"/>
        <w:gridCol w:w="851"/>
        <w:gridCol w:w="1134"/>
        <w:gridCol w:w="1275"/>
        <w:gridCol w:w="1843"/>
        <w:gridCol w:w="1985"/>
      </w:tblGrid>
      <w:tr w:rsidR="00980FA7"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980FA7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980FA7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Pôžička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980FA7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Návratná finančná výpomoc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980FA7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980FA7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</w:tr>
    </w:tbl>
    <w:p w:rsidR="00980FA7" w:rsidRDefault="000433A3">
      <w:pPr>
        <w:numPr>
          <w:ilvl w:val="0"/>
          <w:numId w:val="9"/>
        </w:numPr>
        <w:spacing w:before="240" w:line="240" w:lineRule="auto"/>
        <w:ind w:left="142" w:firstLine="0"/>
        <w:rPr>
          <w:rFonts w:eastAsia="Arial Narrow" w:cs="Arial"/>
          <w:b/>
          <w:sz w:val="22"/>
          <w:szCs w:val="22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o významných položkách časového rozlíšenia výdavkov budúcich období.</w:t>
      </w:r>
    </w:p>
    <w:p w:rsidR="00980FA7" w:rsidRDefault="000433A3">
      <w:pPr>
        <w:keepNext/>
        <w:numPr>
          <w:ilvl w:val="0"/>
          <w:numId w:val="9"/>
        </w:numPr>
        <w:spacing w:before="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b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výnosov budúcich období v členení podľa jednotlivých druhov a v členení na dlhodobé výnosy budúcich období a krátkodobé výnosy budúcich období.</w:t>
      </w:r>
    </w:p>
    <w:tbl>
      <w:tblPr>
        <w:tblW w:w="0" w:type="auto"/>
        <w:tblInd w:w="221" w:type="dxa"/>
        <w:tblLayout w:type="fixed"/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980FA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Položky výnosov budúcich období - dlhodobé z dôvodu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0433A3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80FA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0433A3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80FA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0433A3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dlhodobého majetku obstaraného z verejných zdrojov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80FA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0433A3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80FA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0433A3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dlhodobého majetku obstaraného z podielu zaplatenej dane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80FA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0433A3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80FA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0433A3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80FA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0433A3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iné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80FA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80FA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0433A3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980FA7" w:rsidRDefault="00980FA7">
      <w:pPr>
        <w:spacing w:before="240" w:line="240" w:lineRule="auto"/>
        <w:ind w:left="142"/>
        <w:rPr>
          <w:rFonts w:cs="Arial"/>
          <w:sz w:val="22"/>
          <w:szCs w:val="22"/>
        </w:rPr>
      </w:pPr>
    </w:p>
    <w:tbl>
      <w:tblPr>
        <w:tblW w:w="0" w:type="auto"/>
        <w:tblInd w:w="221" w:type="dxa"/>
        <w:tblLayout w:type="fixed"/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980FA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Položky výnosov budúcich období - krátkodobé z dôvodu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0433A3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80FA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80FA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80FA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0433A3">
            <w:pPr>
              <w:spacing w:before="0" w:line="240" w:lineRule="auto"/>
            </w:pPr>
            <w:r>
              <w:rPr>
                <w:rFonts w:cs="Arial"/>
                <w:sz w:val="22"/>
                <w:szCs w:val="22"/>
              </w:rPr>
              <w:t>zostatku podielu zaplatenej dane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80FA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0433A3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80FA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0433A3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iné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80FA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80FA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0433A3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980FA7" w:rsidRDefault="000433A3">
      <w:pPr>
        <w:keepNext/>
        <w:numPr>
          <w:ilvl w:val="0"/>
          <w:numId w:val="9"/>
        </w:numPr>
        <w:spacing w:before="240" w:line="240" w:lineRule="auto"/>
        <w:ind w:left="142" w:hanging="142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druhoch majetku a záväzkoch z lízingových zmlúv.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417"/>
        <w:gridCol w:w="3082"/>
        <w:gridCol w:w="2515"/>
      </w:tblGrid>
      <w:tr w:rsidR="00980FA7">
        <w:tc>
          <w:tcPr>
            <w:tcW w:w="44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keepNext/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 xml:space="preserve">Druh majetku </w:t>
            </w:r>
          </w:p>
        </w:tc>
        <w:tc>
          <w:tcPr>
            <w:tcW w:w="55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Hodnota záväzku</w:t>
            </w:r>
          </w:p>
        </w:tc>
      </w:tr>
      <w:tr w:rsidR="00980FA7">
        <w:tc>
          <w:tcPr>
            <w:tcW w:w="441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keepNext/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0433A3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80FA7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80FA7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80FA7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980FA7" w:rsidRDefault="000433A3">
      <w:pPr>
        <w:keepNext/>
        <w:spacing w:before="24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IV</w:t>
      </w:r>
    </w:p>
    <w:p w:rsidR="00980FA7" w:rsidRDefault="000433A3">
      <w:pPr>
        <w:keepNext/>
        <w:spacing w:before="0" w:line="240" w:lineRule="auto"/>
        <w:jc w:val="center"/>
        <w:outlineLvl w:val="1"/>
        <w:rPr>
          <w:rFonts w:eastAsia="Arial Narrow" w:cs="Arial"/>
          <w:sz w:val="22"/>
          <w:szCs w:val="22"/>
        </w:rPr>
      </w:pPr>
      <w:r>
        <w:rPr>
          <w:rFonts w:cs="Arial"/>
          <w:b/>
          <w:sz w:val="22"/>
          <w:szCs w:val="22"/>
        </w:rPr>
        <w:t>Informácie, ktoré dopĺňajú a vysvetľujú údaje vo výkaze ziskov a strát</w:t>
      </w:r>
    </w:p>
    <w:p w:rsidR="00980FA7" w:rsidRDefault="000433A3">
      <w:pPr>
        <w:numPr>
          <w:ilvl w:val="0"/>
          <w:numId w:val="11"/>
        </w:numPr>
        <w:spacing w:before="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tržieb za vlastné výkony a tovar s uvedením ich opisu a vyčíslením hodnoty tržieb podľa jednotlivých hlavných druhov výrobkov, služieb hlavnej nezdaňovanej činnosti a zdaňovanej činnosti účtovnej jednotky za bežné účtovné obdobie.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4052"/>
        <w:gridCol w:w="2995"/>
        <w:gridCol w:w="2999"/>
      </w:tblGrid>
      <w:tr w:rsidR="00980FA7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FA7" w:rsidRDefault="000433A3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Druh a opis  tržieb</w:t>
            </w: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80FA7" w:rsidRDefault="000433A3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Hlavná nezdaňovaná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80FA7" w:rsidRDefault="000433A3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Zdaňovaná činnosť</w:t>
            </w:r>
          </w:p>
        </w:tc>
      </w:tr>
      <w:tr w:rsidR="00980FA7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FA7" w:rsidRDefault="000433A3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FA7" w:rsidRDefault="000433A3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FA7" w:rsidRDefault="000433A3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80FA7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FA7" w:rsidRDefault="00980F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FA7" w:rsidRDefault="00980F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FA7" w:rsidRDefault="00980FA7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980FA7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FA7" w:rsidRDefault="00980FA7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FA7" w:rsidRDefault="00980F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FA7" w:rsidRDefault="00980FA7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980FA7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FA7" w:rsidRDefault="00980FA7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FA7" w:rsidRDefault="00980F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FA7" w:rsidRDefault="00980FA7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980FA7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FA7" w:rsidRDefault="00980FA7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FA7" w:rsidRDefault="00980F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FA7" w:rsidRDefault="00980FA7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</w:tbl>
    <w:p w:rsidR="00980FA7" w:rsidRDefault="00980FA7">
      <w:pPr>
        <w:spacing w:before="0" w:line="240" w:lineRule="auto"/>
        <w:rPr>
          <w:rFonts w:cs="Arial"/>
          <w:b/>
          <w:sz w:val="22"/>
          <w:szCs w:val="22"/>
        </w:rPr>
      </w:pPr>
    </w:p>
    <w:p w:rsidR="00980FA7" w:rsidRDefault="000433A3">
      <w:pPr>
        <w:numPr>
          <w:ilvl w:val="0"/>
          <w:numId w:val="11"/>
        </w:numPr>
        <w:spacing w:before="24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 xml:space="preserve">Opis a vyčíslenie hodnoty významných súm v nadväznosti na položky výkazu ziskov a strát v členení na nepeňažné dary, osobitné výnosy, zákonné poplatky a iné ostatné výnosy za bezprostredne predchádzajúce účtovné obdobie a za bežné účtovné obdobie. 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02"/>
        <w:gridCol w:w="2467"/>
        <w:gridCol w:w="2758"/>
      </w:tblGrid>
      <w:tr w:rsidR="00980FA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0433A3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80FA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  <w:highlight w:val="yellow"/>
              </w:rPr>
            </w:pP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80FA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80FA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980FA7" w:rsidRDefault="000433A3">
      <w:pPr>
        <w:keepNext/>
        <w:numPr>
          <w:ilvl w:val="0"/>
          <w:numId w:val="11"/>
        </w:numPr>
        <w:spacing w:before="24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významných súm dotácií zo štátneho rozpočtu, štátnych fondov, z prostriedkov Európskej únie, dotácií z rozpočtu obce a z rozpočtu vyššieho územného celku, ktoré účtovná jednotka prijala v bezprostredne predchádzajúcom účtovnom období a v bežnom účtovnom období.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02"/>
        <w:gridCol w:w="2829"/>
        <w:gridCol w:w="2396"/>
      </w:tblGrid>
      <w:tr w:rsidR="00980FA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súm dotácií a grantov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0433A3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80FA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  <w:highlight w:val="yellow"/>
              </w:rPr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80FA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80FA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980FA7" w:rsidRDefault="000433A3">
      <w:pPr>
        <w:keepNext/>
        <w:numPr>
          <w:ilvl w:val="0"/>
          <w:numId w:val="11"/>
        </w:numPr>
        <w:spacing w:before="24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Opis a vyčíslenie hodnoty významných položiek príjmov z reklám, ktoré sú určené na charitatívne účely, a charitatívnej lotérie prijatých v  bezprostredne predchádzajúcom účtovnom období a v bežnom účtovnom období.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01"/>
        <w:gridCol w:w="2830"/>
        <w:gridCol w:w="2396"/>
      </w:tblGrid>
      <w:tr w:rsidR="00980FA7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položiek charitatívnej reklamy a charitatívnej lotérie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80FA7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80FA7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80FA7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980FA7" w:rsidRDefault="000433A3">
      <w:pPr>
        <w:numPr>
          <w:ilvl w:val="0"/>
          <w:numId w:val="11"/>
        </w:numPr>
        <w:spacing w:before="240"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 xml:space="preserve">Opis a vyčíslenie hodnoty významných súm v nadväznosti na položky výkazu ziskov a strát v členení na nepeňažné dary, náklady na ostatné služby, osobitné náklady a iné ostatné náklady poskytnuté v bežnom účtovnom období. 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5324"/>
        <w:gridCol w:w="2407"/>
        <w:gridCol w:w="2396"/>
      </w:tblGrid>
      <w:tr w:rsidR="00980FA7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keepNext/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položiek nákladov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80FA7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80FA7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80FA7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FA7" w:rsidRDefault="00980F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980FA7" w:rsidRDefault="000433A3">
      <w:pPr>
        <w:numPr>
          <w:ilvl w:val="0"/>
          <w:numId w:val="11"/>
        </w:numPr>
        <w:spacing w:before="240"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o účele a výške použitia zostatku prijatého podielu zaplatenej dane v minulých účtovných obdobiach a prijatého podielu zaplatenej dane v bežnom účtovnom období.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5769"/>
        <w:gridCol w:w="2239"/>
        <w:gridCol w:w="2268"/>
      </w:tblGrid>
      <w:tr w:rsidR="00980FA7"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Účel použitia prijatého podielu zaplatenej dane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Použitá suma zostatku z predchádzajúceho 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Použitá suma z bežného účtovného obdobia</w:t>
            </w:r>
          </w:p>
        </w:tc>
      </w:tr>
      <w:tr w:rsidR="00980FA7">
        <w:trPr>
          <w:trHeight w:val="397"/>
        </w:trPr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80FA7">
        <w:trPr>
          <w:trHeight w:val="397"/>
        </w:trPr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80FA7">
        <w:trPr>
          <w:trHeight w:val="397"/>
        </w:trPr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80FA7">
        <w:trPr>
          <w:trHeight w:val="397"/>
        </w:trPr>
        <w:tc>
          <w:tcPr>
            <w:tcW w:w="8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Zostatok podielu zaplatenej dane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</w:tr>
    </w:tbl>
    <w:p w:rsidR="00980FA7" w:rsidRDefault="000433A3">
      <w:pPr>
        <w:keepNext/>
        <w:spacing w:before="24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lastRenderedPageBreak/>
        <w:t>Čl. V</w:t>
      </w:r>
    </w:p>
    <w:p w:rsidR="00980FA7" w:rsidRDefault="000433A3">
      <w:pPr>
        <w:keepNext/>
        <w:spacing w:before="0" w:line="240" w:lineRule="auto"/>
        <w:jc w:val="center"/>
        <w:outlineLvl w:val="1"/>
        <w:rPr>
          <w:rFonts w:cs="Arial"/>
          <w:sz w:val="22"/>
          <w:szCs w:val="22"/>
        </w:rPr>
      </w:pPr>
      <w:r>
        <w:rPr>
          <w:rFonts w:cs="Arial"/>
          <w:b/>
          <w:sz w:val="22"/>
          <w:szCs w:val="22"/>
        </w:rPr>
        <w:t>Opis údajov na podsúvahových účtoch</w:t>
      </w:r>
    </w:p>
    <w:p w:rsidR="00980FA7" w:rsidRDefault="000433A3">
      <w:pPr>
        <w:spacing w:before="0" w:line="240" w:lineRule="auto"/>
        <w:rPr>
          <w:b/>
          <w:sz w:val="16"/>
          <w:szCs w:val="16"/>
        </w:rPr>
      </w:pPr>
      <w:r>
        <w:rPr>
          <w:rFonts w:cs="Arial"/>
          <w:sz w:val="22"/>
          <w:szCs w:val="22"/>
        </w:rPr>
        <w:t>Významné položky zásob prijatých na komisionálny predaj, prenajatého majetku, majetku prijatého do úschovy, odpísané pohľadávky a prípadné ďalšie položky.</w:t>
      </w:r>
    </w:p>
    <w:tbl>
      <w:tblPr>
        <w:tblW w:w="495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57"/>
        <w:gridCol w:w="2471"/>
        <w:gridCol w:w="2472"/>
      </w:tblGrid>
      <w:tr w:rsidR="00980FA7">
        <w:trPr>
          <w:trHeight w:val="284"/>
          <w:jc w:val="center"/>
        </w:trPr>
        <w:tc>
          <w:tcPr>
            <w:tcW w:w="5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>Hodnota majetku</w:t>
            </w: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</w:tr>
      <w:tr w:rsidR="00980FA7">
        <w:trPr>
          <w:trHeight w:val="284"/>
          <w:jc w:val="center"/>
        </w:trPr>
        <w:tc>
          <w:tcPr>
            <w:tcW w:w="5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FA7">
        <w:trPr>
          <w:trHeight w:val="284"/>
          <w:jc w:val="center"/>
        </w:trPr>
        <w:tc>
          <w:tcPr>
            <w:tcW w:w="5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FA7" w:rsidRDefault="000433A3">
      <w:pPr>
        <w:keepNext/>
        <w:spacing w:before="240" w:line="240" w:lineRule="auto"/>
        <w:jc w:val="center"/>
        <w:outlineLvl w:val="1"/>
        <w:rPr>
          <w:rFonts w:cs="Arial"/>
          <w:b/>
          <w:sz w:val="22"/>
          <w:szCs w:val="22"/>
        </w:rPr>
      </w:pPr>
      <w:r>
        <w:rPr>
          <w:rFonts w:cs="Arial"/>
          <w:b/>
          <w:sz w:val="22"/>
          <w:szCs w:val="22"/>
        </w:rPr>
        <w:t>Čl. VI</w:t>
      </w:r>
    </w:p>
    <w:p w:rsidR="00980FA7" w:rsidRDefault="000433A3">
      <w:pPr>
        <w:keepNext/>
        <w:spacing w:before="0" w:line="240" w:lineRule="auto"/>
        <w:jc w:val="center"/>
        <w:outlineLvl w:val="1"/>
        <w:rPr>
          <w:rFonts w:cs="Arial"/>
          <w:sz w:val="22"/>
          <w:szCs w:val="22"/>
        </w:rPr>
      </w:pPr>
      <w:r>
        <w:rPr>
          <w:rFonts w:cs="Arial"/>
          <w:b/>
          <w:sz w:val="22"/>
          <w:szCs w:val="22"/>
        </w:rPr>
        <w:t>Ďalšie informácie</w:t>
      </w:r>
    </w:p>
    <w:p w:rsidR="00980FA7" w:rsidRDefault="000433A3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b/>
          <w:sz w:val="16"/>
          <w:szCs w:val="16"/>
        </w:rPr>
      </w:pPr>
      <w:r>
        <w:rPr>
          <w:rFonts w:cs="Arial"/>
        </w:rPr>
        <w:t>(1) 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19"/>
        <w:gridCol w:w="3283"/>
      </w:tblGrid>
      <w:tr w:rsidR="00980FA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980FA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FA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FA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FA7" w:rsidRDefault="000433A3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  <w:r>
        <w:rPr>
          <w:rFonts w:cs="Arial"/>
        </w:rP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980FA7" w:rsidRDefault="000433A3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  <w:r>
        <w:rPr>
          <w:rFonts w:cs="Arial"/>
          <w:lang w:eastAsia="sk-SK"/>
        </w:rPr>
        <w:t>a)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980FA7" w:rsidRDefault="000433A3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  <w:r>
        <w:rPr>
          <w:rFonts w:cs="Arial"/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980FA7" w:rsidRDefault="00980FA7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19"/>
        <w:gridCol w:w="3283"/>
      </w:tblGrid>
      <w:tr w:rsidR="00980FA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980FA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FA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FA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FA7" w:rsidRDefault="00980FA7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</w:p>
    <w:p w:rsidR="00980FA7" w:rsidRDefault="000433A3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980FA7" w:rsidRDefault="000433A3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a) povinnosť z devízových termínovaných obchodov a iných finančných derivátov,</w:t>
      </w:r>
    </w:p>
    <w:p w:rsidR="00980FA7" w:rsidRDefault="000433A3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b) povinnosť z opčných obchodov,</w:t>
      </w:r>
    </w:p>
    <w:p w:rsidR="00980FA7" w:rsidRDefault="000433A3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c) zákonná povinnosť alebo zmluvná povinnosť odobrať určité produkty alebo služby, napríklad z dodávateľských zmlúv alebo odberateľských zmlúv,</w:t>
      </w:r>
    </w:p>
    <w:p w:rsidR="00980FA7" w:rsidRDefault="000433A3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d) povinnosť z lízingových zmlúv, nájomných zmlúv, servisných zmlúv, poistných zmlúv, koncesionárskych zmlúv, licenčných zmlúv a podobných zmlúv,</w:t>
      </w:r>
    </w:p>
    <w:p w:rsidR="00980FA7" w:rsidRDefault="000433A3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e) iné povinnosti.</w:t>
      </w:r>
    </w:p>
    <w:p w:rsidR="00980FA7" w:rsidRDefault="00980FA7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02"/>
        <w:gridCol w:w="2400"/>
        <w:gridCol w:w="3400"/>
      </w:tblGrid>
      <w:tr w:rsidR="00980FA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významných položiek ostatných finančných povinností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Spriaznené osoby</w:t>
            </w:r>
          </w:p>
        </w:tc>
      </w:tr>
      <w:tr w:rsidR="00980FA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FA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FA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FA7" w:rsidRDefault="00980FA7">
      <w:pPr>
        <w:spacing w:before="0" w:line="240" w:lineRule="auto"/>
        <w:rPr>
          <w:rFonts w:cs="Arial"/>
          <w:sz w:val="22"/>
          <w:szCs w:val="22"/>
        </w:rPr>
      </w:pPr>
    </w:p>
    <w:p w:rsidR="00980FA7" w:rsidRDefault="000433A3">
      <w:p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(4) Prehľad nehnuteľných kultúrnych pamiatok, ktoré sú v správe alebo vo vlastníctve účtovnej jednotky, a to názov, adresa a číslo kultúrnej pamiatky v Ústrednom zozname pamiatkového fondu.</w:t>
      </w:r>
    </w:p>
    <w:p w:rsidR="00980FA7" w:rsidRDefault="00980FA7">
      <w:pPr>
        <w:spacing w:before="0" w:line="240" w:lineRule="auto"/>
        <w:rPr>
          <w:rFonts w:cs="Arial"/>
          <w:sz w:val="22"/>
          <w:szCs w:val="22"/>
        </w:rPr>
      </w:pP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02"/>
        <w:gridCol w:w="2400"/>
        <w:gridCol w:w="3400"/>
      </w:tblGrid>
      <w:tr w:rsidR="00980FA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Kultúrna pamiatka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Adresa</w:t>
            </w: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Číslo kultúrnej pamiatky</w:t>
            </w:r>
          </w:p>
        </w:tc>
      </w:tr>
      <w:tr w:rsidR="00980FA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FA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FA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FA7" w:rsidRDefault="00980FA7">
      <w:pPr>
        <w:spacing w:before="0" w:line="240" w:lineRule="auto"/>
        <w:rPr>
          <w:rFonts w:cs="Arial"/>
          <w:sz w:val="22"/>
          <w:szCs w:val="22"/>
        </w:rPr>
      </w:pPr>
    </w:p>
    <w:p w:rsidR="00980FA7" w:rsidRDefault="000433A3">
      <w:p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:rsidR="00980FA7" w:rsidRDefault="00980FA7">
      <w:pPr>
        <w:spacing w:before="0" w:line="240" w:lineRule="auto"/>
        <w:rPr>
          <w:rFonts w:cs="Arial"/>
          <w:sz w:val="22"/>
          <w:szCs w:val="22"/>
        </w:rPr>
      </w:pPr>
    </w:p>
    <w:tbl>
      <w:tblPr>
        <w:tblW w:w="485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96"/>
      </w:tblGrid>
      <w:tr w:rsidR="00980FA7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0433A3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Informácia o významných skutočnostiach</w:t>
            </w:r>
          </w:p>
        </w:tc>
      </w:tr>
      <w:tr w:rsidR="00980FA7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980FA7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80FA7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0FA7" w:rsidRDefault="00980FA7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980FA7" w:rsidRDefault="00980FA7"/>
    <w:sectPr w:rsidR="00980FA7">
      <w:headerReference w:type="default" r:id="rId7"/>
      <w:footerReference w:type="default" r:id="rId8"/>
      <w:headerReference w:type="first" r:id="rId9"/>
      <w:footerReference w:type="first" r:id="rId10"/>
      <w:footnotePr>
        <w:pos w:val="beneathText"/>
      </w:footnotePr>
      <w:pgSz w:w="11906" w:h="16838"/>
      <w:pgMar w:top="851" w:right="851" w:bottom="851" w:left="993" w:header="709" w:footer="709" w:gutter="0"/>
      <w:pgNumType w:start="7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E2FE0" w:rsidRDefault="00FE2FE0">
      <w:pPr>
        <w:spacing w:line="240" w:lineRule="auto"/>
      </w:pPr>
      <w:r>
        <w:separator/>
      </w:r>
    </w:p>
  </w:endnote>
  <w:endnote w:type="continuationSeparator" w:id="0">
    <w:p w:rsidR="00FE2FE0" w:rsidRDefault="00FE2FE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EE"/>
    <w:family w:val="auto"/>
    <w:pitch w:val="default"/>
    <w:sig w:usb0="00000003" w:usb1="00000000" w:usb2="00000000" w:usb3="00000000" w:csb0="2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Liberation Sans">
    <w:charset w:val="EE"/>
    <w:family w:val="swiss"/>
    <w:pitch w:val="default"/>
    <w:sig w:usb0="E0000AFF" w:usb1="500078FF" w:usb2="00000021" w:usb3="00000000" w:csb0="600001BF" w:csb1="DFF70000"/>
  </w:font>
  <w:font w:name="Microsoft YaHei">
    <w:panose1 w:val="020B0503020204020204"/>
    <w:charset w:val="EE"/>
    <w:family w:val="auto"/>
    <w:pitch w:val="default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80FA7" w:rsidRDefault="000433A3">
    <w:pPr>
      <w:pStyle w:val="Pta"/>
      <w:jc w:val="right"/>
      <w:rPr>
        <w:rFonts w:cs="Arial"/>
      </w:rPr>
    </w:pPr>
    <w:r>
      <w:rPr>
        <w:rFonts w:cs="Arial"/>
      </w:rPr>
      <w:t xml:space="preserve">Strana </w:t>
    </w:r>
    <w:r>
      <w:rPr>
        <w:rFonts w:cs="Arial"/>
      </w:rPr>
      <w:fldChar w:fldCharType="begin"/>
    </w:r>
    <w:r>
      <w:rPr>
        <w:rFonts w:cs="Arial"/>
      </w:rPr>
      <w:instrText xml:space="preserve"> PAGE </w:instrText>
    </w:r>
    <w:r>
      <w:rPr>
        <w:rFonts w:cs="Arial"/>
      </w:rPr>
      <w:fldChar w:fldCharType="separate"/>
    </w:r>
    <w:r w:rsidR="004A3DA5">
      <w:rPr>
        <w:rFonts w:cs="Arial"/>
        <w:noProof/>
      </w:rPr>
      <w:t>18</w:t>
    </w:r>
    <w:r>
      <w:rPr>
        <w:rFonts w:cs="Arial"/>
      </w:rPr>
      <w:fldChar w:fldCharType="end"/>
    </w:r>
  </w:p>
  <w:p w:rsidR="00980FA7" w:rsidRDefault="00980FA7">
    <w:pPr>
      <w:pStyle w:val="Pta"/>
      <w:tabs>
        <w:tab w:val="center" w:pos="5102"/>
        <w:tab w:val="right" w:pos="10204"/>
      </w:tabs>
      <w:ind w:right="360"/>
      <w:rPr>
        <w:rFonts w:cs="Arial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80FA7" w:rsidRDefault="000433A3">
    <w:pPr>
      <w:pStyle w:val="Pta"/>
      <w:jc w:val="right"/>
      <w:rPr>
        <w:rFonts w:cs="Arial"/>
      </w:rPr>
    </w:pPr>
    <w:r>
      <w:rPr>
        <w:rFonts w:cs="Arial"/>
      </w:rPr>
      <w:t>Strana 7</w:t>
    </w:r>
  </w:p>
  <w:p w:rsidR="00980FA7" w:rsidRDefault="00980FA7">
    <w:pPr>
      <w:pStyle w:val="Pta"/>
      <w:rPr>
        <w:rFonts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E2FE0" w:rsidRDefault="00FE2FE0">
      <w:pPr>
        <w:spacing w:before="0" w:after="0"/>
      </w:pPr>
      <w:r>
        <w:separator/>
      </w:r>
    </w:p>
  </w:footnote>
  <w:footnote w:type="continuationSeparator" w:id="0">
    <w:p w:rsidR="00FE2FE0" w:rsidRDefault="00FE2FE0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80FA7" w:rsidRDefault="00980FA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80FA7" w:rsidRDefault="00980FA7">
    <w:pPr>
      <w:pStyle w:val="Hlavika"/>
      <w:jc w:val="right"/>
      <w:rPr>
        <w:rFonts w:cs="Arial"/>
      </w:rPr>
    </w:pPr>
  </w:p>
  <w:p w:rsidR="00980FA7" w:rsidRDefault="00980FA7">
    <w:pPr>
      <w:pStyle w:val="Hlavika"/>
      <w:rPr>
        <w:rFonts w:cs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left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decimal"/>
      <w:pStyle w:val="Bododvodnenie"/>
      <w:lvlText w:val="K bodu %1"/>
      <w:lvlJc w:val="left"/>
      <w:pPr>
        <w:tabs>
          <w:tab w:val="left" w:pos="0"/>
        </w:tabs>
        <w:ind w:left="0" w:firstLine="0"/>
      </w:pPr>
      <w:rPr>
        <w:rFonts w:cs="Times New Roman" w:hint="default"/>
        <w:b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  <w:rPr>
        <w:rFonts w:cs="Times New Roman" w:hint="default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decimal"/>
      <w:lvlText w:val="(%1)"/>
      <w:lvlJc w:val="left"/>
      <w:pPr>
        <w:tabs>
          <w:tab w:val="left" w:pos="0"/>
        </w:tabs>
        <w:ind w:left="644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  <w:rPr>
        <w:rFonts w:cs="Times New Roman" w:hint="default"/>
      </w:rPr>
    </w:lvl>
  </w:abstractNum>
  <w:abstractNum w:abstractNumId="3" w15:restartNumberingAfterBreak="0">
    <w:nsid w:val="00000004"/>
    <w:multiLevelType w:val="multilevel"/>
    <w:tmpl w:val="00000004"/>
    <w:lvl w:ilvl="0">
      <w:start w:val="1"/>
      <w:numFmt w:val="decimal"/>
      <w:lvlText w:val="(%1)"/>
      <w:lvlJc w:val="left"/>
      <w:pPr>
        <w:tabs>
          <w:tab w:val="left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  <w:rPr>
        <w:rFonts w:cs="Times New Roman" w:hint="default"/>
      </w:rPr>
    </w:lvl>
  </w:abstractNum>
  <w:abstractNum w:abstractNumId="4" w15:restartNumberingAfterBreak="0">
    <w:nsid w:val="00000005"/>
    <w:multiLevelType w:val="multilevel"/>
    <w:tmpl w:val="00000005"/>
    <w:lvl w:ilvl="0">
      <w:start w:val="1"/>
      <w:numFmt w:val="upperRoman"/>
      <w:pStyle w:val="Nadpis11"/>
      <w:suff w:val="nothing"/>
      <w:lvlText w:val="Čl. %1."/>
      <w:lvlJc w:val="center"/>
      <w:pPr>
        <w:tabs>
          <w:tab w:val="left" w:pos="0"/>
        </w:tabs>
        <w:ind w:left="0" w:firstLine="0"/>
      </w:pPr>
      <w:rPr>
        <w:rFonts w:ascii="Arial" w:hAnsi="Arial" w:cs="Arial" w:hint="default"/>
        <w:b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left" w:pos="0"/>
        </w:tabs>
        <w:ind w:left="720" w:hanging="360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left" w:pos="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left" w:pos="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left" w:pos="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left" w:pos="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00000006"/>
    <w:multiLevelType w:val="multilevel"/>
    <w:tmpl w:val="00000006"/>
    <w:lvl w:ilvl="0">
      <w:start w:val="1"/>
      <w:numFmt w:val="decimal"/>
      <w:pStyle w:val="Textopatrenia"/>
      <w:lvlText w:val="(%1)"/>
      <w:lvlJc w:val="left"/>
      <w:pPr>
        <w:tabs>
          <w:tab w:val="left" w:pos="0"/>
        </w:tabs>
        <w:ind w:left="1440" w:hanging="360"/>
      </w:pPr>
      <w:rPr>
        <w:rFonts w:ascii="Arial Narrow" w:hAnsi="Arial Narrow" w:cs="Arial Narrow" w:hint="default"/>
        <w:color w:val="00000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216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88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432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504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648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7200" w:hanging="180"/>
      </w:pPr>
      <w:rPr>
        <w:rFonts w:cs="Times New Roman" w:hint="default"/>
      </w:rPr>
    </w:lvl>
  </w:abstractNum>
  <w:abstractNum w:abstractNumId="6" w15:restartNumberingAfterBreak="0">
    <w:nsid w:val="00000007"/>
    <w:multiLevelType w:val="multilevel"/>
    <w:tmpl w:val="00000007"/>
    <w:lvl w:ilvl="0">
      <w:start w:val="1"/>
      <w:numFmt w:val="decimal"/>
      <w:pStyle w:val="Textpoznmky"/>
      <w:lvlText w:val="(%1)"/>
      <w:lvlJc w:val="left"/>
      <w:pPr>
        <w:tabs>
          <w:tab w:val="left" w:pos="0"/>
        </w:tabs>
        <w:ind w:left="0" w:firstLine="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2007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727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3447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4167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887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60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6327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7047" w:hanging="180"/>
      </w:pPr>
      <w:rPr>
        <w:rFonts w:cs="Times New Roman" w:hint="default"/>
      </w:rPr>
    </w:lvl>
  </w:abstractNum>
  <w:abstractNum w:abstractNumId="7" w15:restartNumberingAfterBreak="0">
    <w:nsid w:val="00000008"/>
    <w:multiLevelType w:val="multilevel"/>
    <w:tmpl w:val="00000008"/>
    <w:lvl w:ilvl="0">
      <w:start w:val="1"/>
      <w:numFmt w:val="decimal"/>
      <w:lvlText w:val="(%1)"/>
      <w:lvlJc w:val="left"/>
      <w:pPr>
        <w:tabs>
          <w:tab w:val="left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left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120" w:hanging="180"/>
      </w:pPr>
    </w:lvl>
  </w:abstractNum>
  <w:abstractNum w:abstractNumId="8" w15:restartNumberingAfterBreak="0">
    <w:nsid w:val="00000009"/>
    <w:multiLevelType w:val="multilevel"/>
    <w:tmpl w:val="00000009"/>
    <w:lvl w:ilvl="0">
      <w:start w:val="1"/>
      <w:numFmt w:val="decimal"/>
      <w:lvlText w:val="(%1)"/>
      <w:lvlJc w:val="left"/>
      <w:pPr>
        <w:tabs>
          <w:tab w:val="left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left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120" w:hanging="180"/>
      </w:pPr>
    </w:lvl>
  </w:abstractNum>
  <w:abstractNum w:abstractNumId="9" w15:restartNumberingAfterBreak="0">
    <w:nsid w:val="0000000A"/>
    <w:multiLevelType w:val="multilevel"/>
    <w:tmpl w:val="0000000A"/>
    <w:lvl w:ilvl="0">
      <w:start w:val="1"/>
      <w:numFmt w:val="upperLetter"/>
      <w:lvlText w:val="%1."/>
      <w:lvlJc w:val="left"/>
      <w:pPr>
        <w:tabs>
          <w:tab w:val="left" w:pos="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left" w:pos="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left" w:pos="708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suff w:val="nothing"/>
      <w:lvlText w:val=""/>
      <w:lvlJc w:val="left"/>
      <w:pPr>
        <w:tabs>
          <w:tab w:val="left" w:pos="0"/>
        </w:tabs>
        <w:ind w:left="1440" w:hanging="36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tabs>
          <w:tab w:val="left" w:pos="0"/>
        </w:tabs>
        <w:ind w:left="1800" w:hanging="36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tabs>
          <w:tab w:val="left" w:pos="0"/>
        </w:tabs>
        <w:ind w:left="2160" w:hanging="36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tabs>
          <w:tab w:val="left" w:pos="0"/>
        </w:tabs>
        <w:ind w:left="2520" w:hanging="36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tabs>
          <w:tab w:val="left" w:pos="0"/>
        </w:tabs>
        <w:ind w:left="2880" w:hanging="36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tabs>
          <w:tab w:val="left" w:pos="0"/>
        </w:tabs>
        <w:ind w:left="3240" w:hanging="360"/>
      </w:pPr>
      <w:rPr>
        <w:rFonts w:hint="default"/>
      </w:rPr>
    </w:lvl>
  </w:abstractNum>
  <w:abstractNum w:abstractNumId="10" w15:restartNumberingAfterBreak="0">
    <w:nsid w:val="756D23BE"/>
    <w:multiLevelType w:val="multilevel"/>
    <w:tmpl w:val="756D23BE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6"/>
  </w:num>
  <w:num w:numId="5">
    <w:abstractNumId w:val="5"/>
  </w:num>
  <w:num w:numId="6">
    <w:abstractNumId w:val="7"/>
  </w:num>
  <w:num w:numId="7">
    <w:abstractNumId w:val="8"/>
  </w:num>
  <w:num w:numId="8">
    <w:abstractNumId w:val="9"/>
  </w:num>
  <w:num w:numId="9">
    <w:abstractNumId w:val="2"/>
  </w:num>
  <w:num w:numId="10">
    <w:abstractNumId w:val="10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doNotValidateAgainstSchema/>
  <w:doNotDemarcateInvalidXml/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33A3"/>
    <w:rsid w:val="000433A3"/>
    <w:rsid w:val="004A3DA5"/>
    <w:rsid w:val="00980FA7"/>
    <w:rsid w:val="00FD239F"/>
    <w:rsid w:val="00FE2FE0"/>
    <w:rsid w:val="01AC72AE"/>
    <w:rsid w:val="1D7B46FB"/>
    <w:rsid w:val="1FFF6BA8"/>
    <w:rsid w:val="271D2F70"/>
    <w:rsid w:val="27EC27FC"/>
    <w:rsid w:val="47CA4229"/>
    <w:rsid w:val="49137E13"/>
    <w:rsid w:val="568D5ECE"/>
    <w:rsid w:val="6909752C"/>
    <w:rsid w:val="75A52DE7"/>
    <w:rsid w:val="7ECB53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4A3374EC"/>
  <w15:docId w15:val="{D0E1A34E-1980-4E60-B6B9-292E7AEEB6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uiPriority="7"/>
    <w:lsdException w:name="heading 1" w:qFormat="1"/>
    <w:lsdException w:name="heading 2" w:uiPriority="6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6"/>
    <w:lsdException w:name="footer" w:uiPriority="7"/>
    <w:lsdException w:name="caption" w:uiPriority="7"/>
    <w:lsdException w:name="page number" w:uiPriority="7"/>
    <w:lsdException w:name="List" w:uiPriority="7"/>
    <w:lsdException w:name="Title" w:qFormat="1"/>
    <w:lsdException w:name="Default Paragraph Font" w:semiHidden="1"/>
    <w:lsdException w:name="Body Text" w:uiPriority="6"/>
    <w:lsdException w:name="Subtitle" w:qFormat="1"/>
    <w:lsdException w:name="Strong" w:uiPriority="6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7"/>
    <w:pPr>
      <w:suppressAutoHyphens/>
      <w:spacing w:before="120" w:after="120" w:line="360" w:lineRule="auto"/>
      <w:jc w:val="both"/>
    </w:pPr>
    <w:rPr>
      <w:rFonts w:ascii="Arial Narrow" w:eastAsia="SimSun" w:hAnsi="Arial Narrow" w:cs="Arial Narrow"/>
      <w:szCs w:val="24"/>
      <w:lang w:eastAsia="cs-CZ"/>
    </w:rPr>
  </w:style>
  <w:style w:type="paragraph" w:styleId="Nadpis2">
    <w:name w:val="heading 2"/>
    <w:basedOn w:val="Normlny"/>
    <w:next w:val="Normlny"/>
    <w:uiPriority w:val="6"/>
    <w:pPr>
      <w:keepNext/>
      <w:numPr>
        <w:ilvl w:val="1"/>
        <w:numId w:val="1"/>
      </w:numPr>
      <w:spacing w:before="240" w:after="60"/>
      <w:outlineLvl w:val="1"/>
    </w:pPr>
    <w:rPr>
      <w:b/>
      <w:i/>
      <w:sz w:val="28"/>
      <w:szCs w:val="28"/>
    </w:rPr>
  </w:style>
  <w:style w:type="paragraph" w:styleId="Nadpis3">
    <w:name w:val="heading 3"/>
    <w:basedOn w:val="Normlny"/>
    <w:next w:val="Normlny"/>
    <w:qFormat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6"/>
    <w:pPr>
      <w:spacing w:before="0" w:after="140" w:line="276" w:lineRule="auto"/>
    </w:pPr>
  </w:style>
  <w:style w:type="paragraph" w:styleId="Popis">
    <w:name w:val="caption"/>
    <w:basedOn w:val="Normlny"/>
    <w:uiPriority w:val="7"/>
    <w:pPr>
      <w:suppressLineNumbers/>
    </w:pPr>
    <w:rPr>
      <w:rFonts w:cs="Lucida Sans"/>
      <w:i/>
      <w:iCs/>
      <w:sz w:val="24"/>
    </w:rPr>
  </w:style>
  <w:style w:type="paragraph" w:styleId="Pta">
    <w:name w:val="footer"/>
    <w:basedOn w:val="Normlny"/>
    <w:uiPriority w:val="7"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uiPriority w:val="6"/>
    <w:pPr>
      <w:tabs>
        <w:tab w:val="center" w:pos="4536"/>
        <w:tab w:val="right" w:pos="9072"/>
      </w:tabs>
    </w:pPr>
  </w:style>
  <w:style w:type="paragraph" w:styleId="Zoznam">
    <w:name w:val="List"/>
    <w:basedOn w:val="Zkladntext"/>
    <w:uiPriority w:val="7"/>
    <w:rPr>
      <w:rFonts w:cs="Lucida Sans"/>
    </w:rPr>
  </w:style>
  <w:style w:type="character" w:styleId="slostrany">
    <w:name w:val="page number"/>
    <w:basedOn w:val="DefaultParagraphFont1"/>
    <w:uiPriority w:val="7"/>
    <w:rPr>
      <w:rFonts w:cs="Times New Roman" w:hint="default"/>
      <w:sz w:val="24"/>
      <w:szCs w:val="24"/>
    </w:rPr>
  </w:style>
  <w:style w:type="character" w:customStyle="1" w:styleId="DefaultParagraphFont1">
    <w:name w:val="Default Paragraph Font1"/>
    <w:uiPriority w:val="6"/>
    <w:rPr>
      <w:rFonts w:hint="default"/>
      <w:sz w:val="24"/>
      <w:szCs w:val="24"/>
    </w:rPr>
  </w:style>
  <w:style w:type="character" w:styleId="Siln">
    <w:name w:val="Strong"/>
    <w:basedOn w:val="DefaultParagraphFont1"/>
    <w:uiPriority w:val="6"/>
    <w:rPr>
      <w:rFonts w:cs="Times New Roman" w:hint="default"/>
      <w:b/>
      <w:sz w:val="24"/>
      <w:szCs w:val="24"/>
    </w:rPr>
  </w:style>
  <w:style w:type="character" w:customStyle="1" w:styleId="WW8Num1z0">
    <w:name w:val="WW8Num1z0"/>
    <w:uiPriority w:val="3"/>
    <w:rPr>
      <w:rFonts w:cs="Times New Roman" w:hint="default"/>
      <w:b/>
    </w:rPr>
  </w:style>
  <w:style w:type="character" w:customStyle="1" w:styleId="WW8Num1z1">
    <w:name w:val="WW8Num1z1"/>
    <w:uiPriority w:val="3"/>
    <w:rPr>
      <w:rFonts w:cs="Times New Roman" w:hint="default"/>
    </w:rPr>
  </w:style>
  <w:style w:type="character" w:customStyle="1" w:styleId="WW8Num2z0">
    <w:name w:val="WW8Num2z0"/>
    <w:uiPriority w:val="3"/>
    <w:rPr>
      <w:rFonts w:cs="Times New Roman" w:hint="default"/>
    </w:rPr>
  </w:style>
  <w:style w:type="character" w:customStyle="1" w:styleId="WW8Num3z0">
    <w:name w:val="WW8Num3z0"/>
    <w:uiPriority w:val="3"/>
    <w:rPr>
      <w:rFonts w:ascii="Arial Narrow" w:hAnsi="Arial Narrow" w:cs="Arial Narrow" w:hint="default"/>
    </w:rPr>
  </w:style>
  <w:style w:type="character" w:customStyle="1" w:styleId="WW8Num3z1">
    <w:name w:val="WW8Num3z1"/>
    <w:uiPriority w:val="3"/>
    <w:rPr>
      <w:rFonts w:cs="Times New Roman" w:hint="default"/>
    </w:rPr>
  </w:style>
  <w:style w:type="character" w:customStyle="1" w:styleId="WW8Num4z0">
    <w:name w:val="WW8Num4z0"/>
    <w:uiPriority w:val="3"/>
    <w:rPr>
      <w:rFonts w:ascii="Arial" w:hAnsi="Arial" w:cs="Arial" w:hint="default"/>
      <w:b/>
      <w:sz w:val="24"/>
      <w:szCs w:val="24"/>
    </w:rPr>
  </w:style>
  <w:style w:type="character" w:customStyle="1" w:styleId="WW8Num4z1">
    <w:name w:val="WW8Num4z1"/>
    <w:uiPriority w:val="3"/>
    <w:rPr>
      <w:rFonts w:cs="Times New Roman" w:hint="default"/>
    </w:rPr>
  </w:style>
  <w:style w:type="character" w:customStyle="1" w:styleId="WW8Num5z0">
    <w:name w:val="WW8Num5z0"/>
    <w:uiPriority w:val="3"/>
    <w:rPr>
      <w:rFonts w:ascii="Arial Narrow" w:hAnsi="Arial Narrow" w:cs="Arial Narrow" w:hint="default"/>
      <w:color w:val="000000"/>
      <w:sz w:val="24"/>
      <w:szCs w:val="24"/>
    </w:rPr>
  </w:style>
  <w:style w:type="character" w:customStyle="1" w:styleId="WW8Num5z1">
    <w:name w:val="WW8Num5z1"/>
    <w:uiPriority w:val="3"/>
    <w:rPr>
      <w:rFonts w:cs="Times New Roman" w:hint="default"/>
    </w:rPr>
  </w:style>
  <w:style w:type="character" w:customStyle="1" w:styleId="WW8Num6z0">
    <w:name w:val="WW8Num6z0"/>
    <w:uiPriority w:val="3"/>
    <w:rPr>
      <w:rFonts w:cs="Times New Roman" w:hint="default"/>
    </w:rPr>
  </w:style>
  <w:style w:type="character" w:customStyle="1" w:styleId="Nadpis2Char">
    <w:name w:val="Nadpis 2 Char"/>
    <w:basedOn w:val="DefaultParagraphFont1"/>
    <w:uiPriority w:val="6"/>
    <w:rPr>
      <w:rFonts w:ascii="Cambria" w:eastAsia="Times New Roman" w:hAnsi="Cambria" w:cs="Times New Roman" w:hint="eastAsia"/>
      <w:b/>
      <w:i/>
      <w:sz w:val="28"/>
      <w:szCs w:val="28"/>
      <w:lang w:eastAsia="cs-CZ"/>
    </w:rPr>
  </w:style>
  <w:style w:type="character" w:customStyle="1" w:styleId="TextbublinyChar">
    <w:name w:val="Text bubliny Char"/>
    <w:basedOn w:val="DefaultParagraphFont1"/>
    <w:uiPriority w:val="7"/>
    <w:rPr>
      <w:rFonts w:ascii="Tahoma" w:hAnsi="Tahoma" w:cs="Tahoma" w:hint="default"/>
      <w:sz w:val="16"/>
      <w:szCs w:val="16"/>
      <w:lang w:eastAsia="cs-CZ"/>
    </w:rPr>
  </w:style>
  <w:style w:type="character" w:customStyle="1" w:styleId="CommentReference1">
    <w:name w:val="Comment Reference1"/>
    <w:basedOn w:val="DefaultParagraphFont1"/>
    <w:uiPriority w:val="6"/>
    <w:rPr>
      <w:rFonts w:cs="Times New Roman" w:hint="default"/>
      <w:sz w:val="16"/>
      <w:szCs w:val="16"/>
    </w:rPr>
  </w:style>
  <w:style w:type="character" w:customStyle="1" w:styleId="TextkomentraChar">
    <w:name w:val="Text komentára Char"/>
    <w:basedOn w:val="DefaultParagraphFont1"/>
    <w:uiPriority w:val="7"/>
    <w:rPr>
      <w:rFonts w:ascii="Arial Narrow" w:hAnsi="Arial Narrow" w:cs="Arial Narrow" w:hint="default"/>
      <w:sz w:val="24"/>
      <w:szCs w:val="24"/>
      <w:lang w:eastAsia="cs-CZ"/>
    </w:rPr>
  </w:style>
  <w:style w:type="character" w:customStyle="1" w:styleId="PredmetkomentraChar">
    <w:name w:val="Predmet komentára Char"/>
    <w:basedOn w:val="TextkomentraChar"/>
    <w:uiPriority w:val="6"/>
    <w:rPr>
      <w:rFonts w:ascii="Arial Narrow" w:hAnsi="Arial Narrow" w:cs="Arial Narrow" w:hint="default"/>
      <w:b/>
      <w:sz w:val="24"/>
      <w:szCs w:val="24"/>
      <w:lang w:eastAsia="cs-CZ"/>
    </w:rPr>
  </w:style>
  <w:style w:type="character" w:customStyle="1" w:styleId="PtaChar">
    <w:name w:val="Päta Char"/>
    <w:basedOn w:val="DefaultParagraphFont1"/>
    <w:uiPriority w:val="7"/>
    <w:rPr>
      <w:rFonts w:ascii="Arial" w:hAnsi="Arial" w:cs="Arial" w:hint="default"/>
      <w:sz w:val="24"/>
      <w:szCs w:val="24"/>
      <w:lang w:eastAsia="cs-CZ"/>
    </w:rPr>
  </w:style>
  <w:style w:type="character" w:customStyle="1" w:styleId="HlavikaChar">
    <w:name w:val="Hlavička Char"/>
    <w:basedOn w:val="DefaultParagraphFont1"/>
    <w:uiPriority w:val="6"/>
    <w:rPr>
      <w:rFonts w:ascii="Arial Narrow" w:hAnsi="Arial Narrow" w:cs="Arial Narrow" w:hint="default"/>
      <w:sz w:val="24"/>
      <w:szCs w:val="24"/>
      <w:lang w:eastAsia="cs-CZ"/>
    </w:rPr>
  </w:style>
  <w:style w:type="character" w:customStyle="1" w:styleId="Nadpis1Char">
    <w:name w:val="Nadpis 1 Char"/>
    <w:basedOn w:val="DefaultParagraphFont1"/>
    <w:uiPriority w:val="6"/>
    <w:rPr>
      <w:rFonts w:ascii="Cambria" w:eastAsia="Times New Roman" w:hAnsi="Cambria" w:cs="Times New Roman" w:hint="eastAsia"/>
      <w:b/>
      <w:kern w:val="2"/>
      <w:sz w:val="32"/>
      <w:szCs w:val="32"/>
      <w:lang w:eastAsia="cs-CZ"/>
    </w:rPr>
  </w:style>
  <w:style w:type="character" w:customStyle="1" w:styleId="tltlnzovChar115ptAntiqueOliveNiejeTun">
    <w:name w:val="Štýl Štýl § názov Char + 115 pt + Antique Olive Nie je Tučné"/>
    <w:basedOn w:val="DefaultParagraphFont1"/>
    <w:uiPriority w:val="15"/>
    <w:rPr>
      <w:rFonts w:ascii="Arial" w:hAnsi="Arial" w:cs="Arial" w:hint="default"/>
      <w:b/>
      <w:sz w:val="20"/>
      <w:szCs w:val="20"/>
      <w:lang w:val="sk-SK" w:eastAsia="sk-SK"/>
    </w:rPr>
  </w:style>
  <w:style w:type="character" w:customStyle="1" w:styleId="WW8Num12z0">
    <w:name w:val="WW8Num12z0"/>
    <w:uiPriority w:val="3"/>
    <w:rPr>
      <w:rFonts w:hint="default"/>
    </w:rPr>
  </w:style>
  <w:style w:type="character" w:customStyle="1" w:styleId="WW8Num20z0">
    <w:name w:val="WW8Num20z0"/>
    <w:uiPriority w:val="3"/>
    <w:rPr>
      <w:rFonts w:hint="default"/>
    </w:rPr>
  </w:style>
  <w:style w:type="character" w:customStyle="1" w:styleId="WW8Num10z0">
    <w:name w:val="WW8Num10z0"/>
    <w:uiPriority w:val="3"/>
    <w:rPr>
      <w:rFonts w:hint="default"/>
      <w:b/>
    </w:rPr>
  </w:style>
  <w:style w:type="character" w:customStyle="1" w:styleId="WW8Num10z1">
    <w:name w:val="WW8Num10z1"/>
    <w:uiPriority w:val="3"/>
    <w:rPr>
      <w:rFonts w:hint="default"/>
    </w:rPr>
  </w:style>
  <w:style w:type="character" w:customStyle="1" w:styleId="WW8Num10z3">
    <w:name w:val="WW8Num10z3"/>
    <w:uiPriority w:val="3"/>
    <w:rPr>
      <w:rFonts w:hint="default"/>
    </w:rPr>
  </w:style>
  <w:style w:type="character" w:customStyle="1" w:styleId="WW8Num22z0">
    <w:name w:val="WW8Num22z0"/>
    <w:uiPriority w:val="3"/>
    <w:rPr>
      <w:rFonts w:ascii="Symbol" w:hAnsi="Symbol" w:cs="Symbol" w:hint="default"/>
    </w:rPr>
  </w:style>
  <w:style w:type="character" w:customStyle="1" w:styleId="WW8Num22z1">
    <w:name w:val="WW8Num22z1"/>
    <w:uiPriority w:val="3"/>
    <w:rPr>
      <w:rFonts w:ascii="Courier New" w:hAnsi="Courier New" w:cs="Courier New" w:hint="default"/>
    </w:rPr>
  </w:style>
  <w:style w:type="character" w:customStyle="1" w:styleId="WW8Num22z2">
    <w:name w:val="WW8Num22z2"/>
    <w:uiPriority w:val="3"/>
    <w:rPr>
      <w:rFonts w:ascii="Wingdings" w:hAnsi="Wingdings" w:cs="Wingdings" w:hint="default"/>
    </w:rPr>
  </w:style>
  <w:style w:type="paragraph" w:customStyle="1" w:styleId="Nadpis">
    <w:name w:val="Nadpis"/>
    <w:basedOn w:val="Normlny"/>
    <w:next w:val="Zkladntext"/>
    <w:uiPriority w:val="6"/>
    <w:pPr>
      <w:keepNext/>
      <w:spacing w:before="24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Index">
    <w:name w:val="Index"/>
    <w:basedOn w:val="Normlny"/>
    <w:uiPriority w:val="6"/>
    <w:pPr>
      <w:suppressLineNumbers/>
    </w:pPr>
    <w:rPr>
      <w:rFonts w:cs="Lucida Sans"/>
    </w:rPr>
  </w:style>
  <w:style w:type="paragraph" w:customStyle="1" w:styleId="BalloonText1">
    <w:name w:val="Balloon Text1"/>
    <w:basedOn w:val="Normlny"/>
    <w:uiPriority w:val="6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customStyle="1" w:styleId="CommentText1">
    <w:name w:val="Comment Text1"/>
    <w:basedOn w:val="Normlny"/>
    <w:uiPriority w:val="6"/>
    <w:rPr>
      <w:szCs w:val="20"/>
    </w:rPr>
  </w:style>
  <w:style w:type="paragraph" w:customStyle="1" w:styleId="CommentSubject1">
    <w:name w:val="Comment Subject1"/>
    <w:basedOn w:val="CommentText1"/>
    <w:next w:val="CommentText1"/>
    <w:uiPriority w:val="6"/>
    <w:rPr>
      <w:b/>
    </w:rPr>
  </w:style>
  <w:style w:type="paragraph" w:customStyle="1" w:styleId="Hlavikaapta">
    <w:name w:val="Hlavička a päta"/>
    <w:basedOn w:val="Normlny"/>
    <w:uiPriority w:val="6"/>
    <w:pPr>
      <w:suppressLineNumbers/>
      <w:tabs>
        <w:tab w:val="center" w:pos="4819"/>
        <w:tab w:val="right" w:pos="9638"/>
      </w:tabs>
    </w:pPr>
  </w:style>
  <w:style w:type="paragraph" w:customStyle="1" w:styleId="Nadpis11">
    <w:name w:val="Nadpis 11"/>
    <w:basedOn w:val="Normlny"/>
    <w:next w:val="Nadpis2"/>
    <w:uiPriority w:val="6"/>
    <w:pPr>
      <w:keepNext/>
      <w:numPr>
        <w:numId w:val="2"/>
      </w:numPr>
      <w:spacing w:line="240" w:lineRule="auto"/>
      <w:jc w:val="center"/>
      <w:outlineLvl w:val="0"/>
    </w:pPr>
    <w:rPr>
      <w:b/>
      <w:lang w:eastAsia="sk-SK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15"/>
    <w:pPr>
      <w:suppressAutoHyphens/>
      <w:spacing w:line="360" w:lineRule="auto"/>
      <w:jc w:val="both"/>
    </w:pPr>
    <w:rPr>
      <w:rFonts w:ascii="Arial" w:eastAsia="SimSu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uiPriority w:val="15"/>
    <w:pPr>
      <w:ind w:left="108"/>
    </w:pPr>
  </w:style>
  <w:style w:type="paragraph" w:customStyle="1" w:styleId="Bododvodnenie">
    <w:name w:val="Bod odôvodnenie"/>
    <w:uiPriority w:val="6"/>
    <w:pPr>
      <w:numPr>
        <w:numId w:val="3"/>
      </w:numPr>
      <w:suppressAutoHyphens/>
      <w:spacing w:before="120" w:after="120"/>
    </w:pPr>
    <w:rPr>
      <w:rFonts w:ascii="Arial" w:eastAsia="SimSun" w:hAnsi="Arial" w:cs="Arial"/>
      <w:b/>
      <w:sz w:val="24"/>
      <w:szCs w:val="24"/>
      <w:lang w:eastAsia="cs-CZ"/>
    </w:rPr>
  </w:style>
  <w:style w:type="paragraph" w:customStyle="1" w:styleId="tlArialPodaokraja">
    <w:name w:val="Štýl Arial Podľa okraja"/>
    <w:uiPriority w:val="15"/>
    <w:pPr>
      <w:suppressAutoHyphens/>
      <w:jc w:val="both"/>
    </w:pPr>
    <w:rPr>
      <w:rFonts w:ascii="Arial" w:eastAsia="SimSun" w:hAnsi="Arial" w:cs="Arial"/>
      <w:sz w:val="16"/>
      <w:szCs w:val="16"/>
      <w:lang w:eastAsia="cs-CZ"/>
    </w:rPr>
  </w:style>
  <w:style w:type="paragraph" w:customStyle="1" w:styleId="Textpoznmky">
    <w:name w:val="Text poznámky"/>
    <w:basedOn w:val="Normlny"/>
    <w:uiPriority w:val="7"/>
    <w:pPr>
      <w:numPr>
        <w:numId w:val="4"/>
      </w:numPr>
      <w:spacing w:line="240" w:lineRule="auto"/>
    </w:pPr>
  </w:style>
  <w:style w:type="paragraph" w:customStyle="1" w:styleId="Normlny1">
    <w:name w:val="Normálny1"/>
    <w:next w:val="Normlny"/>
    <w:uiPriority w:val="7"/>
    <w:pPr>
      <w:suppressAutoHyphens/>
      <w:spacing w:before="120" w:after="120" w:line="360" w:lineRule="auto"/>
      <w:ind w:firstLine="709"/>
      <w:jc w:val="both"/>
    </w:pPr>
    <w:rPr>
      <w:rFonts w:ascii="Arial" w:eastAsia="SimSun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7"/>
    <w:pPr>
      <w:numPr>
        <w:numId w:val="5"/>
      </w:numPr>
      <w:tabs>
        <w:tab w:val="left" w:pos="1440"/>
      </w:tabs>
      <w:suppressAutoHyphens/>
      <w:spacing w:before="120" w:after="120"/>
      <w:jc w:val="both"/>
    </w:pPr>
    <w:rPr>
      <w:rFonts w:ascii="Arial Narrow" w:eastAsia="SimSun" w:hAnsi="Arial Narrow" w:cs="Arial Narrow"/>
      <w:sz w:val="22"/>
      <w:szCs w:val="22"/>
      <w:lang w:eastAsia="cs-CZ"/>
    </w:rPr>
  </w:style>
  <w:style w:type="paragraph" w:customStyle="1" w:styleId="TopHeader">
    <w:name w:val="Top Header"/>
    <w:basedOn w:val="Normlny"/>
    <w:uiPriority w:val="7"/>
    <w:pPr>
      <w:spacing w:before="0" w:after="0" w:line="240" w:lineRule="auto"/>
      <w:jc w:val="center"/>
    </w:pPr>
    <w:rPr>
      <w:b/>
      <w:sz w:val="22"/>
      <w:szCs w:val="22"/>
      <w:lang w:eastAsia="en-US"/>
    </w:rPr>
  </w:style>
  <w:style w:type="paragraph" w:customStyle="1" w:styleId="Obsahtabuky">
    <w:name w:val="Obsah tabuľky"/>
    <w:basedOn w:val="Normlny"/>
    <w:uiPriority w:val="7"/>
    <w:pPr>
      <w:widowControl w:val="0"/>
      <w:suppressLineNumbers/>
    </w:pPr>
  </w:style>
  <w:style w:type="paragraph" w:customStyle="1" w:styleId="Zhlavietabuky">
    <w:name w:val="Záhlavie tabuľky"/>
    <w:basedOn w:val="Obsahtabuky"/>
    <w:uiPriority w:val="6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Poznamky.dotx</Template>
  <TotalTime>1</TotalTime>
  <Pages>12</Pages>
  <Words>2643</Words>
  <Characters>15070</Characters>
  <Application>Microsoft Office Word</Application>
  <DocSecurity>0</DocSecurity>
  <Lines>125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SVPS</Company>
  <LinksUpToDate>false</LinksUpToDate>
  <CharactersWithSpaces>17678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2025-03-09T14:31:00Z</dcterms:created>
  <dcterms:modified xsi:type="dcterms:W3CDTF">2025-03-09T14:31:00Z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C6673835F41D494E9558C967E4DCC703_11</vt:lpwstr>
  </property>
  <property fmtid="{D5CDD505-2E9C-101B-9397-08002B2CF9AE}" pid="3" name="KSOProductBuildVer">
    <vt:lpwstr>1033-12.2.0.13431</vt:lpwstr>
  </property>
</Properties>
</file>