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9882" w:type="dxa"/>
        <w:jc w:val="left"/>
        <w:tblInd w:w="-9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084"/>
        <w:gridCol w:w="2685"/>
        <w:gridCol w:w="344"/>
        <w:gridCol w:w="336"/>
        <w:gridCol w:w="343"/>
        <w:gridCol w:w="344"/>
        <w:gridCol w:w="343"/>
        <w:gridCol w:w="343"/>
        <w:gridCol w:w="343"/>
        <w:gridCol w:w="343"/>
        <w:gridCol w:w="343"/>
        <w:gridCol w:w="344"/>
        <w:gridCol w:w="343"/>
        <w:gridCol w:w="343"/>
      </w:tblGrid>
      <w:tr>
        <w:trPr/>
        <w:tc>
          <w:tcPr>
            <w:tcW w:w="3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Poznámky (Úč  NUJ 3 – 01)</w:t>
            </w:r>
          </w:p>
        </w:tc>
        <w:tc>
          <w:tcPr>
            <w:tcW w:w="2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righ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 xml:space="preserve">IČO </w:t>
            </w:r>
          </w:p>
        </w:tc>
        <w:tc>
          <w:tcPr>
            <w:tcW w:w="3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4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7</w:t>
            </w:r>
          </w:p>
        </w:tc>
        <w:tc>
          <w:tcPr>
            <w:tcW w:w="3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4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3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7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2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</w:r>
          </w:p>
        </w:tc>
        <w:tc>
          <w:tcPr>
            <w:tcW w:w="3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</w:r>
          </w:p>
        </w:tc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</w:r>
          </w:p>
        </w:tc>
      </w:tr>
    </w:tbl>
    <w:p>
      <w:pPr>
        <w:pStyle w:val="Normal"/>
        <w:spacing w:lineRule="auto" w:line="360" w:before="0" w:after="0"/>
        <w:jc w:val="center"/>
        <w:rPr>
          <w:b/>
          <w:b/>
          <w:sz w:val="22"/>
        </w:rPr>
      </w:pPr>
      <w:r>
        <w:rPr>
          <w:b/>
          <w:sz w:val="22"/>
        </w:rPr>
      </w:r>
    </w:p>
    <w:p>
      <w:pPr>
        <w:pStyle w:val="Normalpodnadpis"/>
        <w:spacing w:lineRule="auto" w:line="360" w:before="0" w:after="0"/>
        <w:jc w:val="center"/>
        <w:rPr>
          <w:b/>
          <w:b/>
          <w:sz w:val="22"/>
        </w:rPr>
      </w:pPr>
      <w:r>
        <w:rPr>
          <w:b/>
          <w:sz w:val="22"/>
        </w:rPr>
        <w:t>Čl. I</w:t>
      </w:r>
    </w:p>
    <w:p>
      <w:pPr>
        <w:pStyle w:val="Normalpodnadpis"/>
        <w:keepNext/>
        <w:spacing w:lineRule="auto" w:line="360" w:before="0" w:after="0"/>
        <w:jc w:val="center"/>
        <w:rPr>
          <w:b/>
          <w:b/>
          <w:sz w:val="22"/>
        </w:rPr>
      </w:pPr>
      <w:r>
        <w:rPr>
          <w:b/>
          <w:sz w:val="22"/>
        </w:rPr>
        <w:t>Všeobecné informácie</w:t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644" w:right="0" w:hanging="0"/>
        <w:rPr>
          <w:sz w:val="22"/>
        </w:rPr>
      </w:pPr>
      <w:r>
        <w:rPr>
          <w:b/>
          <w:bCs/>
          <w:sz w:val="22"/>
        </w:rPr>
        <w:t>1</w:t>
      </w:r>
      <w:r>
        <w:rPr>
          <w:sz w:val="22"/>
        </w:rPr>
        <w:t xml:space="preserve"> Meno a priezvisko fyzickej osoby alebo názov právnickej osoby, ktorá je zakladateľom alebo zriaďovateľom účtovnej jednotky, dátum založenia alebo zriadenia účtovnej jednotky.</w:t>
      </w:r>
    </w:p>
    <w:tbl>
      <w:tblPr>
        <w:tblW w:w="9953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759"/>
        <w:gridCol w:w="7193"/>
      </w:tblGrid>
      <w:tr>
        <w:trPr>
          <w:trHeight w:val="360" w:hRule="atLeast"/>
        </w:trPr>
        <w:tc>
          <w:tcPr>
            <w:tcW w:w="275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Meno a priezvisko fyzickej osoby alebo názov právnickej osoby</w:t>
            </w:r>
          </w:p>
        </w:tc>
        <w:tc>
          <w:tcPr>
            <w:tcW w:w="71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Zohor, IČO: 00305235, Námestie 1. mája č. 1, 900 51 Zohor</w:t>
            </w:r>
          </w:p>
        </w:tc>
      </w:tr>
      <w:tr>
        <w:trPr>
          <w:trHeight w:val="284" w:hRule="atLeast"/>
        </w:trPr>
        <w:tc>
          <w:tcPr>
            <w:tcW w:w="275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1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284" w:hRule="atLeast"/>
        </w:trPr>
        <w:tc>
          <w:tcPr>
            <w:tcW w:w="275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1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178" w:hRule="atLeast"/>
        </w:trPr>
        <w:tc>
          <w:tcPr>
            <w:tcW w:w="27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/>
            </w:pPr>
            <w:r>
              <w:rPr>
                <w:b/>
                <w:sz w:val="22"/>
              </w:rPr>
              <w:t>Dátum</w:t>
            </w:r>
            <w:r>
              <w:rPr>
                <w:sz w:val="22"/>
              </w:rPr>
              <w:t xml:space="preserve"> založenia alebo zriadenia účtovnej jednotky</w:t>
            </w:r>
          </w:p>
        </w:tc>
        <w:tc>
          <w:tcPr>
            <w:tcW w:w="71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4.8.2014</w:t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644" w:right="0" w:hanging="0"/>
        <w:rPr>
          <w:sz w:val="22"/>
        </w:rPr>
      </w:pPr>
      <w:r>
        <w:rPr>
          <w:b/>
          <w:bCs/>
          <w:sz w:val="22"/>
        </w:rPr>
        <w:t>2</w:t>
      </w:r>
      <w:r>
        <w:rPr>
          <w:sz w:val="22"/>
        </w:rPr>
        <w:t xml:space="preserve"> 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373" w:type="dxa"/>
        <w:jc w:val="righ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359"/>
        <w:gridCol w:w="3504"/>
        <w:gridCol w:w="3510"/>
      </w:tblGrid>
      <w:tr>
        <w:trPr>
          <w:trHeight w:val="283" w:hRule="atLeast"/>
        </w:trPr>
        <w:tc>
          <w:tcPr>
            <w:tcW w:w="235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jc w:val="left"/>
              <w:textAlignment w:val="auto"/>
              <w:rPr>
                <w:rFonts w:ascii="Arial Narrow" w:hAnsi="Arial Narrow" w:eastAsia="Arial"/>
                <w:b/>
                <w:b/>
                <w:sz w:val="22"/>
                <w:lang w:val="sk-SK" w:eastAsia="ar-SA"/>
              </w:rPr>
            </w:pPr>
            <w:r>
              <w:rPr>
                <w:rFonts w:eastAsia="Arial"/>
                <w:b/>
                <w:sz w:val="22"/>
                <w:lang w:val="sk-SK" w:eastAsia="ar-SA"/>
              </w:rPr>
              <w:t>Štatutárne orgány:</w:t>
            </w:r>
          </w:p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jc w:val="left"/>
              <w:textAlignment w:val="auto"/>
              <w:rPr>
                <w:rFonts w:ascii="Arial Narrow" w:hAnsi="Arial Narrow" w:eastAsia="Arial"/>
                <w:sz w:val="22"/>
                <w:lang w:val="sk-SK" w:eastAsia="ar-SA"/>
              </w:rPr>
            </w:pPr>
            <w:r>
              <w:rPr>
                <w:rFonts w:eastAsia="Arial"/>
                <w:sz w:val="22"/>
                <w:lang w:val="sk-SK" w:eastAsia="ar-SA"/>
              </w:rPr>
              <w:t>(Štatutár, správna rada, predsedníctvo)</w:t>
            </w:r>
          </w:p>
        </w:tc>
        <w:tc>
          <w:tcPr>
            <w:tcW w:w="35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</w:rPr>
            </w:pPr>
            <w:r>
              <w:rPr>
                <w:sz w:val="16"/>
              </w:rPr>
              <w:t>Mgr. Martina Baďurová – riaditeľ</w:t>
            </w:r>
          </w:p>
        </w:tc>
        <w:tc>
          <w:tcPr>
            <w:tcW w:w="35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</w:rPr>
            </w:pPr>
            <w:r>
              <w:rPr>
                <w:sz w:val="16"/>
              </w:rPr>
              <w:t>riaditeľ</w:t>
            </w:r>
          </w:p>
        </w:tc>
      </w:tr>
      <w:tr>
        <w:trPr>
          <w:trHeight w:val="284" w:hRule="atLeast"/>
        </w:trPr>
        <w:tc>
          <w:tcPr>
            <w:tcW w:w="235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5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</w:rPr>
            </w:pPr>
            <w:r>
              <w:rPr>
                <w:sz w:val="16"/>
              </w:rPr>
              <w:t>Gerthofer Jozef – predseda správnej rady</w:t>
            </w:r>
          </w:p>
        </w:tc>
        <w:tc>
          <w:tcPr>
            <w:tcW w:w="35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</w:rPr>
            </w:pPr>
            <w:r>
              <w:rPr>
                <w:sz w:val="16"/>
              </w:rPr>
              <w:t>Správna rada</w:t>
            </w:r>
          </w:p>
        </w:tc>
      </w:tr>
      <w:tr>
        <w:trPr>
          <w:trHeight w:val="284" w:hRule="atLeast"/>
        </w:trPr>
        <w:tc>
          <w:tcPr>
            <w:tcW w:w="235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5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</w:rPr>
            </w:pPr>
            <w:r>
              <w:rPr>
                <w:sz w:val="16"/>
              </w:rPr>
              <w:t>Ing. Mackovič Ivan</w:t>
            </w:r>
          </w:p>
        </w:tc>
        <w:tc>
          <w:tcPr>
            <w:tcW w:w="35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highlight w:val="yellow"/>
              </w:rPr>
            </w:pPr>
            <w:r>
              <w:rPr>
                <w:sz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235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5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hanging="0"/>
              <w:jc w:val="left"/>
              <w:rPr>
                <w:rFonts w:ascii="Liberation Serif" w:hAnsi="Liberation Serif" w:eastAsia="Lucida Sans" w:cs="Liberation Serif"/>
                <w:sz w:val="16"/>
                <w:szCs w:val="24"/>
                <w:lang w:eastAsia="hi-IN" w:bidi="sk-SK"/>
              </w:rPr>
            </w:pPr>
            <w:r>
              <w:rPr>
                <w:rFonts w:eastAsia="Lucida Sans" w:cs="Liberation Serif" w:ascii="Liberation Serif" w:hAnsi="Liberation Serif"/>
                <w:sz w:val="16"/>
                <w:szCs w:val="24"/>
                <w:lang w:eastAsia="hi-IN" w:bidi="sk-SK"/>
              </w:rPr>
              <w:t>Mgr. Šimberová Jana</w:t>
            </w:r>
          </w:p>
        </w:tc>
        <w:tc>
          <w:tcPr>
            <w:tcW w:w="35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left"/>
              <w:rPr>
                <w:sz w:val="22"/>
                <w:highlight w:val="yellow"/>
              </w:rPr>
            </w:pPr>
            <w:r>
              <w:rPr>
                <w:sz w:val="22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235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5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hanging="0"/>
              <w:jc w:val="left"/>
              <w:rPr>
                <w:rFonts w:ascii="Liberation Serif" w:hAnsi="Liberation Serif" w:eastAsia="Lucida Sans" w:cs="Liberation Serif"/>
                <w:sz w:val="16"/>
                <w:szCs w:val="24"/>
                <w:lang w:eastAsia="hi-IN" w:bidi="sk-SK"/>
              </w:rPr>
            </w:pPr>
            <w:r>
              <w:rPr>
                <w:rFonts w:eastAsia="Lucida Sans" w:cs="Liberation Serif" w:ascii="Liberation Serif" w:hAnsi="Liberation Serif"/>
                <w:sz w:val="16"/>
                <w:szCs w:val="24"/>
                <w:lang w:eastAsia="hi-IN" w:bidi="sk-SK"/>
              </w:rPr>
              <w:t>Granec Marek</w:t>
            </w:r>
          </w:p>
        </w:tc>
        <w:tc>
          <w:tcPr>
            <w:tcW w:w="35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left"/>
              <w:rPr>
                <w:sz w:val="22"/>
                <w:highlight w:val="yellow"/>
              </w:rPr>
            </w:pPr>
            <w:r>
              <w:rPr>
                <w:sz w:val="22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235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5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hanging="0"/>
              <w:jc w:val="left"/>
              <w:rPr>
                <w:rFonts w:ascii="Liberation Serif" w:hAnsi="Liberation Serif" w:eastAsia="Lucida Sans" w:cs="Liberation Serif"/>
                <w:sz w:val="16"/>
                <w:szCs w:val="24"/>
                <w:lang w:eastAsia="hi-IN" w:bidi="sk-SK"/>
              </w:rPr>
            </w:pPr>
            <w:r>
              <w:rPr>
                <w:rFonts w:eastAsia="Lucida Sans" w:cs="Liberation Serif" w:ascii="Liberation Serif" w:hAnsi="Liberation Serif"/>
                <w:sz w:val="16"/>
                <w:szCs w:val="24"/>
                <w:lang w:eastAsia="hi-IN" w:bidi="sk-SK"/>
              </w:rPr>
              <w:t>Kovár Miroslav</w:t>
            </w:r>
          </w:p>
        </w:tc>
        <w:tc>
          <w:tcPr>
            <w:tcW w:w="35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left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5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</w:rPr>
            </w:pPr>
            <w:r>
              <w:rPr>
                <w:sz w:val="16"/>
              </w:rPr>
              <w:t>Rybárová Martina</w:t>
            </w:r>
          </w:p>
        </w:tc>
        <w:tc>
          <w:tcPr>
            <w:tcW w:w="35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left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5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</w:rPr>
            </w:pPr>
            <w:r>
              <w:rPr>
                <w:sz w:val="16"/>
              </w:rPr>
              <w:t xml:space="preserve">Polakovič Ján                          </w:t>
            </w:r>
          </w:p>
        </w:tc>
        <w:tc>
          <w:tcPr>
            <w:tcW w:w="35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left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5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</w:rPr>
            </w:pPr>
            <w:r>
              <w:rPr>
                <w:sz w:val="16"/>
              </w:rPr>
              <w:t>Jakabová Vladimíra</w:t>
            </w:r>
          </w:p>
        </w:tc>
        <w:tc>
          <w:tcPr>
            <w:tcW w:w="35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left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284" w:hRule="atLeast"/>
        </w:trPr>
        <w:tc>
          <w:tcPr>
            <w:tcW w:w="235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uppressAutoHyphens w:val="true"/>
              <w:spacing w:lineRule="auto" w:line="360" w:before="0" w:after="0"/>
              <w:ind w:left="0" w:right="0" w:hanging="0"/>
              <w:jc w:val="left"/>
              <w:rPr>
                <w:b/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Dozorný orgán:</w:t>
            </w:r>
          </w:p>
          <w:p>
            <w:pPr>
              <w:pStyle w:val="Normalpodnadpis"/>
              <w:suppressAutoHyphens w:val="true"/>
              <w:spacing w:lineRule="auto" w:line="360" w:before="0" w:after="0"/>
              <w:ind w:left="0" w:right="0" w:hanging="0"/>
              <w:jc w:val="lef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(Dozorná rada)</w:t>
            </w:r>
          </w:p>
        </w:tc>
        <w:tc>
          <w:tcPr>
            <w:tcW w:w="35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ind w:left="0" w:right="0" w:hanging="0"/>
              <w:jc w:val="left"/>
              <w:rPr>
                <w:rFonts w:ascii="Liberation Serif" w:hAnsi="Liberation Serif" w:eastAsia="Lucida Sans" w:cs="Liberation Serif"/>
                <w:color w:val="000000"/>
                <w:sz w:val="16"/>
                <w:szCs w:val="24"/>
                <w:lang w:eastAsia="hi-IN" w:bidi="sk-SK"/>
              </w:rPr>
            </w:pPr>
            <w:r>
              <w:rPr>
                <w:rFonts w:eastAsia="Lucida Sans" w:cs="Liberation Serif" w:ascii="Liberation Serif" w:hAnsi="Liberation Serif"/>
                <w:color w:val="000000"/>
                <w:sz w:val="16"/>
                <w:szCs w:val="24"/>
                <w:lang w:eastAsia="hi-IN" w:bidi="sk-SK"/>
              </w:rPr>
              <w:t>RNDr. Labák Peter</w:t>
            </w:r>
          </w:p>
        </w:tc>
        <w:tc>
          <w:tcPr>
            <w:tcW w:w="35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ListParagraph"/>
              <w:spacing w:lineRule="auto" w:line="360" w:before="0" w:after="0"/>
              <w:ind w:left="0" w:right="0" w:hanging="0"/>
              <w:contextualSpacing/>
              <w:jc w:val="left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284" w:hRule="atLeast"/>
        </w:trPr>
        <w:tc>
          <w:tcPr>
            <w:tcW w:w="235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5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ind w:left="0" w:right="0" w:hanging="0"/>
              <w:jc w:val="left"/>
              <w:rPr>
                <w:rFonts w:ascii="Liberation Serif" w:hAnsi="Liberation Serif" w:eastAsia="Lucida Sans" w:cs="Liberation Serif"/>
                <w:color w:val="000000"/>
                <w:sz w:val="16"/>
                <w:szCs w:val="24"/>
                <w:lang w:eastAsia="hi-IN" w:bidi="sk-SK"/>
              </w:rPr>
            </w:pPr>
            <w:r>
              <w:rPr>
                <w:rFonts w:eastAsia="Lucida Sans" w:cs="Liberation Serif" w:ascii="Liberation Serif" w:hAnsi="Liberation Serif"/>
                <w:color w:val="000000"/>
                <w:sz w:val="16"/>
                <w:szCs w:val="24"/>
                <w:lang w:eastAsia="hi-IN" w:bidi="sk-SK"/>
              </w:rPr>
              <w:t>Mgr. Zálesňáková Katarína</w:t>
            </w:r>
          </w:p>
        </w:tc>
        <w:tc>
          <w:tcPr>
            <w:tcW w:w="35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ListParagraph"/>
              <w:spacing w:lineRule="auto" w:line="360" w:before="0" w:after="0"/>
              <w:ind w:left="0" w:right="0" w:hanging="0"/>
              <w:contextualSpacing/>
              <w:jc w:val="left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284" w:hRule="atLeast"/>
        </w:trPr>
        <w:tc>
          <w:tcPr>
            <w:tcW w:w="235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5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ind w:left="0" w:right="0" w:hanging="0"/>
              <w:jc w:val="left"/>
              <w:rPr>
                <w:rFonts w:ascii="Liberation Serif" w:hAnsi="Liberation Serif" w:eastAsia="Lucida Sans" w:cs="Liberation Serif"/>
                <w:color w:val="000000"/>
                <w:sz w:val="16"/>
                <w:szCs w:val="24"/>
                <w:lang w:eastAsia="hi-IN" w:bidi="sk-SK"/>
              </w:rPr>
            </w:pPr>
            <w:r>
              <w:rPr>
                <w:rFonts w:eastAsia="Lucida Sans" w:cs="Liberation Serif" w:ascii="Liberation Serif" w:hAnsi="Liberation Serif"/>
                <w:color w:val="000000"/>
                <w:sz w:val="16"/>
                <w:szCs w:val="24"/>
                <w:lang w:eastAsia="hi-IN" w:bidi="sk-SK"/>
              </w:rPr>
              <w:t>Mgr. Besedová Lucia</w:t>
            </w:r>
          </w:p>
        </w:tc>
        <w:tc>
          <w:tcPr>
            <w:tcW w:w="35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ListParagraph"/>
              <w:spacing w:lineRule="auto" w:line="360" w:before="0" w:after="0"/>
              <w:ind w:left="0" w:right="0" w:hanging="0"/>
              <w:contextualSpacing/>
              <w:jc w:val="left"/>
              <w:rPr>
                <w:sz w:val="22"/>
              </w:rPr>
            </w:pPr>
            <w:r>
              <w:rPr>
                <w:sz w:val="22"/>
              </w:rPr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widowControl/>
        <w:numPr>
          <w:ilvl w:val="0"/>
          <w:numId w:val="0"/>
        </w:numPr>
        <w:suppressAutoHyphens w:val="true"/>
        <w:bidi w:val="0"/>
        <w:spacing w:lineRule="auto" w:line="360" w:before="0" w:after="0"/>
        <w:ind w:left="757" w:right="0" w:hanging="0"/>
        <w:jc w:val="both"/>
        <w:textAlignment w:val="auto"/>
        <w:rPr>
          <w:sz w:val="22"/>
        </w:rPr>
      </w:pPr>
      <w:r>
        <w:rPr>
          <w:b/>
          <w:bCs/>
          <w:sz w:val="22"/>
        </w:rPr>
        <w:t>3</w:t>
      </w:r>
      <w:r>
        <w:rPr>
          <w:sz w:val="22"/>
        </w:rPr>
        <w:t xml:space="preserve"> Opis činnosti, na účel ktorej bola účtovná jednotka zriadená a opis druhu podnikateľskej činnosti, ak ju účtovná jednotka vykonáva.</w:t>
      </w:r>
    </w:p>
    <w:tbl>
      <w:tblPr>
        <w:tblW w:w="9703" w:type="dxa"/>
        <w:jc w:val="righ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728"/>
        <w:gridCol w:w="6974"/>
      </w:tblGrid>
      <w:tr>
        <w:trPr>
          <w:trHeight w:val="284" w:hRule="atLeast"/>
        </w:trPr>
        <w:tc>
          <w:tcPr>
            <w:tcW w:w="2728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jc w:val="both"/>
              <w:textAlignment w:val="auto"/>
              <w:rPr>
                <w:rFonts w:ascii="Arial Narrow" w:hAnsi="Arial Narrow" w:eastAsia="Arial"/>
                <w:b/>
                <w:b/>
                <w:sz w:val="22"/>
                <w:lang w:val="sk-SK" w:eastAsia="ar-SA"/>
              </w:rPr>
            </w:pPr>
            <w:r>
              <w:rPr>
                <w:rFonts w:eastAsia="Arial"/>
                <w:b/>
                <w:sz w:val="22"/>
                <w:lang w:val="sk-SK" w:eastAsia="ar-SA"/>
              </w:rPr>
              <w:t>Hlavná činnosť:</w:t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</w:rPr>
            </w:pPr>
            <w:r>
              <w:rPr>
                <w:sz w:val="16"/>
              </w:rPr>
              <w:t>Poskytovanie sociálnej pomoci a humanitárnej starostlivosti – denný stacionár</w:t>
            </w:r>
          </w:p>
        </w:tc>
      </w:tr>
      <w:tr>
        <w:trPr>
          <w:trHeight w:val="284" w:hRule="atLeast"/>
        </w:trPr>
        <w:tc>
          <w:tcPr>
            <w:tcW w:w="27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</w:rPr>
            </w:pPr>
            <w:r>
              <w:rPr>
                <w:sz w:val="16"/>
              </w:rPr>
              <w:t>Pomoc pri odkázanosti na pomoc inej fyzickej osoby, sociálne poradenstvo, sociálna rehabilitácia, stravovanie, zabezpečuje sa pracovná terapia a záujmová činnosť.</w:t>
            </w:r>
          </w:p>
        </w:tc>
      </w:tr>
      <w:tr>
        <w:trPr>
          <w:trHeight w:val="284" w:hRule="atLeast"/>
        </w:trPr>
        <w:tc>
          <w:tcPr>
            <w:tcW w:w="27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284" w:hRule="atLeast"/>
        </w:trPr>
        <w:tc>
          <w:tcPr>
            <w:tcW w:w="27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284" w:hRule="atLeast"/>
        </w:trPr>
        <w:tc>
          <w:tcPr>
            <w:tcW w:w="27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284" w:hRule="atLeast"/>
        </w:trPr>
        <w:tc>
          <w:tcPr>
            <w:tcW w:w="27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b/>
          <w:bCs/>
          <w:sz w:val="20"/>
          <w:szCs w:val="20"/>
        </w:rPr>
        <w:t>7.</w:t>
      </w:r>
      <w:r>
        <w:rPr>
          <w:sz w:val="22"/>
        </w:rPr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widowControl/>
        <w:numPr>
          <w:ilvl w:val="0"/>
          <w:numId w:val="0"/>
        </w:numPr>
        <w:suppressAutoHyphens w:val="true"/>
        <w:bidi w:val="0"/>
        <w:spacing w:lineRule="auto" w:line="360" w:before="0" w:after="0"/>
        <w:ind w:left="757" w:right="0" w:hanging="0"/>
        <w:jc w:val="both"/>
        <w:textAlignment w:val="auto"/>
        <w:rPr/>
      </w:pPr>
      <w:r>
        <w:rPr>
          <w:b/>
          <w:bCs/>
          <w:sz w:val="22"/>
        </w:rPr>
        <w:t>4</w:t>
      </w:r>
      <w:r>
        <w:rPr>
          <w:sz w:val="22"/>
        </w:rPr>
        <w:t xml:space="preserve">  Priemerný prepočítaný počet zamestnancov, a z toho počet vedúcich zamestnancov účtovnej jednotky za účtovné obdobie, za ktoré sa zostavuje účtovná závierka (ďalej len „bežné účtovné obdobie“). Počet dobrovoľníkov vyslaných účtovnou jednotkou a počet dobrovoľníkov, ktorí vykonávali dobrovoľnícku činnosť pre účtovnú jednotku počas bežného účtovného obdobia. </w:t>
      </w:r>
    </w:p>
    <w:p>
      <w:pPr>
        <w:pStyle w:val="Normalpodnadpis"/>
        <w:spacing w:lineRule="auto" w:line="360" w:before="0" w:after="0"/>
        <w:ind w:left="284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284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284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284" w:right="0" w:hanging="0"/>
        <w:rPr>
          <w:sz w:val="22"/>
        </w:rPr>
      </w:pPr>
      <w:r>
        <w:rPr>
          <w:sz w:val="22"/>
        </w:rPr>
      </w:r>
    </w:p>
    <w:tbl>
      <w:tblPr>
        <w:tblW w:w="9954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557"/>
        <w:gridCol w:w="2184"/>
        <w:gridCol w:w="2213"/>
      </w:tblGrid>
      <w:tr>
        <w:trPr/>
        <w:tc>
          <w:tcPr>
            <w:tcW w:w="5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Textopatrenia"/>
              <w:numPr>
                <w:ilvl w:val="0"/>
                <w:numId w:val="1"/>
              </w:numPr>
              <w:tabs>
                <w:tab w:val="left" w:pos="2880" w:leader="none"/>
              </w:tabs>
              <w:spacing w:before="0" w:after="0"/>
              <w:ind w:left="0" w:right="0" w:hanging="360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21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Bežné účtovné obdobie</w:t>
            </w:r>
          </w:p>
        </w:tc>
        <w:tc>
          <w:tcPr>
            <w:tcW w:w="2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Počet hodín vykonávania dobrovoľníckej činnosti</w:t>
            </w:r>
          </w:p>
        </w:tc>
      </w:tr>
      <w:tr>
        <w:trPr>
          <w:trHeight w:val="391" w:hRule="atLeast"/>
        </w:trPr>
        <w:tc>
          <w:tcPr>
            <w:tcW w:w="5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tabs>
                <w:tab w:val="left" w:pos="2880" w:leader="none"/>
              </w:tabs>
              <w:spacing w:before="0" w:after="0"/>
              <w:ind w:left="360" w:righ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tabs>
                <w:tab w:val="left" w:pos="2880" w:leader="none"/>
              </w:tabs>
              <w:spacing w:before="0" w:after="0"/>
              <w:ind w:left="360" w:right="0" w:hanging="0"/>
              <w:jc w:val="center"/>
              <w:rPr/>
            </w:pPr>
            <w:r>
              <w:rPr/>
              <w:t>9</w:t>
            </w:r>
          </w:p>
        </w:tc>
        <w:tc>
          <w:tcPr>
            <w:tcW w:w="2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tabs>
                <w:tab w:val="left" w:pos="2880" w:leader="none"/>
              </w:tabs>
              <w:spacing w:before="0" w:after="0"/>
              <w:ind w:left="360" w:right="0" w:hanging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91" w:hRule="atLeast"/>
        </w:trPr>
        <w:tc>
          <w:tcPr>
            <w:tcW w:w="5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tabs>
                <w:tab w:val="left" w:pos="2880" w:leader="none"/>
              </w:tabs>
              <w:spacing w:before="0" w:after="0"/>
              <w:ind w:left="360" w:right="0" w:hanging="0"/>
              <w:jc w:val="left"/>
              <w:rPr/>
            </w:pPr>
            <w:r>
              <w:rPr/>
              <w:t>z toho  počet vedúcich zamestnancov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tabs>
                <w:tab w:val="left" w:pos="2880" w:leader="none"/>
              </w:tabs>
              <w:spacing w:before="0" w:after="0"/>
              <w:ind w:left="360" w:right="0" w:hanging="0"/>
              <w:jc w:val="center"/>
              <w:rPr/>
            </w:pPr>
            <w:r>
              <w:rPr/>
              <w:t>1</w:t>
            </w:r>
          </w:p>
        </w:tc>
        <w:tc>
          <w:tcPr>
            <w:tcW w:w="2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tabs>
                <w:tab w:val="left" w:pos="2880" w:leader="none"/>
              </w:tabs>
              <w:spacing w:before="0" w:after="0"/>
              <w:ind w:left="360" w:right="0" w:hanging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644" w:right="0" w:hanging="0"/>
        <w:rPr>
          <w:sz w:val="22"/>
        </w:rPr>
      </w:pPr>
      <w:r>
        <w:rPr>
          <w:b/>
          <w:bCs/>
          <w:sz w:val="22"/>
        </w:rPr>
        <w:t>5</w:t>
      </w:r>
      <w:r>
        <w:rPr>
          <w:sz w:val="22"/>
        </w:rPr>
        <w:t xml:space="preserve"> Organizačná štruktúra účtovnej jednotky.</w:t>
      </w:r>
    </w:p>
    <w:tbl>
      <w:tblPr>
        <w:tblW w:w="9703" w:type="dxa"/>
        <w:jc w:val="righ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728"/>
        <w:gridCol w:w="6974"/>
      </w:tblGrid>
      <w:tr>
        <w:trPr>
          <w:trHeight w:val="284" w:hRule="atLeast"/>
        </w:trPr>
        <w:tc>
          <w:tcPr>
            <w:tcW w:w="2728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Orgány účtovnej jednotky:</w:t>
            </w:r>
          </w:p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(riadiace, štatutárne, kontrolné)</w:t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Riaditeľ</w:t>
            </w:r>
          </w:p>
        </w:tc>
      </w:tr>
      <w:tr>
        <w:trPr>
          <w:trHeight w:val="284" w:hRule="atLeast"/>
        </w:trPr>
        <w:tc>
          <w:tcPr>
            <w:tcW w:w="27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Správna rada</w:t>
            </w:r>
          </w:p>
        </w:tc>
      </w:tr>
      <w:tr>
        <w:trPr>
          <w:trHeight w:val="284" w:hRule="atLeast"/>
        </w:trPr>
        <w:tc>
          <w:tcPr>
            <w:tcW w:w="27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Dozorná rada</w:t>
            </w:r>
          </w:p>
        </w:tc>
      </w:tr>
      <w:tr>
        <w:trPr>
          <w:trHeight w:val="284" w:hRule="atLeast"/>
        </w:trPr>
        <w:tc>
          <w:tcPr>
            <w:tcW w:w="2728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Organizačné útvary:</w:t>
            </w:r>
          </w:p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(zabezpečujúce hlavnú činnosť, prípadne ekonomickú, resp. podnikateľskú činnosť a obslužné činnosti)</w:t>
            </w:r>
          </w:p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Mzdový pracovník</w:t>
            </w:r>
          </w:p>
        </w:tc>
      </w:tr>
      <w:tr>
        <w:trPr>
          <w:trHeight w:val="284" w:hRule="atLeast"/>
        </w:trPr>
        <w:tc>
          <w:tcPr>
            <w:tcW w:w="27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Ekonómka</w:t>
            </w:r>
          </w:p>
        </w:tc>
      </w:tr>
      <w:tr>
        <w:trPr>
          <w:trHeight w:val="284" w:hRule="atLeast"/>
        </w:trPr>
        <w:tc>
          <w:tcPr>
            <w:tcW w:w="27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Zdravotná sestra</w:t>
            </w:r>
          </w:p>
        </w:tc>
      </w:tr>
      <w:tr>
        <w:trPr>
          <w:trHeight w:val="284" w:hRule="atLeast"/>
        </w:trPr>
        <w:tc>
          <w:tcPr>
            <w:tcW w:w="27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Opatrovateľka</w:t>
            </w:r>
          </w:p>
        </w:tc>
      </w:tr>
      <w:tr>
        <w:trPr>
          <w:trHeight w:val="284" w:hRule="atLeast"/>
        </w:trPr>
        <w:tc>
          <w:tcPr>
            <w:tcW w:w="27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Upratovačka</w:t>
            </w:r>
          </w:p>
        </w:tc>
      </w:tr>
      <w:tr>
        <w:trPr>
          <w:trHeight w:val="284" w:hRule="atLeast"/>
        </w:trPr>
        <w:tc>
          <w:tcPr>
            <w:tcW w:w="27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Dovoz stravy, terapeut pracovník</w:t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keepNext/>
        <w:spacing w:lineRule="auto" w:line="360" w:before="0" w:after="0"/>
        <w:jc w:val="center"/>
        <w:rPr>
          <w:b/>
          <w:b/>
          <w:sz w:val="22"/>
        </w:rPr>
      </w:pPr>
      <w:r>
        <w:rPr>
          <w:b/>
          <w:sz w:val="22"/>
        </w:rPr>
        <w:t>Čl. II</w:t>
      </w:r>
    </w:p>
    <w:p>
      <w:pPr>
        <w:pStyle w:val="Normalpodnadpis"/>
        <w:keepNext/>
        <w:spacing w:lineRule="auto" w:line="360" w:before="0" w:after="0"/>
        <w:jc w:val="center"/>
        <w:rPr>
          <w:b/>
          <w:b/>
          <w:sz w:val="22"/>
        </w:rPr>
      </w:pPr>
      <w:r>
        <w:rPr>
          <w:b/>
          <w:sz w:val="22"/>
        </w:rPr>
        <w:t>Informácie o účtovných zásadách a účtovných metódach</w:t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644" w:right="0" w:hanging="0"/>
        <w:rPr/>
      </w:pPr>
      <w:r>
        <w:rPr>
          <w:b/>
          <w:bCs/>
          <w:sz w:val="22"/>
        </w:rPr>
        <w:t>1</w:t>
      </w:r>
      <w:r>
        <w:rPr>
          <w:sz w:val="22"/>
        </w:rPr>
        <w:t xml:space="preserve"> </w:t>
      </w:r>
      <w:bookmarkStart w:id="0" w:name="__Fieldmark__581_1632547726"/>
      <w:r>
        <w:rPr>
          <w:sz w:val="22"/>
        </w:rPr>
        <w:t xml:space="preserve">Informácia, či je účtovná závierka zostavená za splnenia predpokladu, že účtovná jednotka bude nepretržite pokračovať vo svojej činnosti. </w:t>
      </w:r>
      <w:bookmarkStart w:id="1" w:name="__Fieldmark__590_1632547726"/>
      <w:bookmarkStart w:id="2" w:name="__Fieldmark__585_1632547726"/>
      <w:bookmarkStart w:id="3" w:name="__Fieldmark__581_16325477261"/>
      <w:bookmarkStart w:id="4" w:name="__Fieldmark__581_16325477262"/>
      <w:bookmarkEnd w:id="0"/>
      <w:bookmarkEnd w:id="2"/>
      <w:bookmarkEnd w:id="3"/>
      <w:bookmarkEnd w:id="4"/>
      <w:r>
        <w:rPr>
          <w:rFonts w:eastAsia="Tahoma"/>
          <w:b/>
          <w:sz w:val="22"/>
        </w:rPr>
        <w:t xml:space="preserve"> ÁNO</w:t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644" w:right="0" w:hanging="0"/>
        <w:rPr/>
      </w:pPr>
      <w:bookmarkEnd w:id="1"/>
      <w:r>
        <w:rPr>
          <w:rFonts w:eastAsia="Tahoma"/>
          <w:b/>
          <w:sz w:val="22"/>
        </w:rPr>
        <w:t xml:space="preserve">2 </w:t>
      </w:r>
      <w:r>
        <w:rPr>
          <w:sz w:val="22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  <w:r>
        <w:rPr>
          <w:rFonts w:eastAsia="Tahoma"/>
          <w:b/>
          <w:sz w:val="22"/>
        </w:rPr>
        <w:t xml:space="preserve"> </w:t>
      </w:r>
    </w:p>
    <w:p>
      <w:pPr>
        <w:pStyle w:val="Normalpodnadpis"/>
        <w:spacing w:lineRule="auto" w:line="360" w:before="0" w:after="0"/>
        <w:rPr/>
      </w:pPr>
      <w:bookmarkStart w:id="5" w:name="__Fieldmark__626_1632547726"/>
      <w:r>
        <w:rPr>
          <w:rFonts w:eastAsia="Tahoma"/>
          <w:b/>
          <w:sz w:val="22"/>
        </w:rPr>
        <w:t xml:space="preserve">      </w:t>
      </w:r>
      <w:bookmarkStart w:id="6" w:name="__Fieldmark__1032_1632547726"/>
      <w:bookmarkStart w:id="7" w:name="__Fieldmark__626_16325477261"/>
      <w:bookmarkStart w:id="8" w:name="__Fieldmark__626_16325477262"/>
      <w:bookmarkEnd w:id="5"/>
      <w:bookmarkEnd w:id="7"/>
      <w:bookmarkEnd w:id="8"/>
      <w:r>
        <w:rPr>
          <w:rFonts w:eastAsia="Tahoma"/>
          <w:b/>
          <w:sz w:val="22"/>
        </w:rPr>
        <w:t xml:space="preserve"> </w:t>
      </w:r>
      <w:r>
        <w:rPr>
          <w:rFonts w:eastAsia="Tahoma"/>
          <w:b/>
          <w:sz w:val="22"/>
        </w:rPr>
        <w:t xml:space="preserve">Bez zmien </w:t>
      </w:r>
    </w:p>
    <w:p>
      <w:pPr>
        <w:pStyle w:val="Normalpodnadpis"/>
        <w:spacing w:lineRule="auto" w:line="360" w:before="0" w:after="0"/>
        <w:rPr>
          <w:rFonts w:eastAsia="Tahoma"/>
          <w:b/>
          <w:b/>
          <w:sz w:val="22"/>
        </w:rPr>
      </w:pPr>
      <w:r>
        <w:rPr>
          <w:rFonts w:eastAsia="Tahoma"/>
          <w:b/>
          <w:sz w:val="22"/>
        </w:rPr>
      </w:r>
    </w:p>
    <w:p>
      <w:pPr>
        <w:pStyle w:val="Normalpodnadpis"/>
        <w:spacing w:lineRule="auto" w:line="360" w:before="0" w:after="0"/>
        <w:rPr>
          <w:rFonts w:eastAsia="Tahoma"/>
          <w:b/>
          <w:b/>
          <w:sz w:val="22"/>
        </w:rPr>
      </w:pPr>
      <w:r>
        <w:rPr>
          <w:rFonts w:eastAsia="Tahoma"/>
          <w:b/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/>
      </w:pPr>
      <w:r>
        <w:rPr>
          <w:b/>
          <w:bCs/>
          <w:sz w:val="20"/>
          <w:szCs w:val="20"/>
        </w:rPr>
        <w:t>8.</w:t>
      </w:r>
    </w:p>
    <w:p>
      <w:pPr>
        <w:pStyle w:val="Normalpodnadpis"/>
        <w:spacing w:lineRule="auto" w:line="360" w:before="0" w:after="0"/>
        <w:ind w:left="0" w:right="0" w:hanging="0"/>
        <w:rPr>
          <w:b/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podnadpis"/>
        <w:spacing w:lineRule="auto" w:line="360" w:before="0" w:after="0"/>
        <w:ind w:left="0" w:right="0" w:hanging="0"/>
        <w:rPr>
          <w:b/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podnadpis"/>
        <w:spacing w:lineRule="auto" w:line="360" w:before="0" w:after="0"/>
        <w:ind w:left="0" w:right="0" w:hanging="0"/>
        <w:rPr>
          <w:b/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644" w:right="0" w:hanging="0"/>
        <w:rPr/>
      </w:pPr>
      <w:r>
        <w:rPr>
          <w:b/>
          <w:bCs/>
          <w:sz w:val="22"/>
        </w:rPr>
        <w:t>3</w:t>
      </w:r>
      <w:r>
        <w:rPr>
          <w:sz w:val="22"/>
        </w:rPr>
        <w:t xml:space="preserve"> Spôsoby ocenenia jednotlivých položiek majetku a záväzkov.</w:t>
      </w:r>
    </w:p>
    <w:tbl>
      <w:tblPr>
        <w:tblW w:w="9703" w:type="dxa"/>
        <w:jc w:val="righ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6236"/>
        <w:gridCol w:w="3466"/>
      </w:tblGrid>
      <w:tr>
        <w:trPr>
          <w:trHeight w:val="284" w:hRule="atLeast"/>
        </w:trPr>
        <w:tc>
          <w:tcPr>
            <w:tcW w:w="6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Majetok a záväzky</w:t>
            </w:r>
          </w:p>
        </w:tc>
        <w:tc>
          <w:tcPr>
            <w:tcW w:w="3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numPr>
                <w:ilvl w:val="0"/>
                <w:numId w:val="2"/>
              </w:numPr>
              <w:spacing w:lineRule="auto" w:line="360" w:before="0" w:after="0"/>
              <w:ind w:left="284" w:right="0" w:hanging="283"/>
              <w:jc w:val="left"/>
              <w:rPr>
                <w:sz w:val="22"/>
              </w:rPr>
            </w:pPr>
            <w:r>
              <w:rPr>
                <w:sz w:val="22"/>
              </w:rPr>
              <w:t xml:space="preserve">dlhodobý hmotný majetok obstaraný kúpou </w:t>
            </w:r>
          </w:p>
        </w:tc>
        <w:tc>
          <w:tcPr>
            <w:tcW w:w="3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Spacing"/>
              <w:spacing w:before="0" w:after="0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numPr>
                <w:ilvl w:val="0"/>
                <w:numId w:val="2"/>
              </w:numPr>
              <w:spacing w:lineRule="auto" w:line="360" w:before="0" w:after="0"/>
              <w:ind w:left="284" w:right="0" w:hanging="283"/>
              <w:rPr>
                <w:sz w:val="22"/>
              </w:rPr>
            </w:pPr>
            <w:r>
              <w:rPr>
                <w:sz w:val="22"/>
              </w:rPr>
              <w:t xml:space="preserve">pohľadávky </w:t>
            </w:r>
          </w:p>
        </w:tc>
        <w:tc>
          <w:tcPr>
            <w:tcW w:w="3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Spacing"/>
              <w:spacing w:before="0" w:after="0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numPr>
                <w:ilvl w:val="0"/>
                <w:numId w:val="2"/>
              </w:numPr>
              <w:spacing w:lineRule="auto" w:line="360" w:before="0" w:after="0"/>
              <w:ind w:left="284" w:right="0" w:hanging="0"/>
              <w:rPr>
                <w:sz w:val="22"/>
              </w:rPr>
            </w:pPr>
            <w:r>
              <w:rPr>
                <w:sz w:val="22"/>
              </w:rPr>
              <w:t xml:space="preserve">krátkodobý finančný majetok </w:t>
            </w:r>
          </w:p>
        </w:tc>
        <w:tc>
          <w:tcPr>
            <w:tcW w:w="3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Spacing"/>
              <w:spacing w:before="0" w:after="0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numPr>
                <w:ilvl w:val="0"/>
                <w:numId w:val="2"/>
              </w:numPr>
              <w:spacing w:lineRule="auto" w:line="360" w:before="0" w:after="0"/>
              <w:ind w:left="284" w:right="0" w:hanging="0"/>
              <w:rPr>
                <w:sz w:val="22"/>
              </w:rPr>
            </w:pPr>
            <w:r>
              <w:rPr>
                <w:sz w:val="22"/>
              </w:rPr>
              <w:t>časové rozlíšenie na strane aktív súvahy</w:t>
            </w:r>
          </w:p>
        </w:tc>
        <w:tc>
          <w:tcPr>
            <w:tcW w:w="3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Spacing"/>
              <w:spacing w:before="0" w:after="0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náklady budúcich období a príjmy budúcich období sa vykazujú vo výške, ktorá je potrebná na dodržanie zásady vecnej a časovej súvislosti s účtovným obdobím</w:t>
            </w:r>
          </w:p>
        </w:tc>
      </w:tr>
      <w:tr>
        <w:trPr>
          <w:trHeight w:val="284" w:hRule="atLeast"/>
        </w:trPr>
        <w:tc>
          <w:tcPr>
            <w:tcW w:w="6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numPr>
                <w:ilvl w:val="0"/>
                <w:numId w:val="2"/>
              </w:numPr>
              <w:spacing w:lineRule="auto" w:line="360" w:before="0" w:after="0"/>
              <w:ind w:left="284" w:right="0" w:hanging="0"/>
              <w:rPr>
                <w:sz w:val="22"/>
              </w:rPr>
            </w:pPr>
            <w:r>
              <w:rPr>
                <w:sz w:val="22"/>
              </w:rPr>
              <w:t xml:space="preserve">záväzky, vrátane rezerv, dlhopisov, pôžičiek a úverov </w:t>
            </w:r>
          </w:p>
        </w:tc>
        <w:tc>
          <w:tcPr>
            <w:tcW w:w="3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Spacing"/>
              <w:spacing w:before="0" w:after="0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menovitou hodnotou</w:t>
            </w:r>
          </w:p>
          <w:p>
            <w:pPr>
              <w:pStyle w:val="NoSpacing"/>
              <w:spacing w:before="0" w:after="0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oceňujú sa v očakávanej výške záväzku alebo poistno-matematickými metódami</w:t>
            </w:r>
          </w:p>
        </w:tc>
      </w:tr>
      <w:tr>
        <w:trPr>
          <w:trHeight w:val="284" w:hRule="atLeast"/>
        </w:trPr>
        <w:tc>
          <w:tcPr>
            <w:tcW w:w="6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numPr>
                <w:ilvl w:val="0"/>
                <w:numId w:val="2"/>
              </w:numPr>
              <w:spacing w:lineRule="auto" w:line="360" w:before="0" w:after="0"/>
              <w:ind w:left="284" w:right="0" w:hanging="0"/>
              <w:rPr>
                <w:sz w:val="22"/>
              </w:rPr>
            </w:pPr>
            <w:r>
              <w:rPr>
                <w:sz w:val="22"/>
              </w:rPr>
              <w:t>časové rozlíšenie na strane pasív súvahy</w:t>
            </w:r>
          </w:p>
        </w:tc>
        <w:tc>
          <w:tcPr>
            <w:tcW w:w="3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Spacing"/>
              <w:spacing w:before="0" w:after="0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b/>
          <w:b/>
          <w:bCs/>
          <w:sz w:val="22"/>
        </w:rPr>
      </w:pPr>
      <w:r>
        <w:rPr>
          <w:b/>
          <w:bCs/>
          <w:sz w:val="22"/>
        </w:rPr>
      </w:r>
    </w:p>
    <w:p>
      <w:pPr>
        <w:pStyle w:val="Normalpodnadpis"/>
        <w:numPr>
          <w:ilvl w:val="0"/>
          <w:numId w:val="0"/>
        </w:numPr>
        <w:bidi w:val="0"/>
        <w:spacing w:before="0" w:after="0"/>
        <w:ind w:left="1004" w:right="0" w:hanging="0"/>
        <w:jc w:val="left"/>
        <w:rPr/>
      </w:pPr>
      <w:r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4  </w:t>
      </w:r>
      <w:r>
        <w:rPr>
          <w:sz w:val="22"/>
          <w:szCs w:val="22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10206" w:type="dxa"/>
        <w:jc w:val="lef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2694"/>
        <w:gridCol w:w="2412"/>
        <w:gridCol w:w="2434"/>
        <w:gridCol w:w="2665"/>
      </w:tblGrid>
      <w:tr>
        <w:trPr>
          <w:trHeight w:val="416" w:hRule="atLeast"/>
        </w:trPr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podnadpis"/>
              <w:bidi w:val="0"/>
              <w:spacing w:before="0" w:after="240"/>
              <w:jc w:val="left"/>
              <w:rPr/>
            </w:pPr>
            <w:r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podnadpis"/>
              <w:bidi w:val="0"/>
              <w:spacing w:before="0" w:after="240"/>
              <w:jc w:val="center"/>
              <w:rPr/>
            </w:pPr>
            <w:r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4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podnadpis"/>
              <w:bidi w:val="0"/>
              <w:spacing w:before="0" w:after="240"/>
              <w:jc w:val="center"/>
              <w:rPr/>
            </w:pPr>
            <w:r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6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podnadpis"/>
              <w:bidi w:val="0"/>
              <w:spacing w:before="0" w:after="240"/>
              <w:jc w:val="center"/>
              <w:rPr/>
            </w:pPr>
            <w:r>
              <w:rPr>
                <w:b/>
                <w:sz w:val="22"/>
                <w:szCs w:val="22"/>
              </w:rPr>
              <w:t>Odpisová metóda</w:t>
            </w:r>
          </w:p>
        </w:tc>
      </w:tr>
      <w:tr>
        <w:trPr>
          <w:trHeight w:val="374" w:hRule="atLeast"/>
        </w:trPr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Klimatizácia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roky</w:t>
            </w:r>
          </w:p>
        </w:tc>
        <w:tc>
          <w:tcPr>
            <w:tcW w:w="24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673,20</w:t>
            </w:r>
          </w:p>
        </w:tc>
        <w:tc>
          <w:tcPr>
            <w:tcW w:w="26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</w:tr>
      <w:tr>
        <w:trPr>
          <w:trHeight w:val="374" w:hRule="atLeast"/>
        </w:trPr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Klimatizácia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roky</w:t>
            </w:r>
          </w:p>
        </w:tc>
        <w:tc>
          <w:tcPr>
            <w:tcW w:w="24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673,20</w:t>
            </w:r>
          </w:p>
        </w:tc>
        <w:tc>
          <w:tcPr>
            <w:tcW w:w="26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</w:tr>
      <w:tr>
        <w:trPr>
          <w:trHeight w:val="374" w:hRule="atLeast"/>
        </w:trPr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Klimatizácia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roky</w:t>
            </w:r>
          </w:p>
        </w:tc>
        <w:tc>
          <w:tcPr>
            <w:tcW w:w="24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764,00</w:t>
            </w:r>
          </w:p>
        </w:tc>
        <w:tc>
          <w:tcPr>
            <w:tcW w:w="26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</w:tr>
      <w:tr>
        <w:trPr>
          <w:trHeight w:val="374" w:hRule="atLeast"/>
        </w:trPr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Komunitná záhrada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24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2208,91</w:t>
            </w:r>
          </w:p>
        </w:tc>
        <w:tc>
          <w:tcPr>
            <w:tcW w:w="26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</w:tr>
      <w:tr>
        <w:trPr>
          <w:trHeight w:val="374" w:hRule="atLeast"/>
        </w:trPr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bidi w:val="0"/>
        <w:spacing w:lineRule="auto" w:line="360" w:before="0" w:after="0"/>
        <w:ind w:left="0" w:right="0" w:hanging="0"/>
        <w:jc w:val="left"/>
        <w:rPr>
          <w:sz w:val="22"/>
        </w:rPr>
      </w:pPr>
      <w:r>
        <w:rPr>
          <w:sz w:val="22"/>
        </w:rPr>
      </w:r>
    </w:p>
    <w:p>
      <w:pPr>
        <w:pStyle w:val="Normalpodnadpis"/>
        <w:keepNext/>
        <w:widowControl/>
        <w:numPr>
          <w:ilvl w:val="0"/>
          <w:numId w:val="0"/>
        </w:numPr>
        <w:suppressAutoHyphens w:val="true"/>
        <w:bidi w:val="0"/>
        <w:spacing w:lineRule="auto" w:line="360" w:before="0" w:after="0"/>
        <w:ind w:left="700" w:right="0" w:hanging="0"/>
        <w:jc w:val="center"/>
        <w:textAlignment w:val="auto"/>
        <w:outlineLvl w:val="0"/>
        <w:rPr/>
      </w:pPr>
      <w:bookmarkEnd w:id="6"/>
      <w:r>
        <w:rPr>
          <w:b/>
          <w:bCs/>
          <w:sz w:val="22"/>
        </w:rPr>
        <w:t>5</w:t>
      </w:r>
      <w:r>
        <w:rPr>
          <w:sz w:val="22"/>
        </w:rPr>
        <w:t xml:space="preserve"> Zásady p</w:t>
      </w:r>
      <w:bookmarkStart w:id="9" w:name="__Fieldmark__1397_1632547726"/>
      <w:r>
        <w:rPr>
          <w:sz w:val="22"/>
        </w:rPr>
        <w:t xml:space="preserve">re zohľadnenie zníženia hodnoty majetku. Uvádza sa, či účtovná jednotka uplatňuje opravné položky a rezervy.  </w:t>
      </w:r>
    </w:p>
    <w:tbl>
      <w:tblPr>
        <w:tblW w:w="9703" w:type="dxa"/>
        <w:jc w:val="righ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728"/>
        <w:gridCol w:w="6974"/>
      </w:tblGrid>
      <w:tr>
        <w:trPr>
          <w:trHeight w:val="284" w:hRule="atLeast"/>
        </w:trPr>
        <w:tc>
          <w:tcPr>
            <w:tcW w:w="2728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Opravné položky:</w:t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nie</w:t>
            </w:r>
          </w:p>
        </w:tc>
      </w:tr>
      <w:tr>
        <w:trPr>
          <w:trHeight w:val="284" w:hRule="atLeast"/>
        </w:trPr>
        <w:tc>
          <w:tcPr>
            <w:tcW w:w="27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284" w:hRule="atLeast"/>
        </w:trPr>
        <w:tc>
          <w:tcPr>
            <w:tcW w:w="27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284" w:hRule="atLeast"/>
        </w:trPr>
        <w:tc>
          <w:tcPr>
            <w:tcW w:w="2728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Rezervy:</w:t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rPr>
                <w:sz w:val="22"/>
              </w:rPr>
            </w:pPr>
            <w:r>
              <w:rPr>
                <w:sz w:val="22"/>
              </w:rPr>
              <w:t>Rezerva na dovolenku</w:t>
            </w:r>
          </w:p>
        </w:tc>
      </w:tr>
      <w:tr>
        <w:trPr>
          <w:trHeight w:val="284" w:hRule="atLeast"/>
        </w:trPr>
        <w:tc>
          <w:tcPr>
            <w:tcW w:w="27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6981,95</w:t>
            </w:r>
          </w:p>
        </w:tc>
      </w:tr>
      <w:tr>
        <w:trPr>
          <w:trHeight w:val="284" w:hRule="atLeast"/>
        </w:trPr>
        <w:tc>
          <w:tcPr>
            <w:tcW w:w="27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keepNext/>
        <w:spacing w:lineRule="auto" w:line="360" w:before="240" w:after="0"/>
        <w:jc w:val="center"/>
        <w:rPr>
          <w:b/>
          <w:b/>
          <w:sz w:val="22"/>
        </w:rPr>
      </w:pPr>
      <w:r>
        <w:rPr>
          <w:b/>
          <w:sz w:val="22"/>
        </w:rPr>
      </w:r>
    </w:p>
    <w:p>
      <w:pPr>
        <w:pStyle w:val="Normalpodnadpis"/>
        <w:spacing w:lineRule="auto" w:line="360" w:before="240" w:after="0"/>
        <w:jc w:val="center"/>
        <w:rPr>
          <w:b/>
          <w:b/>
          <w:sz w:val="22"/>
        </w:rPr>
      </w:pPr>
      <w:r>
        <w:rPr>
          <w:b/>
          <w:sz w:val="22"/>
        </w:rPr>
      </w:r>
    </w:p>
    <w:p>
      <w:pPr>
        <w:pStyle w:val="Normalpodnadpis"/>
        <w:spacing w:lineRule="auto" w:line="360" w:before="240" w:after="0"/>
        <w:jc w:val="center"/>
        <w:rPr>
          <w:b/>
          <w:b/>
          <w:sz w:val="22"/>
        </w:rPr>
      </w:pPr>
      <w:r>
        <w:rPr>
          <w:b/>
          <w:sz w:val="22"/>
        </w:rPr>
      </w:r>
    </w:p>
    <w:p>
      <w:pPr>
        <w:pStyle w:val="Normalpodnadpis"/>
        <w:spacing w:lineRule="auto" w:line="360" w:before="240" w:after="0"/>
        <w:jc w:val="left"/>
        <w:rPr/>
      </w:pPr>
      <w:r>
        <w:rPr>
          <w:b/>
          <w:bCs/>
          <w:sz w:val="20"/>
          <w:szCs w:val="20"/>
        </w:rPr>
        <w:t>9.</w:t>
      </w:r>
      <w:r>
        <w:rPr>
          <w:b/>
          <w:sz w:val="22"/>
        </w:rPr>
        <w:tab/>
      </w:r>
    </w:p>
    <w:p>
      <w:pPr>
        <w:pStyle w:val="Normalpodnadpis"/>
        <w:spacing w:lineRule="auto" w:line="360" w:before="240" w:after="0"/>
        <w:jc w:val="center"/>
        <w:rPr>
          <w:b/>
          <w:b/>
          <w:sz w:val="22"/>
        </w:rPr>
      </w:pPr>
      <w:r>
        <w:rPr>
          <w:b/>
          <w:sz w:val="22"/>
        </w:rPr>
        <w:t>Čl. III</w:t>
      </w:r>
    </w:p>
    <w:p>
      <w:pPr>
        <w:pStyle w:val="Normalpodnadpis"/>
        <w:keepNext/>
        <w:spacing w:lineRule="auto" w:line="360" w:before="0" w:after="0"/>
        <w:jc w:val="center"/>
        <w:rPr>
          <w:b/>
          <w:b/>
          <w:sz w:val="22"/>
        </w:rPr>
      </w:pPr>
      <w:r>
        <w:rPr>
          <w:b/>
          <w:sz w:val="22"/>
        </w:rPr>
        <w:t>Informácie, ktoré dopĺňajú a vysvetľujú údaje v súvahe</w:t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644" w:right="0" w:hanging="0"/>
        <w:rPr/>
      </w:pPr>
      <w:bookmarkStart w:id="10" w:name="__Fieldmark__1770_16325477261"/>
      <w:bookmarkStart w:id="11" w:name="__Fieldmark__1770_1632547726"/>
      <w:bookmarkStart w:id="12" w:name="__Fieldmark__1770_16325477262"/>
      <w:bookmarkEnd w:id="9"/>
      <w:bookmarkEnd w:id="10"/>
      <w:bookmarkEnd w:id="11"/>
      <w:bookmarkEnd w:id="12"/>
      <w:r>
        <w:rPr>
          <w:rFonts w:eastAsia="Tahoma"/>
          <w:b/>
          <w:sz w:val="22"/>
        </w:rPr>
        <w:t>1</w:t>
      </w:r>
      <w:bookmarkStart w:id="13" w:name="__Fieldmark__1810_1632547726"/>
      <w:r>
        <w:rPr>
          <w:rFonts w:eastAsia="Tahoma"/>
          <w:b/>
          <w:sz w:val="22"/>
        </w:rPr>
        <w:t xml:space="preserve"> </w:t>
      </w:r>
      <w:r>
        <w:rPr>
          <w:sz w:val="22"/>
        </w:rPr>
        <w:t xml:space="preserve">Opis významných súm pohľadávok v nadväznosti na položky súvahy, v členení na pohľadávky za hlavnú nezdaňovanú činnosť a zdaňovanú činnosť za bežné účtovné obdobie. </w:t>
      </w:r>
      <w:bookmarkStart w:id="14" w:name="__Fieldmark__1924_1632547726"/>
      <w:bookmarkStart w:id="15" w:name="__Fieldmark__1810_16325477261"/>
      <w:bookmarkStart w:id="16" w:name="__Fieldmark__1810_16325477262"/>
      <w:bookmarkEnd w:id="13"/>
      <w:bookmarkEnd w:id="15"/>
      <w:bookmarkEnd w:id="16"/>
      <w:r>
        <w:rPr>
          <w:rFonts w:eastAsia="Tahoma"/>
          <w:b/>
          <w:sz w:val="22"/>
        </w:rPr>
        <w:t xml:space="preserve"> </w:t>
      </w:r>
    </w:p>
    <w:tbl>
      <w:tblPr>
        <w:tblW w:w="9954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285"/>
        <w:gridCol w:w="3041"/>
        <w:gridCol w:w="2628"/>
      </w:tblGrid>
      <w:tr>
        <w:trPr/>
        <w:tc>
          <w:tcPr>
            <w:tcW w:w="4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 xml:space="preserve">Druh a opis významných položiek pohľadávok </w:t>
            </w:r>
          </w:p>
        </w:tc>
        <w:tc>
          <w:tcPr>
            <w:tcW w:w="30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Hlavná nezdaňovaná činnosť</w:t>
            </w:r>
          </w:p>
        </w:tc>
        <w:tc>
          <w:tcPr>
            <w:tcW w:w="26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Zdaňovaná činnosť</w:t>
            </w:r>
          </w:p>
        </w:tc>
      </w:tr>
      <w:tr>
        <w:trPr/>
        <w:tc>
          <w:tcPr>
            <w:tcW w:w="4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sz w:val="22"/>
              </w:rPr>
            </w:pPr>
            <w:r>
              <w:rPr>
                <w:sz w:val="22"/>
              </w:rPr>
              <w:t>Pohľadávky voči klientom-odberatelia 311</w:t>
            </w:r>
          </w:p>
        </w:tc>
        <w:tc>
          <w:tcPr>
            <w:tcW w:w="30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9303,23</w:t>
            </w:r>
          </w:p>
        </w:tc>
        <w:tc>
          <w:tcPr>
            <w:tcW w:w="26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/>
        <w:tc>
          <w:tcPr>
            <w:tcW w:w="4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Záloha na stravu-pohľadávky zamestnanci 335</w:t>
            </w:r>
          </w:p>
        </w:tc>
        <w:tc>
          <w:tcPr>
            <w:tcW w:w="30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  <w:t>966,60</w:t>
            </w:r>
          </w:p>
        </w:tc>
        <w:tc>
          <w:tcPr>
            <w:tcW w:w="26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/>
        <w:tc>
          <w:tcPr>
            <w:tcW w:w="4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30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6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644" w:right="0" w:hanging="0"/>
        <w:rPr/>
      </w:pPr>
      <w:r>
        <w:rPr>
          <w:b/>
          <w:bCs/>
          <w:sz w:val="22"/>
        </w:rPr>
        <w:t>2</w:t>
      </w:r>
      <w:r>
        <w:rPr>
          <w:sz w:val="22"/>
        </w:rPr>
        <w:t xml:space="preserve"> Prehľad pohľadávok do uplynutia lehoty splatnosti a po uplynutí lehoty splatnosti.</w:t>
      </w:r>
    </w:p>
    <w:tbl>
      <w:tblPr>
        <w:tblW w:w="9954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765"/>
        <w:gridCol w:w="3727"/>
        <w:gridCol w:w="3462"/>
      </w:tblGrid>
      <w:tr>
        <w:trPr/>
        <w:tc>
          <w:tcPr>
            <w:tcW w:w="2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Pohľadávky</w:t>
            </w:r>
          </w:p>
        </w:tc>
        <w:tc>
          <w:tcPr>
            <w:tcW w:w="37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konci bezprostredne predchádzajúceho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3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- do uplynutia lehoty splatnosti</w:t>
            </w:r>
          </w:p>
        </w:tc>
        <w:tc>
          <w:tcPr>
            <w:tcW w:w="37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26694,72</w:t>
            </w:r>
          </w:p>
        </w:tc>
        <w:tc>
          <w:tcPr>
            <w:tcW w:w="3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10269,83</w:t>
            </w:r>
          </w:p>
        </w:tc>
      </w:tr>
      <w:tr>
        <w:trPr>
          <w:trHeight w:val="344" w:hRule="atLeast"/>
        </w:trPr>
        <w:tc>
          <w:tcPr>
            <w:tcW w:w="2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- po uplynutí lehoty splatnosti</w:t>
            </w:r>
          </w:p>
        </w:tc>
        <w:tc>
          <w:tcPr>
            <w:tcW w:w="37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3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37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26694,72</w:t>
            </w:r>
          </w:p>
        </w:tc>
        <w:tc>
          <w:tcPr>
            <w:tcW w:w="3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10269,83</w:t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644" w:right="0" w:hanging="0"/>
        <w:rPr/>
      </w:pPr>
      <w:bookmarkEnd w:id="14"/>
      <w:r>
        <w:rPr>
          <w:rFonts w:eastAsia="Tahoma"/>
          <w:b/>
          <w:sz w:val="22"/>
        </w:rPr>
        <w:t xml:space="preserve">3 </w:t>
      </w:r>
      <w:r>
        <w:rPr>
          <w:sz w:val="22"/>
        </w:rPr>
        <w:t xml:space="preserve">Prehľad o významných položkách časového rozlíšenia nákladov budúcich období a príjmov budúcich období. </w:t>
      </w:r>
    </w:p>
    <w:p>
      <w:pPr>
        <w:pStyle w:val="Normalpodnadpis"/>
        <w:spacing w:lineRule="auto" w:line="360"/>
        <w:rPr/>
      </w:pPr>
      <w:bookmarkStart w:id="17" w:name="__Fieldmark__1947_1632547726"/>
      <w:r>
        <w:rPr>
          <w:sz w:val="22"/>
        </w:rPr>
        <w:t xml:space="preserve">      </w:t>
      </w:r>
      <w:bookmarkStart w:id="18" w:name="__Fieldmark__3024_1632547726"/>
      <w:bookmarkStart w:id="19" w:name="__Fieldmark__1947_16325477261"/>
      <w:bookmarkStart w:id="20" w:name="__Fieldmark__1947_16325477262"/>
      <w:bookmarkEnd w:id="17"/>
      <w:bookmarkEnd w:id="19"/>
      <w:bookmarkEnd w:id="20"/>
      <w:r>
        <w:rPr>
          <w:rFonts w:eastAsia="Tahoma"/>
          <w:b/>
          <w:sz w:val="22"/>
        </w:rPr>
        <w:t xml:space="preserve"> </w:t>
      </w:r>
    </w:p>
    <w:tbl>
      <w:tblPr>
        <w:tblW w:w="9821" w:type="dxa"/>
        <w:jc w:val="righ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743"/>
        <w:gridCol w:w="7077"/>
      </w:tblGrid>
      <w:tr>
        <w:trPr>
          <w:trHeight w:val="284" w:hRule="atLeast"/>
        </w:trPr>
        <w:tc>
          <w:tcPr>
            <w:tcW w:w="2743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Náklady budúcich období</w:t>
            </w:r>
          </w:p>
        </w:tc>
        <w:tc>
          <w:tcPr>
            <w:tcW w:w="7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rPr>
                <w:sz w:val="22"/>
              </w:rPr>
            </w:pPr>
            <w:r>
              <w:rPr>
                <w:sz w:val="22"/>
              </w:rPr>
              <w:t>Poistenie majetku v sume 70,77+99,44</w:t>
            </w:r>
          </w:p>
        </w:tc>
      </w:tr>
      <w:tr>
        <w:trPr>
          <w:trHeight w:val="284" w:hRule="atLeast"/>
        </w:trPr>
        <w:tc>
          <w:tcPr>
            <w:tcW w:w="2743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284" w:hRule="atLeast"/>
        </w:trPr>
        <w:tc>
          <w:tcPr>
            <w:tcW w:w="2743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284" w:hRule="atLeast"/>
        </w:trPr>
        <w:tc>
          <w:tcPr>
            <w:tcW w:w="2743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Príjmy budúcich období</w:t>
            </w:r>
          </w:p>
        </w:tc>
        <w:tc>
          <w:tcPr>
            <w:tcW w:w="7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284" w:hRule="atLeast"/>
        </w:trPr>
        <w:tc>
          <w:tcPr>
            <w:tcW w:w="2743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284" w:hRule="atLeast"/>
        </w:trPr>
        <w:tc>
          <w:tcPr>
            <w:tcW w:w="2743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b/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10.</w:t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786" w:right="0" w:hanging="0"/>
        <w:rPr/>
      </w:pPr>
      <w:r>
        <w:rPr>
          <w:b/>
          <w:bCs/>
          <w:sz w:val="22"/>
        </w:rPr>
        <w:t>4</w:t>
      </w:r>
      <w:r>
        <w:rPr>
          <w:sz w:val="22"/>
        </w:rPr>
        <w:t xml:space="preserve"> Opis a výška zmien vlastného imania v priebehu bežného účtovného obdobia podľa položiek súvahy.</w:t>
      </w:r>
    </w:p>
    <w:tbl>
      <w:tblPr>
        <w:tblW w:w="9953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1883"/>
        <w:gridCol w:w="1975"/>
        <w:gridCol w:w="1400"/>
        <w:gridCol w:w="1381"/>
        <w:gridCol w:w="1383"/>
        <w:gridCol w:w="1930"/>
      </w:tblGrid>
      <w:tr>
        <w:trPr/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</w:r>
          </w:p>
        </w:tc>
        <w:tc>
          <w:tcPr>
            <w:tcW w:w="1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začiatku bežného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1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Prírastky</w:t>
            </w:r>
          </w:p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(+)</w:t>
            </w:r>
          </w:p>
        </w:tc>
        <w:tc>
          <w:tcPr>
            <w:tcW w:w="13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Úbytky</w:t>
            </w:r>
          </w:p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(-)</w:t>
            </w:r>
          </w:p>
        </w:tc>
        <w:tc>
          <w:tcPr>
            <w:tcW w:w="13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Presuny</w:t>
            </w:r>
          </w:p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(+, -)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>
        <w:trPr>
          <w:trHeight w:val="391" w:hRule="atLeast"/>
        </w:trPr>
        <w:tc>
          <w:tcPr>
            <w:tcW w:w="9952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Výsledok hospodárenia</w:t>
            </w:r>
          </w:p>
        </w:tc>
      </w:tr>
      <w:tr>
        <w:trPr/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Nevysporiadaný výsledok hospodárenia minulých rokov</w:t>
            </w:r>
          </w:p>
        </w:tc>
        <w:tc>
          <w:tcPr>
            <w:tcW w:w="1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46044,54</w:t>
            </w:r>
          </w:p>
        </w:tc>
        <w:tc>
          <w:tcPr>
            <w:tcW w:w="1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13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13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10604,19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56648,73</w:t>
            </w:r>
          </w:p>
        </w:tc>
      </w:tr>
      <w:tr>
        <w:trPr/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Výsledok hospodárenia účtovného obdobia</w:t>
            </w:r>
          </w:p>
        </w:tc>
        <w:tc>
          <w:tcPr>
            <w:tcW w:w="1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10604,19</w:t>
            </w:r>
          </w:p>
        </w:tc>
        <w:tc>
          <w:tcPr>
            <w:tcW w:w="1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11993,58</w:t>
            </w:r>
          </w:p>
        </w:tc>
        <w:tc>
          <w:tcPr>
            <w:tcW w:w="13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13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-10604,19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11993,58</w:t>
            </w:r>
          </w:p>
        </w:tc>
      </w:tr>
      <w:tr>
        <w:trPr>
          <w:trHeight w:val="391" w:hRule="atLeast"/>
        </w:trPr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1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56648,73</w:t>
            </w:r>
          </w:p>
        </w:tc>
        <w:tc>
          <w:tcPr>
            <w:tcW w:w="1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11993,58</w:t>
            </w:r>
          </w:p>
        </w:tc>
        <w:tc>
          <w:tcPr>
            <w:tcW w:w="13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</w:r>
          </w:p>
        </w:tc>
        <w:tc>
          <w:tcPr>
            <w:tcW w:w="13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68642,31</w:t>
            </w:r>
          </w:p>
        </w:tc>
      </w:tr>
    </w:tbl>
    <w:p>
      <w:pPr>
        <w:pStyle w:val="Normalpodnadpis"/>
        <w:keepNext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786" w:right="0" w:hanging="0"/>
        <w:rPr/>
      </w:pPr>
      <w:r>
        <w:rPr>
          <w:b/>
          <w:bCs/>
          <w:sz w:val="22"/>
        </w:rPr>
        <w:t>5</w:t>
      </w:r>
      <w:r>
        <w:rPr>
          <w:sz w:val="22"/>
        </w:rPr>
        <w:t xml:space="preserve"> Informácia o rozdelení účtovného zisku alebo o vysporiadaní účtovnej straty za bezprostredne predchádzajúce účtovné obdobie.</w:t>
      </w:r>
    </w:p>
    <w:tbl>
      <w:tblPr>
        <w:tblW w:w="9953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804"/>
        <w:gridCol w:w="4148"/>
      </w:tblGrid>
      <w:tr>
        <w:trPr>
          <w:trHeight w:val="765" w:hRule="atLeast"/>
        </w:trPr>
        <w:tc>
          <w:tcPr>
            <w:tcW w:w="5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spacing w:lineRule="auto" w:line="360" w:before="0" w:after="0"/>
              <w:rPr>
                <w:lang w:eastAsia="en-US"/>
              </w:rPr>
            </w:pPr>
            <w:r>
              <w:rPr>
                <w:lang w:eastAsia="en-US"/>
              </w:rPr>
              <w:t>Názov položky</w:t>
            </w:r>
          </w:p>
        </w:tc>
        <w:tc>
          <w:tcPr>
            <w:tcW w:w="4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spacing w:lineRule="auto" w:line="360" w:before="0" w:after="0"/>
              <w:rPr>
                <w:lang w:eastAsia="en-US"/>
              </w:rPr>
            </w:pPr>
            <w:r>
              <w:rPr>
                <w:lang w:eastAsia="en-US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Účtovný zisk</w:t>
            </w:r>
          </w:p>
        </w:tc>
        <w:tc>
          <w:tcPr>
            <w:tcW w:w="4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10604,19</w:t>
            </w:r>
          </w:p>
        </w:tc>
      </w:tr>
      <w:tr>
        <w:trPr>
          <w:trHeight w:val="330" w:hRule="atLeast"/>
        </w:trPr>
        <w:tc>
          <w:tcPr>
            <w:tcW w:w="995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Rozdelenie účtovneho zisku</w:t>
            </w:r>
          </w:p>
        </w:tc>
      </w:tr>
      <w:tr>
        <w:trPr>
          <w:trHeight w:val="330" w:hRule="atLeast"/>
        </w:trPr>
        <w:tc>
          <w:tcPr>
            <w:tcW w:w="5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rPr>
                <w:sz w:val="22"/>
              </w:rPr>
            </w:pPr>
            <w:r>
              <w:rPr>
                <w:sz w:val="22"/>
              </w:rPr>
              <w:t>Prevod  do nevysporiadaného výsledku hospodárenia minulých rokov</w:t>
            </w:r>
          </w:p>
        </w:tc>
        <w:tc>
          <w:tcPr>
            <w:tcW w:w="4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10604,19</w:t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786" w:right="0" w:hanging="0"/>
        <w:rPr/>
      </w:pPr>
      <w:r>
        <w:rPr>
          <w:b/>
          <w:bCs/>
          <w:sz w:val="22"/>
        </w:rPr>
        <w:t>6</w:t>
      </w:r>
      <w:r>
        <w:rPr>
          <w:sz w:val="22"/>
        </w:rPr>
        <w:t xml:space="preserve"> 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9953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348"/>
        <w:gridCol w:w="1802"/>
        <w:gridCol w:w="1244"/>
        <w:gridCol w:w="1384"/>
        <w:gridCol w:w="1349"/>
        <w:gridCol w:w="1825"/>
      </w:tblGrid>
      <w:tr>
        <w:trPr/>
        <w:tc>
          <w:tcPr>
            <w:tcW w:w="2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Druh rezervy</w:t>
            </w:r>
          </w:p>
        </w:tc>
        <w:tc>
          <w:tcPr>
            <w:tcW w:w="18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konci bezprostredne predchádzajúceho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Tvorba rezerv</w:t>
            </w:r>
          </w:p>
        </w:tc>
        <w:tc>
          <w:tcPr>
            <w:tcW w:w="13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Použitie rezerv</w:t>
            </w:r>
          </w:p>
        </w:tc>
        <w:tc>
          <w:tcPr>
            <w:tcW w:w="13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Zrušenie rezerv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2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jc w:val="left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18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13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13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18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/>
        <w:tc>
          <w:tcPr>
            <w:tcW w:w="2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jc w:val="left"/>
              <w:rPr>
                <w:sz w:val="22"/>
              </w:rPr>
            </w:pPr>
            <w:r>
              <w:rPr>
                <w:sz w:val="22"/>
              </w:rPr>
              <w:t>Rezerva na nevyč. dovolenky</w:t>
            </w:r>
          </w:p>
        </w:tc>
        <w:tc>
          <w:tcPr>
            <w:tcW w:w="18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10849,72</w:t>
            </w: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6981,95</w:t>
            </w:r>
          </w:p>
        </w:tc>
        <w:tc>
          <w:tcPr>
            <w:tcW w:w="13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10849,72</w:t>
            </w:r>
          </w:p>
        </w:tc>
        <w:tc>
          <w:tcPr>
            <w:tcW w:w="13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</w:r>
          </w:p>
        </w:tc>
        <w:tc>
          <w:tcPr>
            <w:tcW w:w="18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6981,95</w:t>
            </w:r>
          </w:p>
        </w:tc>
      </w:tr>
      <w:tr>
        <w:trPr/>
        <w:tc>
          <w:tcPr>
            <w:tcW w:w="2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Krátkodobé rezervy spolu</w:t>
            </w:r>
          </w:p>
        </w:tc>
        <w:tc>
          <w:tcPr>
            <w:tcW w:w="18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10849,72</w:t>
            </w: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6981,95</w:t>
            </w:r>
          </w:p>
        </w:tc>
        <w:tc>
          <w:tcPr>
            <w:tcW w:w="13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10849,72</w:t>
            </w:r>
          </w:p>
        </w:tc>
        <w:tc>
          <w:tcPr>
            <w:tcW w:w="13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</w:r>
          </w:p>
        </w:tc>
        <w:tc>
          <w:tcPr>
            <w:tcW w:w="18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6981,95</w:t>
            </w:r>
          </w:p>
        </w:tc>
      </w:tr>
      <w:tr>
        <w:trPr>
          <w:trHeight w:val="374" w:hRule="atLeast"/>
        </w:trPr>
        <w:tc>
          <w:tcPr>
            <w:tcW w:w="2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Rezervy spolu</w:t>
            </w:r>
          </w:p>
        </w:tc>
        <w:tc>
          <w:tcPr>
            <w:tcW w:w="18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10849,72</w:t>
            </w: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6981,95</w:t>
            </w:r>
          </w:p>
        </w:tc>
        <w:tc>
          <w:tcPr>
            <w:tcW w:w="13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10849,72</w:t>
            </w:r>
          </w:p>
        </w:tc>
        <w:tc>
          <w:tcPr>
            <w:tcW w:w="13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</w:r>
          </w:p>
        </w:tc>
        <w:tc>
          <w:tcPr>
            <w:tcW w:w="18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6981,95</w:t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b/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11.</w:t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786" w:right="0" w:hanging="0"/>
        <w:rPr/>
      </w:pPr>
      <w:r>
        <w:rPr>
          <w:b/>
          <w:bCs/>
          <w:sz w:val="22"/>
        </w:rPr>
        <w:t>7</w:t>
      </w:r>
      <w:r>
        <w:rPr>
          <w:sz w:val="22"/>
        </w:rPr>
        <w:t xml:space="preserve"> Údaje o významných sumách záväzkov v nadväznosti na položky súvahy, v členení na záväzky za hlavnú nezdaňovanú činnosť a zdaňovanú činnosť.</w:t>
      </w:r>
    </w:p>
    <w:tbl>
      <w:tblPr>
        <w:tblW w:w="9954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313"/>
        <w:gridCol w:w="3042"/>
        <w:gridCol w:w="2599"/>
      </w:tblGrid>
      <w:tr>
        <w:trPr/>
        <w:tc>
          <w:tcPr>
            <w:tcW w:w="43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 xml:space="preserve">Druh a opis významných položiek záväzkov </w:t>
            </w:r>
          </w:p>
        </w:tc>
        <w:tc>
          <w:tcPr>
            <w:tcW w:w="3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Hlavná nezdaňovaná činnosť</w:t>
            </w:r>
          </w:p>
        </w:tc>
        <w:tc>
          <w:tcPr>
            <w:tcW w:w="2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Zdaňovaná činnosť</w:t>
            </w:r>
          </w:p>
        </w:tc>
      </w:tr>
      <w:tr>
        <w:trPr/>
        <w:tc>
          <w:tcPr>
            <w:tcW w:w="43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321-neuhr faktúry dodávatelia</w:t>
            </w:r>
          </w:p>
        </w:tc>
        <w:tc>
          <w:tcPr>
            <w:tcW w:w="3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1256,59</w:t>
            </w:r>
          </w:p>
        </w:tc>
        <w:tc>
          <w:tcPr>
            <w:tcW w:w="2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/>
        <w:tc>
          <w:tcPr>
            <w:tcW w:w="43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331- mzdy 12/24</w:t>
            </w:r>
          </w:p>
        </w:tc>
        <w:tc>
          <w:tcPr>
            <w:tcW w:w="3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  <w:t>11106,81</w:t>
            </w:r>
          </w:p>
        </w:tc>
        <w:tc>
          <w:tcPr>
            <w:tcW w:w="2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/>
        <w:tc>
          <w:tcPr>
            <w:tcW w:w="43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336- odvody 12/24</w:t>
            </w:r>
          </w:p>
        </w:tc>
        <w:tc>
          <w:tcPr>
            <w:tcW w:w="3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  <w:t>7704,59</w:t>
            </w:r>
          </w:p>
        </w:tc>
        <w:tc>
          <w:tcPr>
            <w:tcW w:w="2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/>
        <w:tc>
          <w:tcPr>
            <w:tcW w:w="43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342- daň 12/24</w:t>
            </w:r>
          </w:p>
        </w:tc>
        <w:tc>
          <w:tcPr>
            <w:tcW w:w="3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  <w:t>1743,93</w:t>
            </w:r>
          </w:p>
        </w:tc>
        <w:tc>
          <w:tcPr>
            <w:tcW w:w="2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/>
        <w:tc>
          <w:tcPr>
            <w:tcW w:w="43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3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2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786" w:right="0" w:hanging="0"/>
        <w:rPr/>
      </w:pPr>
      <w:r>
        <w:rPr>
          <w:b/>
          <w:bCs/>
          <w:sz w:val="22"/>
        </w:rPr>
        <w:t>8</w:t>
      </w:r>
      <w:r>
        <w:rPr>
          <w:sz w:val="22"/>
        </w:rPr>
        <w:t xml:space="preserve"> Prehľad záväzkov do uplynutia lehoty splatnosti a po uplynutí lehoty splatnosti.</w:t>
      </w:r>
    </w:p>
    <w:tbl>
      <w:tblPr>
        <w:tblW w:w="9983" w:type="dxa"/>
        <w:jc w:val="left"/>
        <w:tblInd w:w="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059"/>
        <w:gridCol w:w="3006"/>
        <w:gridCol w:w="2918"/>
      </w:tblGrid>
      <w:tr>
        <w:trPr>
          <w:trHeight w:val="608" w:hRule="atLeast"/>
        </w:trPr>
        <w:tc>
          <w:tcPr>
            <w:tcW w:w="40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Záväzky</w:t>
            </w:r>
          </w:p>
        </w:tc>
        <w:tc>
          <w:tcPr>
            <w:tcW w:w="30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>
        <w:trPr>
          <w:trHeight w:val="374" w:hRule="atLeast"/>
        </w:trPr>
        <w:tc>
          <w:tcPr>
            <w:tcW w:w="40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 xml:space="preserve">- do uplynutia lehoty splatnosti </w:t>
            </w:r>
          </w:p>
        </w:tc>
        <w:tc>
          <w:tcPr>
            <w:tcW w:w="30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23461,31</w:t>
            </w:r>
          </w:p>
        </w:tc>
        <w:tc>
          <w:tcPr>
            <w:tcW w:w="2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24520,29</w:t>
            </w:r>
          </w:p>
        </w:tc>
      </w:tr>
      <w:tr>
        <w:trPr>
          <w:trHeight w:val="374" w:hRule="atLeast"/>
        </w:trPr>
        <w:tc>
          <w:tcPr>
            <w:tcW w:w="40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- po uplynutí lehoty splatnosti</w:t>
            </w:r>
          </w:p>
        </w:tc>
        <w:tc>
          <w:tcPr>
            <w:tcW w:w="30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>
        <w:trPr>
          <w:trHeight w:val="374" w:hRule="atLeast"/>
        </w:trPr>
        <w:tc>
          <w:tcPr>
            <w:tcW w:w="40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30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23461,31</w:t>
            </w:r>
          </w:p>
        </w:tc>
        <w:tc>
          <w:tcPr>
            <w:tcW w:w="2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24520,29</w:t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786" w:right="0" w:hanging="0"/>
        <w:rPr/>
      </w:pPr>
      <w:r>
        <w:rPr>
          <w:b/>
          <w:bCs/>
          <w:sz w:val="22"/>
        </w:rPr>
        <w:t>9</w:t>
      </w:r>
      <w:r>
        <w:rPr>
          <w:sz w:val="22"/>
        </w:rPr>
        <w:t xml:space="preserve"> Prehľad o začiatočnom stave, tvorbe, čerpaní a konečnom zostatku sociálneho fondu v priebehu bežného účtovného obdobia. </w:t>
      </w:r>
    </w:p>
    <w:tbl>
      <w:tblPr>
        <w:tblW w:w="9953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943"/>
        <w:gridCol w:w="4009"/>
      </w:tblGrid>
      <w:tr>
        <w:trPr>
          <w:trHeight w:val="447" w:hRule="atLeast"/>
        </w:trPr>
        <w:tc>
          <w:tcPr>
            <w:tcW w:w="59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Sociálny fond</w:t>
            </w:r>
          </w:p>
        </w:tc>
        <w:tc>
          <w:tcPr>
            <w:tcW w:w="4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Suma</w:t>
            </w:r>
          </w:p>
        </w:tc>
      </w:tr>
      <w:tr>
        <w:trPr>
          <w:trHeight w:val="510" w:hRule="atLeast"/>
        </w:trPr>
        <w:tc>
          <w:tcPr>
            <w:tcW w:w="59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Stav k prvému dňu bežného účtovného obdobia</w:t>
            </w:r>
          </w:p>
        </w:tc>
        <w:tc>
          <w:tcPr>
            <w:tcW w:w="4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2360,48</w:t>
            </w:r>
          </w:p>
        </w:tc>
      </w:tr>
      <w:tr>
        <w:trPr>
          <w:trHeight w:val="374" w:hRule="atLeast"/>
        </w:trPr>
        <w:tc>
          <w:tcPr>
            <w:tcW w:w="59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Tvorba na ťarchu nákladov</w:t>
            </w:r>
          </w:p>
        </w:tc>
        <w:tc>
          <w:tcPr>
            <w:tcW w:w="4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1658,43</w:t>
            </w:r>
          </w:p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374" w:hRule="atLeast"/>
        </w:trPr>
        <w:tc>
          <w:tcPr>
            <w:tcW w:w="59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Tvorba zo zisku</w:t>
            </w:r>
          </w:p>
        </w:tc>
        <w:tc>
          <w:tcPr>
            <w:tcW w:w="4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jc w:val="left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374" w:hRule="atLeast"/>
        </w:trPr>
        <w:tc>
          <w:tcPr>
            <w:tcW w:w="59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Čerpanie</w:t>
            </w:r>
          </w:p>
        </w:tc>
        <w:tc>
          <w:tcPr>
            <w:tcW w:w="4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1310,54</w:t>
            </w:r>
          </w:p>
        </w:tc>
      </w:tr>
      <w:tr>
        <w:trPr>
          <w:trHeight w:val="557" w:hRule="atLeast"/>
        </w:trPr>
        <w:tc>
          <w:tcPr>
            <w:tcW w:w="59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Stav k poslednému dňu bežného účtovného obdobia</w:t>
            </w:r>
          </w:p>
        </w:tc>
        <w:tc>
          <w:tcPr>
            <w:tcW w:w="4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2708,37</w:t>
            </w:r>
          </w:p>
        </w:tc>
      </w:tr>
    </w:tbl>
    <w:p>
      <w:pPr>
        <w:pStyle w:val="Normalpodnadpis"/>
        <w:keepNext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786" w:right="0" w:hanging="0"/>
        <w:rPr>
          <w:sz w:val="22"/>
        </w:rPr>
      </w:pPr>
      <w:bookmarkStart w:id="21" w:name="__Fieldmark__3995_1632547726"/>
      <w:bookmarkStart w:id="22" w:name="__Fieldmark__3995_1632547726"/>
      <w:bookmarkEnd w:id="18"/>
      <w:bookmarkEnd w:id="22"/>
      <w:r>
        <w:rPr>
          <w:sz w:val="22"/>
        </w:rPr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786" w:right="0" w:hanging="0"/>
        <w:rPr/>
      </w:pPr>
      <w:r>
        <w:rPr>
          <w:b/>
          <w:bCs/>
          <w:sz w:val="22"/>
        </w:rPr>
        <w:t>10</w:t>
      </w:r>
      <w:r>
        <w:rPr>
          <w:sz w:val="22"/>
        </w:rPr>
        <w:t xml:space="preserve"> Prehľad výnosov budúcich období v členení podľa jednotlivých druhov a v členení na dlhodobé výnosy budúcich období a krátkodobé výnosy budúcich období.</w:t>
      </w:r>
    </w:p>
    <w:p>
      <w:pPr>
        <w:pStyle w:val="Normalpodnadpis"/>
        <w:spacing w:lineRule="auto" w:line="360" w:before="240" w:after="0"/>
        <w:ind w:left="0" w:right="0" w:hanging="0"/>
        <w:rPr>
          <w:sz w:val="22"/>
        </w:rPr>
      </w:pPr>
      <w:r>
        <w:rPr>
          <w:sz w:val="22"/>
        </w:rPr>
      </w:r>
    </w:p>
    <w:tbl>
      <w:tblPr>
        <w:tblW w:w="9954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455"/>
        <w:gridCol w:w="3181"/>
        <w:gridCol w:w="3318"/>
      </w:tblGrid>
      <w:tr>
        <w:trPr/>
        <w:tc>
          <w:tcPr>
            <w:tcW w:w="34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Položky výnosov budúcich období - krátkodobé z dôvodu</w:t>
            </w:r>
          </w:p>
        </w:tc>
        <w:tc>
          <w:tcPr>
            <w:tcW w:w="31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konci bezprostredne predchádzajúceho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33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34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dotácie zo štátneho rozpočtu a  z prostriedkov Európskej únie</w:t>
            </w:r>
          </w:p>
        </w:tc>
        <w:tc>
          <w:tcPr>
            <w:tcW w:w="31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  <w:t>2885,74</w:t>
            </w:r>
          </w:p>
        </w:tc>
        <w:tc>
          <w:tcPr>
            <w:tcW w:w="33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  <w:t>5214,01</w:t>
            </w:r>
          </w:p>
        </w:tc>
      </w:tr>
      <w:tr>
        <w:trPr/>
        <w:tc>
          <w:tcPr>
            <w:tcW w:w="34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31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  <w:t>2885,74</w:t>
            </w:r>
          </w:p>
        </w:tc>
        <w:tc>
          <w:tcPr>
            <w:tcW w:w="33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  <w:t>5214,01</w:t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b/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12.</w:t>
      </w:r>
    </w:p>
    <w:p>
      <w:pPr>
        <w:pStyle w:val="Normalpodnadpis"/>
        <w:keepNext/>
        <w:spacing w:lineRule="auto" w:line="360" w:before="240" w:after="0"/>
        <w:jc w:val="center"/>
        <w:rPr>
          <w:sz w:val="22"/>
        </w:rPr>
      </w:pPr>
      <w:r>
        <w:rPr>
          <w:b/>
          <w:sz w:val="22"/>
        </w:rPr>
        <w:t>Čl. IV</w:t>
      </w:r>
    </w:p>
    <w:p>
      <w:pPr>
        <w:pStyle w:val="Normalpodnadpis"/>
        <w:keepNext/>
        <w:spacing w:lineRule="auto" w:line="360" w:before="0" w:after="0"/>
        <w:jc w:val="center"/>
        <w:rPr>
          <w:b/>
          <w:b/>
          <w:sz w:val="22"/>
        </w:rPr>
      </w:pPr>
      <w:r>
        <w:rPr>
          <w:b/>
          <w:sz w:val="22"/>
        </w:rPr>
        <w:t>Informácie, ktoré dopĺňajú a vysvetľujú údaje vo výkaze ziskov a strát</w:t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644" w:right="0" w:hanging="0"/>
        <w:rPr/>
      </w:pPr>
      <w:r>
        <w:rPr>
          <w:b/>
          <w:bCs/>
          <w:sz w:val="22"/>
        </w:rPr>
        <w:t>1</w:t>
      </w:r>
      <w:r>
        <w:rPr>
          <w:sz w:val="22"/>
        </w:rPr>
        <w:t xml:space="preserve">   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9954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449"/>
        <w:gridCol w:w="3042"/>
        <w:gridCol w:w="2463"/>
      </w:tblGrid>
      <w:tr>
        <w:trPr>
          <w:trHeight w:val="748" w:hRule="atLeast"/>
        </w:trPr>
        <w:tc>
          <w:tcPr>
            <w:tcW w:w="44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 xml:space="preserve">Druh a opis tržieb </w:t>
            </w:r>
          </w:p>
        </w:tc>
        <w:tc>
          <w:tcPr>
            <w:tcW w:w="3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Hlavná nezdaňovaná činnosť</w:t>
            </w:r>
          </w:p>
        </w:tc>
        <w:tc>
          <w:tcPr>
            <w:tcW w:w="2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Zdaňovaná činnosť</w:t>
            </w:r>
          </w:p>
        </w:tc>
      </w:tr>
      <w:tr>
        <w:trPr/>
        <w:tc>
          <w:tcPr>
            <w:tcW w:w="44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sz w:val="22"/>
              </w:rPr>
            </w:pPr>
            <w:r>
              <w:rPr>
                <w:sz w:val="22"/>
              </w:rPr>
              <w:t xml:space="preserve">Sociálne služby klienti, tržba -602 </w:t>
            </w:r>
          </w:p>
        </w:tc>
        <w:tc>
          <w:tcPr>
            <w:tcW w:w="3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72046,43</w:t>
            </w:r>
          </w:p>
        </w:tc>
        <w:tc>
          <w:tcPr>
            <w:tcW w:w="2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644" w:right="0" w:hanging="0"/>
        <w:rPr/>
      </w:pPr>
      <w:r>
        <w:rPr>
          <w:b/>
          <w:bCs/>
          <w:sz w:val="22"/>
        </w:rPr>
        <w:t>2</w:t>
      </w:r>
      <w:r>
        <w:rPr>
          <w:sz w:val="22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9954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728"/>
        <w:gridCol w:w="2598"/>
        <w:gridCol w:w="2628"/>
      </w:tblGrid>
      <w:tr>
        <w:trPr/>
        <w:tc>
          <w:tcPr>
            <w:tcW w:w="47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Druh a opis významných súm dotácií a grantov</w:t>
            </w:r>
          </w:p>
        </w:tc>
        <w:tc>
          <w:tcPr>
            <w:tcW w:w="2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konci bezprostredne predchádzajúceho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26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47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sz w:val="22"/>
              </w:rPr>
            </w:pPr>
            <w:r>
              <w:rPr>
                <w:sz w:val="22"/>
              </w:rPr>
              <w:t>Dotácia Obec Zohor-prevádzka zariadenia</w:t>
            </w:r>
          </w:p>
        </w:tc>
        <w:tc>
          <w:tcPr>
            <w:tcW w:w="2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139820,00</w:t>
            </w:r>
          </w:p>
        </w:tc>
        <w:tc>
          <w:tcPr>
            <w:tcW w:w="26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177644,00</w:t>
            </w:r>
          </w:p>
        </w:tc>
      </w:tr>
      <w:tr>
        <w:trPr/>
        <w:tc>
          <w:tcPr>
            <w:tcW w:w="47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sz w:val="22"/>
              </w:rPr>
            </w:pPr>
            <w:r>
              <w:rPr>
                <w:sz w:val="22"/>
              </w:rPr>
              <w:t>Dotácia Ministerstvo- mzdy a odvody</w:t>
            </w:r>
          </w:p>
        </w:tc>
        <w:tc>
          <w:tcPr>
            <w:tcW w:w="2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97244,06</w:t>
            </w:r>
          </w:p>
        </w:tc>
        <w:tc>
          <w:tcPr>
            <w:tcW w:w="26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77341,13</w:t>
            </w:r>
          </w:p>
        </w:tc>
      </w:tr>
      <w:tr>
        <w:trPr/>
        <w:tc>
          <w:tcPr>
            <w:tcW w:w="47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  <w:t>Dotácia Dolné Záhorie</w:t>
            </w:r>
          </w:p>
        </w:tc>
        <w:tc>
          <w:tcPr>
            <w:tcW w:w="2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  <w:t>25181,56</w:t>
            </w:r>
          </w:p>
        </w:tc>
        <w:tc>
          <w:tcPr>
            <w:tcW w:w="26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>
        <w:trPr/>
        <w:tc>
          <w:tcPr>
            <w:tcW w:w="47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2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26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/>
        <w:tc>
          <w:tcPr>
            <w:tcW w:w="47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2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26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644" w:right="0" w:hanging="0"/>
        <w:rPr/>
      </w:pPr>
      <w:r>
        <w:rPr>
          <w:b/>
          <w:bCs/>
          <w:sz w:val="22"/>
        </w:rPr>
        <w:t>3</w:t>
      </w:r>
      <w:r>
        <w:rPr>
          <w:sz w:val="22"/>
        </w:rPr>
        <w:t xml:space="preserve"> 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9954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142"/>
        <w:gridCol w:w="2350"/>
        <w:gridCol w:w="2462"/>
      </w:tblGrid>
      <w:tr>
        <w:trPr/>
        <w:tc>
          <w:tcPr>
            <w:tcW w:w="51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Druh a opis významných položiek nákladov</w:t>
            </w:r>
          </w:p>
        </w:tc>
        <w:tc>
          <w:tcPr>
            <w:tcW w:w="23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konci bezprostredne predchádzajúceho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2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51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sz w:val="22"/>
              </w:rPr>
            </w:pPr>
            <w:r>
              <w:rPr>
                <w:sz w:val="22"/>
              </w:rPr>
              <w:t>Spotreba materiálu ,liekov,phm- 501</w:t>
            </w:r>
          </w:p>
        </w:tc>
        <w:tc>
          <w:tcPr>
            <w:tcW w:w="23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12786,02</w:t>
            </w:r>
          </w:p>
        </w:tc>
        <w:tc>
          <w:tcPr>
            <w:tcW w:w="2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30146,64</w:t>
            </w:r>
          </w:p>
        </w:tc>
      </w:tr>
      <w:tr>
        <w:trPr/>
        <w:tc>
          <w:tcPr>
            <w:tcW w:w="51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sz w:val="22"/>
              </w:rPr>
            </w:pPr>
            <w:r>
              <w:rPr>
                <w:sz w:val="22"/>
              </w:rPr>
              <w:t>Energie- 502</w:t>
            </w:r>
          </w:p>
        </w:tc>
        <w:tc>
          <w:tcPr>
            <w:tcW w:w="23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11588,72</w:t>
            </w:r>
          </w:p>
        </w:tc>
        <w:tc>
          <w:tcPr>
            <w:tcW w:w="2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8035,97</w:t>
            </w:r>
          </w:p>
        </w:tc>
      </w:tr>
      <w:tr>
        <w:trPr/>
        <w:tc>
          <w:tcPr>
            <w:tcW w:w="51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sz w:val="22"/>
              </w:rPr>
            </w:pPr>
            <w:r>
              <w:rPr>
                <w:sz w:val="22"/>
              </w:rPr>
              <w:t>Strava klienti- 504</w:t>
            </w:r>
          </w:p>
        </w:tc>
        <w:tc>
          <w:tcPr>
            <w:tcW w:w="23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18143,39</w:t>
            </w:r>
          </w:p>
        </w:tc>
        <w:tc>
          <w:tcPr>
            <w:tcW w:w="2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>
        <w:trPr/>
        <w:tc>
          <w:tcPr>
            <w:tcW w:w="51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sz w:val="22"/>
              </w:rPr>
            </w:pPr>
            <w:r>
              <w:rPr>
                <w:sz w:val="22"/>
              </w:rPr>
              <w:t>Služby-poštovné,účto, revízie - 518</w:t>
            </w:r>
          </w:p>
        </w:tc>
        <w:tc>
          <w:tcPr>
            <w:tcW w:w="23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14264,85</w:t>
            </w:r>
          </w:p>
        </w:tc>
        <w:tc>
          <w:tcPr>
            <w:tcW w:w="2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13788,45</w:t>
            </w:r>
          </w:p>
        </w:tc>
      </w:tr>
      <w:tr>
        <w:trPr/>
        <w:tc>
          <w:tcPr>
            <w:tcW w:w="51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sz w:val="22"/>
              </w:rPr>
            </w:pPr>
            <w:r>
              <w:rPr>
                <w:sz w:val="22"/>
              </w:rPr>
              <w:t>Mzdy- 521</w:t>
            </w:r>
          </w:p>
        </w:tc>
        <w:tc>
          <w:tcPr>
            <w:tcW w:w="23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197735,78</w:t>
            </w:r>
          </w:p>
        </w:tc>
        <w:tc>
          <w:tcPr>
            <w:tcW w:w="2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182360,04</w:t>
            </w:r>
          </w:p>
        </w:tc>
      </w:tr>
    </w:tbl>
    <w:p>
      <w:pPr>
        <w:pStyle w:val="Normalpodnadpis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tbl>
      <w:tblPr>
        <w:tblW w:w="9954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142"/>
        <w:gridCol w:w="2350"/>
        <w:gridCol w:w="2462"/>
      </w:tblGrid>
      <w:tr>
        <w:trPr/>
        <w:tc>
          <w:tcPr>
            <w:tcW w:w="51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sz w:val="22"/>
              </w:rPr>
            </w:pPr>
            <w:r>
              <w:rPr>
                <w:sz w:val="22"/>
              </w:rPr>
              <w:t>Odvody-524</w:t>
            </w:r>
          </w:p>
        </w:tc>
        <w:tc>
          <w:tcPr>
            <w:tcW w:w="23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65600,48</w:t>
            </w:r>
          </w:p>
        </w:tc>
        <w:tc>
          <w:tcPr>
            <w:tcW w:w="2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67761,30</w:t>
            </w:r>
          </w:p>
        </w:tc>
      </w:tr>
      <w:tr>
        <w:trPr/>
        <w:tc>
          <w:tcPr>
            <w:tcW w:w="51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sz w:val="22"/>
              </w:rPr>
            </w:pPr>
            <w:r>
              <w:rPr>
                <w:sz w:val="22"/>
              </w:rPr>
              <w:t>Sociálne náklady-zákonné soc.náklady, tvorba SF -527,528</w:t>
            </w:r>
          </w:p>
        </w:tc>
        <w:tc>
          <w:tcPr>
            <w:tcW w:w="23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8377,39</w:t>
            </w:r>
          </w:p>
        </w:tc>
        <w:tc>
          <w:tcPr>
            <w:tcW w:w="2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9230,61</w:t>
            </w:r>
          </w:p>
        </w:tc>
      </w:tr>
      <w:tr>
        <w:trPr/>
        <w:tc>
          <w:tcPr>
            <w:tcW w:w="51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rPr>
                <w:sz w:val="22"/>
              </w:rPr>
            </w:pPr>
            <w:r>
              <w:rPr>
                <w:sz w:val="22"/>
              </w:rPr>
              <w:t>Ostatné náklady- 549, 511,551</w:t>
            </w:r>
          </w:p>
        </w:tc>
        <w:tc>
          <w:tcPr>
            <w:tcW w:w="23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1978,87</w:t>
            </w:r>
          </w:p>
        </w:tc>
        <w:tc>
          <w:tcPr>
            <w:tcW w:w="2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4860,53</w:t>
            </w:r>
          </w:p>
        </w:tc>
      </w:tr>
    </w:tbl>
    <w:p>
      <w:pPr>
        <w:pStyle w:val="Normalpodnadpis"/>
        <w:numPr>
          <w:ilvl w:val="0"/>
          <w:numId w:val="0"/>
        </w:numPr>
        <w:spacing w:lineRule="auto" w:line="360" w:before="0" w:after="0"/>
        <w:ind w:left="644" w:right="0" w:hanging="0"/>
        <w:rPr>
          <w:b/>
          <w:b/>
          <w:bCs/>
          <w:sz w:val="22"/>
        </w:rPr>
      </w:pPr>
      <w:r>
        <w:rPr>
          <w:b/>
          <w:bCs/>
          <w:sz w:val="22"/>
        </w:rPr>
      </w:r>
    </w:p>
    <w:p>
      <w:pPr>
        <w:pStyle w:val="Normalpodnadpis"/>
        <w:spacing w:lineRule="auto" w:line="360" w:before="0" w:after="0"/>
        <w:ind w:left="284" w:right="0" w:hanging="0"/>
        <w:rPr>
          <w:b/>
          <w:b/>
          <w:bCs/>
          <w:sz w:val="22"/>
        </w:rPr>
      </w:pPr>
      <w:r>
        <w:rPr>
          <w:b/>
          <w:bCs/>
          <w:sz w:val="22"/>
        </w:rPr>
      </w:r>
    </w:p>
    <w:p>
      <w:pPr>
        <w:pStyle w:val="Normalpodnadpis"/>
        <w:spacing w:lineRule="auto" w:line="360" w:before="0" w:after="0"/>
        <w:ind w:left="284" w:right="0" w:hanging="0"/>
        <w:rPr>
          <w:b/>
          <w:b/>
          <w:bCs/>
          <w:sz w:val="22"/>
        </w:rPr>
      </w:pPr>
      <w:r>
        <w:rPr>
          <w:b/>
          <w:bCs/>
          <w:sz w:val="22"/>
        </w:rPr>
      </w:r>
    </w:p>
    <w:p>
      <w:pPr>
        <w:pStyle w:val="Normalpodnadpis"/>
        <w:spacing w:lineRule="auto" w:line="360" w:before="0" w:after="0"/>
        <w:ind w:left="284" w:right="0" w:hanging="0"/>
        <w:rPr>
          <w:sz w:val="20"/>
          <w:szCs w:val="20"/>
        </w:rPr>
      </w:pPr>
      <w:r>
        <w:rPr>
          <w:b/>
          <w:bCs/>
          <w:sz w:val="20"/>
          <w:szCs w:val="20"/>
        </w:rPr>
        <w:t>13.</w:t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644" w:right="0" w:hanging="0"/>
        <w:rPr/>
      </w:pPr>
      <w:r>
        <w:rPr>
          <w:b/>
          <w:bCs/>
          <w:sz w:val="22"/>
        </w:rPr>
        <w:t>4</w:t>
      </w:r>
      <w:r>
        <w:rPr>
          <w:sz w:val="22"/>
        </w:rPr>
        <w:t xml:space="preserve">  Prehľad o účele a výške použitia zostatku prijatého podielu zaplatenej dane v minulých účtovných obdobiach a prijatého podielu zaplatenej dane v bežnom účtovnom období.</w:t>
      </w:r>
    </w:p>
    <w:tbl>
      <w:tblPr>
        <w:tblW w:w="9954" w:type="dxa"/>
        <w:jc w:val="left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557"/>
        <w:gridCol w:w="2184"/>
        <w:gridCol w:w="2213"/>
      </w:tblGrid>
      <w:tr>
        <w:trPr/>
        <w:tc>
          <w:tcPr>
            <w:tcW w:w="5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Účel použitia prijatého podielu zaplatenej dane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Použitá suma zostatku z predchádzajúceho účtovného obdobia</w:t>
            </w:r>
          </w:p>
        </w:tc>
        <w:tc>
          <w:tcPr>
            <w:tcW w:w="2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Použitá suma z bežného účtovného obdobia</w:t>
            </w:r>
          </w:p>
        </w:tc>
      </w:tr>
      <w:tr>
        <w:trPr>
          <w:trHeight w:val="397" w:hRule="atLeast"/>
        </w:trPr>
        <w:tc>
          <w:tcPr>
            <w:tcW w:w="5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Drobný nákup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2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1145,56</w:t>
            </w:r>
          </w:p>
        </w:tc>
      </w:tr>
      <w:tr>
        <w:trPr>
          <w:trHeight w:val="397" w:hRule="atLeast"/>
        </w:trPr>
        <w:tc>
          <w:tcPr>
            <w:tcW w:w="5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jc w:val="left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21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2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397" w:hRule="atLeast"/>
        </w:trPr>
        <w:tc>
          <w:tcPr>
            <w:tcW w:w="5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jc w:val="left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21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  <w:tc>
          <w:tcPr>
            <w:tcW w:w="2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397" w:hRule="atLeast"/>
        </w:trPr>
        <w:tc>
          <w:tcPr>
            <w:tcW w:w="774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Zostatok podielu zaplatenej dane</w:t>
            </w:r>
          </w:p>
        </w:tc>
        <w:tc>
          <w:tcPr>
            <w:tcW w:w="2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podnadpis"/>
              <w:spacing w:lineRule="auto" w:line="360" w:before="0" w:after="0"/>
              <w:jc w:val="left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</w:tbl>
    <w:p>
      <w:pPr>
        <w:pStyle w:val="Normalpodnadpis"/>
        <w:keepNext/>
        <w:spacing w:lineRule="auto" w:line="360" w:before="240" w:after="0"/>
        <w:jc w:val="center"/>
        <w:rPr>
          <w:b/>
          <w:b/>
          <w:sz w:val="22"/>
        </w:rPr>
      </w:pPr>
      <w:bookmarkStart w:id="23" w:name="__Fieldmark__4068_1632547726"/>
      <w:bookmarkStart w:id="24" w:name="__Fieldmark__3995_16325477261"/>
      <w:bookmarkEnd w:id="23"/>
      <w:bookmarkEnd w:id="24"/>
      <w:r>
        <w:rPr>
          <w:b/>
          <w:sz w:val="22"/>
        </w:rPr>
        <w:t>Čl. VI</w:t>
      </w:r>
    </w:p>
    <w:p>
      <w:pPr>
        <w:pStyle w:val="Normalpodnadpis"/>
        <w:keepNext/>
        <w:spacing w:lineRule="auto" w:line="360" w:before="0" w:after="0"/>
        <w:jc w:val="center"/>
        <w:rPr>
          <w:b/>
          <w:b/>
          <w:sz w:val="22"/>
        </w:rPr>
      </w:pPr>
      <w:r>
        <w:rPr>
          <w:b/>
          <w:sz w:val="22"/>
        </w:rPr>
        <w:t>Ďalšie informácie</w:t>
      </w:r>
    </w:p>
    <w:p>
      <w:pPr>
        <w:pStyle w:val="Normalpodnadpis"/>
        <w:numPr>
          <w:ilvl w:val="0"/>
          <w:numId w:val="0"/>
        </w:numPr>
        <w:spacing w:lineRule="auto" w:line="360" w:before="0" w:after="0"/>
        <w:ind w:left="644" w:right="0" w:hanging="0"/>
        <w:jc w:val="left"/>
        <w:rPr/>
      </w:pPr>
      <w:r>
        <w:rPr>
          <w:rFonts w:eastAsia="Tahoma"/>
          <w:b/>
          <w:sz w:val="22"/>
        </w:rPr>
        <w:t>5</w:t>
      </w:r>
      <w:bookmarkStart w:id="25" w:name="__Fieldmark__4497_1632547726"/>
      <w:r>
        <w:rPr>
          <w:rFonts w:eastAsia="Tahoma"/>
          <w:b/>
          <w:sz w:val="22"/>
        </w:rPr>
        <w:t xml:space="preserve"> </w:t>
      </w:r>
      <w:r>
        <w:rPr>
          <w:sz w:val="22"/>
        </w:rPr>
        <w:t>Informácie o významných skutočnostiach, ktoré nastali medzi dňom, ku ktorému sa zostavuje účtovná závierka a dňom jej zostavenia.</w:t>
      </w:r>
      <w:r>
        <w:rPr>
          <w:b/>
          <w:sz w:val="22"/>
        </w:rPr>
        <w:t xml:space="preserve"> </w:t>
      </w:r>
      <w:bookmarkStart w:id="26" w:name="__Fieldmark__4497_16325477261"/>
      <w:bookmarkStart w:id="27" w:name="__Fieldmark__4497_16325477262"/>
      <w:bookmarkEnd w:id="25"/>
      <w:bookmarkEnd w:id="26"/>
      <w:bookmarkEnd w:id="27"/>
      <w:r>
        <w:rPr>
          <w:rFonts w:eastAsia="Tahoma"/>
          <w:b/>
          <w:sz w:val="22"/>
        </w:rPr>
        <w:t xml:space="preserve"> Bezvýznamné</w:t>
      </w:r>
    </w:p>
    <w:p>
      <w:pPr>
        <w:pStyle w:val="Normalpodnadpis"/>
        <w:spacing w:lineRule="auto" w:line="360" w:before="0" w:after="0"/>
        <w:ind w:left="0" w:right="0" w:hanging="0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center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center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center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center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center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center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center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center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center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center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center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center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center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center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b/>
          <w:bCs/>
        </w:rPr>
        <w:t>14.</w:t>
      </w:r>
    </w:p>
    <w:sectPr>
      <w:footerReference w:type="default" r:id="rId2"/>
      <w:footerReference w:type="first" r:id="rId3"/>
      <w:type w:val="nextPage"/>
      <w:pgSz w:w="11906" w:h="16838"/>
      <w:pgMar w:left="1417" w:right="1417" w:header="0" w:top="1417" w:footer="0" w:bottom="708" w:gutter="0"/>
      <w:pgNumType w:start="1" w:fmt="decimal"/>
      <w:formProt w:val="false"/>
      <w:titlePg/>
      <w:textDirection w:val="lrTb"/>
      <w:docGrid w:type="default" w:linePitch="360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Times New Roman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60" w:hanging="360"/>
      </w:pPr>
      <w:rPr>
        <w:sz w:val="22"/>
        <w:color w:val="00000A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>
    <w:lvl w:ilvl="0">
      <w:start w:val="1"/>
      <w:numFmt w:val="bullet"/>
      <w:lvlText w:val=""/>
      <w:lvlJc w:val="left"/>
      <w:pPr>
        <w:ind w:left="1500" w:hanging="360"/>
      </w:pPr>
      <w:rPr>
        <w:rFonts w:ascii="Symbol" w:hAnsi="Symbol" w:cs="Symbol" w:hint="default"/>
        <w:sz w:val="22"/>
        <w:b/>
        <w:rFonts w:cs="Times New Roman"/>
        <w:color w:val="00000A"/>
      </w:rPr>
    </w:lvl>
    <w:lvl w:ilvl="1">
      <w:start w:val="1"/>
      <w:numFmt w:val="bullet"/>
      <w:lvlText w:val="-"/>
      <w:lvlJc w:val="left"/>
      <w:pPr>
        <w:ind w:left="1740" w:hanging="360"/>
      </w:pPr>
      <w:rPr>
        <w:rFonts w:ascii="Times New Roman" w:hAnsi="Times New Roman" w:cs="Times New Roman" w:hint="default"/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52343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00000A"/>
      <w:sz w:val="20"/>
      <w:szCs w:val="20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ac600f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ac600f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e000ab"/>
    <w:rPr>
      <w:rFonts w:ascii="Tahoma" w:hAnsi="Tahoma" w:eastAsia="Times New Roman" w:cs="Tahoma"/>
      <w:sz w:val="16"/>
      <w:szCs w:val="16"/>
      <w:lang w:eastAsia="sk-SK"/>
    </w:rPr>
  </w:style>
  <w:style w:type="character" w:styleId="ListLabel1">
    <w:name w:val="ListLabel 1"/>
    <w:qFormat/>
    <w:rPr>
      <w:color w:val="00000A"/>
    </w:rPr>
  </w:style>
  <w:style w:type="character" w:styleId="ListLabel2">
    <w:name w:val="ListLabel 2"/>
    <w:qFormat/>
    <w:rPr>
      <w:color w:val="00000A"/>
      <w:sz w:val="24"/>
    </w:rPr>
  </w:style>
  <w:style w:type="character" w:styleId="ListLabel3">
    <w:name w:val="ListLabel 3"/>
    <w:qFormat/>
    <w:rPr>
      <w:rFonts w:eastAsia="Times New Roman" w:cs="Times New Roman"/>
      <w:b/>
      <w:color w:val="00000A"/>
      <w:sz w:val="24"/>
    </w:rPr>
  </w:style>
  <w:style w:type="character" w:styleId="ListLabel4">
    <w:name w:val="ListLabel 4"/>
    <w:qFormat/>
    <w:rPr>
      <w:rFonts w:eastAsia="Times New Roman" w:cs="Times New Roman"/>
    </w:rPr>
  </w:style>
  <w:style w:type="character" w:styleId="ListLabel5">
    <w:name w:val="ListLabel 5"/>
    <w:qFormat/>
    <w:rPr>
      <w:sz w:val="24"/>
    </w:rPr>
  </w:style>
  <w:style w:type="character" w:styleId="ListLabel6">
    <w:name w:val="ListLabel 6"/>
    <w:qFormat/>
    <w:rPr>
      <w:sz w:val="24"/>
    </w:rPr>
  </w:style>
  <w:style w:type="character" w:styleId="ListLabel7">
    <w:name w:val="ListLabel 7"/>
    <w:qFormat/>
    <w:rPr>
      <w:sz w:val="24"/>
    </w:rPr>
  </w:style>
  <w:style w:type="character" w:styleId="ListLabel8">
    <w:name w:val="ListLabel 8"/>
    <w:qFormat/>
    <w:rPr>
      <w:sz w:val="24"/>
    </w:rPr>
  </w:style>
  <w:style w:type="character" w:styleId="ListLabel9">
    <w:name w:val="ListLabel 9"/>
    <w:qFormat/>
    <w:rPr>
      <w:sz w:val="24"/>
    </w:rPr>
  </w:style>
  <w:style w:type="character" w:styleId="ListLabel10">
    <w:name w:val="ListLabel 10"/>
    <w:qFormat/>
    <w:rPr>
      <w:rFonts w:eastAsia="Times New Roman" w:cs="Times New Roman"/>
      <w:sz w:val="24"/>
    </w:rPr>
  </w:style>
  <w:style w:type="character" w:styleId="ListLabel11">
    <w:name w:val="ListLabel 11"/>
    <w:qFormat/>
    <w:rPr>
      <w:b/>
      <w:sz w:val="28"/>
    </w:rPr>
  </w:style>
  <w:style w:type="character" w:styleId="ListLabel12">
    <w:name w:val="ListLabel 12"/>
    <w:qFormat/>
    <w:rPr>
      <w:b w:val="false"/>
      <w:i w:val="false"/>
      <w:strike w:val="false"/>
      <w:dstrike w:val="false"/>
      <w:sz w:val="24"/>
      <w:u w:val="none"/>
      <w:effect w:val="none"/>
    </w:rPr>
  </w:style>
  <w:style w:type="character" w:styleId="ListLabel13">
    <w:name w:val="ListLabel 13"/>
    <w:qFormat/>
    <w:rPr>
      <w:b/>
      <w:sz w:val="24"/>
    </w:rPr>
  </w:style>
  <w:style w:type="character" w:styleId="ListLabel14">
    <w:name w:val="ListLabel 14"/>
    <w:qFormat/>
    <w:rPr>
      <w:sz w:val="24"/>
    </w:rPr>
  </w:style>
  <w:style w:type="character" w:styleId="ListLabel15">
    <w:name w:val="ListLabel 15"/>
    <w:qFormat/>
    <w:rPr>
      <w:sz w:val="24"/>
    </w:rPr>
  </w:style>
  <w:style w:type="character" w:styleId="ListLabel16">
    <w:name w:val="ListLabel 16"/>
    <w:qFormat/>
    <w:rPr>
      <w:b/>
      <w:i w:val="false"/>
      <w:strike w:val="false"/>
      <w:dstrike w:val="false"/>
      <w:sz w:val="24"/>
      <w:u w:val="none"/>
      <w:effect w:val="none"/>
    </w:rPr>
  </w:style>
  <w:style w:type="character" w:styleId="ListLabel17">
    <w:name w:val="ListLabel 17"/>
    <w:qFormat/>
    <w:rPr>
      <w:sz w:val="24"/>
    </w:rPr>
  </w:style>
  <w:style w:type="character" w:styleId="ListLabel18">
    <w:name w:val="ListLabel 18"/>
    <w:qFormat/>
    <w:rPr>
      <w:sz w:val="24"/>
    </w:rPr>
  </w:style>
  <w:style w:type="character" w:styleId="ListLabel19">
    <w:name w:val="ListLabel 19"/>
    <w:qFormat/>
    <w:rPr>
      <w:b/>
      <w:sz w:val="24"/>
    </w:rPr>
  </w:style>
  <w:style w:type="character" w:styleId="ListLabel20">
    <w:name w:val="ListLabel 20"/>
    <w:qFormat/>
    <w:rPr>
      <w:b/>
      <w:sz w:val="24"/>
    </w:rPr>
  </w:style>
  <w:style w:type="character" w:styleId="ListLabel21">
    <w:name w:val="ListLabel 21"/>
    <w:qFormat/>
    <w:rPr>
      <w:b/>
      <w:sz w:val="24"/>
    </w:rPr>
  </w:style>
  <w:style w:type="character" w:styleId="ListLabel22">
    <w:name w:val="ListLabel 22"/>
    <w:qFormat/>
    <w:rPr>
      <w:b/>
      <w:sz w:val="24"/>
    </w:rPr>
  </w:style>
  <w:style w:type="character" w:styleId="ListLabel23">
    <w:name w:val="ListLabel 23"/>
    <w:qFormat/>
    <w:rPr>
      <w:b/>
      <w:sz w:val="24"/>
    </w:rPr>
  </w:style>
  <w:style w:type="character" w:styleId="ListLabel24">
    <w:name w:val="ListLabel 24"/>
    <w:qFormat/>
    <w:rPr>
      <w:b w:val="false"/>
      <w:i w:val="false"/>
      <w:strike w:val="false"/>
      <w:dstrike w:val="false"/>
      <w:sz w:val="24"/>
      <w:u w:val="none"/>
      <w:effect w:val="none"/>
    </w:rPr>
  </w:style>
  <w:style w:type="character" w:styleId="ListLabel25">
    <w:name w:val="ListLabel 25"/>
    <w:qFormat/>
    <w:rPr>
      <w:rFonts w:eastAsia="Times New Roman" w:cs="Times New Roman"/>
      <w:sz w:val="24"/>
    </w:rPr>
  </w:style>
  <w:style w:type="character" w:styleId="ListLabel26">
    <w:name w:val="ListLabel 26"/>
    <w:qFormat/>
    <w:rPr>
      <w:b/>
      <w:i w:val="false"/>
      <w:strike w:val="false"/>
      <w:dstrike w:val="false"/>
      <w:sz w:val="24"/>
      <w:u w:val="none"/>
      <w:effect w:val="none"/>
    </w:rPr>
  </w:style>
  <w:style w:type="character" w:styleId="ListLabel27">
    <w:name w:val="ListLabel 27"/>
    <w:qFormat/>
    <w:rPr>
      <w:b/>
      <w:i w:val="false"/>
      <w:strike w:val="false"/>
      <w:dstrike w:val="false"/>
      <w:sz w:val="24"/>
      <w:u w:val="none"/>
      <w:effect w:val="none"/>
    </w:rPr>
  </w:style>
  <w:style w:type="character" w:styleId="ListLabel28">
    <w:name w:val="ListLabel 28"/>
    <w:qFormat/>
    <w:rPr>
      <w:rFonts w:eastAsia="Times New Roman" w:cs="Times New Roman"/>
      <w:b/>
      <w:sz w:val="24"/>
    </w:rPr>
  </w:style>
  <w:style w:type="character" w:styleId="ListLabel29">
    <w:name w:val="ListLabel 29"/>
    <w:qFormat/>
    <w:rPr>
      <w:b/>
      <w:sz w:val="24"/>
    </w:rPr>
  </w:style>
  <w:style w:type="character" w:styleId="ListLabel30">
    <w:name w:val="ListLabel 30"/>
    <w:qFormat/>
    <w:rPr>
      <w:b/>
      <w:sz w:val="24"/>
    </w:rPr>
  </w:style>
  <w:style w:type="character" w:styleId="ListLabel31">
    <w:name w:val="ListLabel 31"/>
    <w:qFormat/>
    <w:rPr>
      <w:sz w:val="24"/>
    </w:rPr>
  </w:style>
  <w:style w:type="character" w:styleId="ListLabel32">
    <w:name w:val="ListLabel 32"/>
    <w:qFormat/>
    <w:rPr>
      <w:sz w:val="24"/>
    </w:rPr>
  </w:style>
  <w:style w:type="character" w:styleId="ListLabel33">
    <w:name w:val="ListLabel 33"/>
    <w:qFormat/>
    <w:rPr>
      <w:sz w:val="24"/>
    </w:rPr>
  </w:style>
  <w:style w:type="character" w:styleId="ListLabel34">
    <w:name w:val="ListLabel 34"/>
    <w:qFormat/>
    <w:rPr>
      <w:sz w:val="24"/>
    </w:rPr>
  </w:style>
  <w:style w:type="character" w:styleId="ListLabel35">
    <w:name w:val="ListLabel 35"/>
    <w:qFormat/>
    <w:rPr>
      <w:color w:val="00000A"/>
      <w:sz w:val="24"/>
    </w:rPr>
  </w:style>
  <w:style w:type="character" w:styleId="ListLabel36">
    <w:name w:val="ListLabel 36"/>
    <w:qFormat/>
    <w:rPr>
      <w:sz w:val="24"/>
    </w:rPr>
  </w:style>
  <w:style w:type="character" w:styleId="ListLabel37">
    <w:name w:val="ListLabel 37"/>
    <w:qFormat/>
    <w:rPr>
      <w:sz w:val="24"/>
    </w:rPr>
  </w:style>
  <w:style w:type="character" w:styleId="ListLabel38">
    <w:name w:val="ListLabel 38"/>
    <w:qFormat/>
    <w:rPr>
      <w:sz w:val="24"/>
    </w:rPr>
  </w:style>
  <w:style w:type="character" w:styleId="ListLabel39">
    <w:name w:val="ListLabel 39"/>
    <w:qFormat/>
    <w:rPr>
      <w:sz w:val="24"/>
    </w:rPr>
  </w:style>
  <w:style w:type="character" w:styleId="ListLabel40">
    <w:name w:val="ListLabel 40"/>
    <w:qFormat/>
    <w:rPr>
      <w:b/>
      <w:sz w:val="24"/>
    </w:rPr>
  </w:style>
  <w:style w:type="character" w:styleId="ListLabel41">
    <w:name w:val="ListLabel 41"/>
    <w:qFormat/>
    <w:rPr>
      <w:b/>
      <w:sz w:val="24"/>
    </w:rPr>
  </w:style>
  <w:style w:type="character" w:styleId="ListLabel42">
    <w:name w:val="ListLabel 42"/>
    <w:qFormat/>
    <w:rPr>
      <w:sz w:val="16"/>
    </w:rPr>
  </w:style>
  <w:style w:type="character" w:styleId="ListLabel43">
    <w:name w:val="ListLabel 43"/>
    <w:qFormat/>
    <w:rPr>
      <w:b/>
      <w:sz w:val="24"/>
    </w:rPr>
  </w:style>
  <w:style w:type="character" w:styleId="ListLabel44">
    <w:name w:val="ListLabel 44"/>
    <w:qFormat/>
    <w:rPr>
      <w:color w:val="00000A"/>
      <w:sz w:val="24"/>
    </w:rPr>
  </w:style>
  <w:style w:type="character" w:styleId="ListLabel45">
    <w:name w:val="ListLabel 45"/>
    <w:qFormat/>
    <w:rPr>
      <w:sz w:val="24"/>
    </w:rPr>
  </w:style>
  <w:style w:type="character" w:styleId="ListLabel46">
    <w:name w:val="ListLabel 46"/>
    <w:qFormat/>
    <w:rPr>
      <w:rFonts w:eastAsia="Times New Roman" w:cs="Times New Roman"/>
      <w:sz w:val="24"/>
    </w:rPr>
  </w:style>
  <w:style w:type="character" w:styleId="ListLabel47">
    <w:name w:val="ListLabel 47"/>
    <w:qFormat/>
    <w:rPr>
      <w:rFonts w:eastAsia="Times New Roman" w:cs="Times New Roman"/>
      <w:sz w:val="24"/>
    </w:rPr>
  </w:style>
  <w:style w:type="character" w:styleId="ListLabel48">
    <w:name w:val="ListLabel 48"/>
    <w:qFormat/>
    <w:rPr>
      <w:rFonts w:eastAsia="Times New Roman" w:cs="Times New Roman"/>
      <w:sz w:val="24"/>
    </w:rPr>
  </w:style>
  <w:style w:type="character" w:styleId="ListLabel49">
    <w:name w:val="ListLabel 49"/>
    <w:qFormat/>
    <w:rPr>
      <w:rFonts w:cs="Courier New"/>
    </w:rPr>
  </w:style>
  <w:style w:type="character" w:styleId="ListLabel50">
    <w:name w:val="ListLabel 50"/>
    <w:qFormat/>
    <w:rPr>
      <w:rFonts w:cs="Courier New"/>
    </w:rPr>
  </w:style>
  <w:style w:type="character" w:styleId="ListLabel51">
    <w:name w:val="ListLabel 51"/>
    <w:qFormat/>
    <w:rPr>
      <w:rFonts w:cs="Courier New"/>
    </w:rPr>
  </w:style>
  <w:style w:type="character" w:styleId="ListLabel52">
    <w:name w:val="ListLabel 52"/>
    <w:qFormat/>
    <w:rPr>
      <w:rFonts w:eastAsia="Times New Roman" w:cs="Times New Roman"/>
      <w:color w:val="00000A"/>
    </w:rPr>
  </w:style>
  <w:style w:type="character" w:styleId="ListLabel53">
    <w:name w:val="ListLabel 53"/>
    <w:qFormat/>
    <w:rPr>
      <w:rFonts w:eastAsia="Times New Roman" w:cs="Times New Roman"/>
    </w:rPr>
  </w:style>
  <w:style w:type="character" w:styleId="ListLabel54">
    <w:name w:val="ListLabel 54"/>
    <w:qFormat/>
    <w:rPr>
      <w:rFonts w:eastAsia="Times New Roman" w:cs="Times New Roman"/>
      <w:b/>
      <w:sz w:val="24"/>
    </w:rPr>
  </w:style>
  <w:style w:type="character" w:styleId="ListLabel55">
    <w:name w:val="ListLabel 55"/>
    <w:qFormat/>
    <w:rPr>
      <w:rFonts w:eastAsia="Times New Roman" w:cs="Times New Roman"/>
    </w:rPr>
  </w:style>
  <w:style w:type="character" w:styleId="ListLabel56">
    <w:name w:val="ListLabel 56"/>
    <w:qFormat/>
    <w:rPr>
      <w:rFonts w:cs="Courier New"/>
    </w:rPr>
  </w:style>
  <w:style w:type="character" w:styleId="ListLabel57">
    <w:name w:val="ListLabel 57"/>
    <w:qFormat/>
    <w:rPr>
      <w:rFonts w:cs="Courier New"/>
    </w:rPr>
  </w:style>
  <w:style w:type="character" w:styleId="ListLabel58">
    <w:name w:val="ListLabel 58"/>
    <w:qFormat/>
    <w:rPr>
      <w:rFonts w:cs="Courier New"/>
    </w:rPr>
  </w:style>
  <w:style w:type="character" w:styleId="ListLabel59">
    <w:name w:val="ListLabel 59"/>
    <w:qFormat/>
    <w:rPr>
      <w:sz w:val="16"/>
    </w:rPr>
  </w:style>
  <w:style w:type="character" w:styleId="ListLabel60">
    <w:name w:val="ListLabel 60"/>
    <w:qFormat/>
    <w:rPr>
      <w:b/>
      <w:sz w:val="24"/>
    </w:rPr>
  </w:style>
  <w:style w:type="character" w:styleId="ListLabel61">
    <w:name w:val="ListLabel 61"/>
    <w:qFormat/>
    <w:rPr>
      <w:rFonts w:eastAsia="Times New Roman" w:cs="Times New Roman"/>
      <w:sz w:val="24"/>
    </w:rPr>
  </w:style>
  <w:style w:type="character" w:styleId="ListLabel62">
    <w:name w:val="ListLabel 62"/>
    <w:qFormat/>
    <w:rPr>
      <w:rFonts w:eastAsia="Times New Roman" w:cs="Times New Roman"/>
      <w:sz w:val="24"/>
    </w:rPr>
  </w:style>
  <w:style w:type="character" w:styleId="ListLabel63">
    <w:name w:val="ListLabel 63"/>
    <w:qFormat/>
    <w:rPr>
      <w:sz w:val="24"/>
    </w:rPr>
  </w:style>
  <w:style w:type="character" w:styleId="ListLabel64">
    <w:name w:val="ListLabel 64"/>
    <w:qFormat/>
    <w:rPr>
      <w:rFonts w:eastAsia="Times New Roman" w:cs="Times New Roman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Courier New"/>
    </w:rPr>
  </w:style>
  <w:style w:type="character" w:styleId="ListLabel67">
    <w:name w:val="ListLabel 67"/>
    <w:qFormat/>
    <w:rPr>
      <w:rFonts w:cs="Courier New"/>
    </w:rPr>
  </w:style>
  <w:style w:type="character" w:styleId="ListLabel68">
    <w:name w:val="ListLabel 68"/>
    <w:qFormat/>
    <w:rPr>
      <w:color w:val="00000A"/>
      <w:sz w:val="22"/>
    </w:rPr>
  </w:style>
  <w:style w:type="character" w:styleId="ListLabel69">
    <w:name w:val="ListLabel 69"/>
    <w:qFormat/>
    <w:rPr>
      <w:rFonts w:cs="Wingdings"/>
      <w:color w:val="00000A"/>
      <w:sz w:val="22"/>
    </w:rPr>
  </w:style>
  <w:style w:type="character" w:styleId="ListLabel70">
    <w:name w:val="ListLabel 70"/>
    <w:qFormat/>
    <w:rPr>
      <w:rFonts w:cs="Times New Roman"/>
      <w:b/>
      <w:color w:val="00000A"/>
      <w:sz w:val="22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Wingdings"/>
      <w:sz w:val="22"/>
    </w:rPr>
  </w:style>
  <w:style w:type="character" w:styleId="ListLabel73">
    <w:name w:val="ListLabel 73"/>
    <w:qFormat/>
    <w:rPr>
      <w:rFonts w:cs="Wingdings"/>
      <w:sz w:val="24"/>
    </w:rPr>
  </w:style>
  <w:style w:type="character" w:styleId="ListLabel74">
    <w:name w:val="ListLabel 74"/>
    <w:qFormat/>
    <w:rPr>
      <w:rFonts w:cs="Wingdings"/>
      <w:sz w:val="22"/>
    </w:rPr>
  </w:style>
  <w:style w:type="character" w:styleId="ListLabel75">
    <w:name w:val="ListLabel 75"/>
    <w:qFormat/>
    <w:rPr>
      <w:rFonts w:cs="Wingdings"/>
      <w:sz w:val="22"/>
    </w:rPr>
  </w:style>
  <w:style w:type="character" w:styleId="ListLabel76">
    <w:name w:val="ListLabel 76"/>
    <w:qFormat/>
    <w:rPr>
      <w:color w:val="00000A"/>
      <w:sz w:val="22"/>
    </w:rPr>
  </w:style>
  <w:style w:type="character" w:styleId="ListLabel77">
    <w:name w:val="ListLabel 77"/>
    <w:qFormat/>
    <w:rPr>
      <w:rFonts w:cs="Wingdings"/>
      <w:color w:val="00000A"/>
      <w:sz w:val="22"/>
    </w:rPr>
  </w:style>
  <w:style w:type="character" w:styleId="ListLabel78">
    <w:name w:val="ListLabel 78"/>
    <w:qFormat/>
    <w:rPr>
      <w:rFonts w:cs="Times New Roman"/>
      <w:b/>
      <w:color w:val="00000A"/>
      <w:sz w:val="22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Wingdings"/>
      <w:sz w:val="22"/>
    </w:rPr>
  </w:style>
  <w:style w:type="character" w:styleId="ListLabel81">
    <w:name w:val="ListLabel 81"/>
    <w:qFormat/>
    <w:rPr>
      <w:rFonts w:cs="Wingdings"/>
      <w:sz w:val="24"/>
    </w:rPr>
  </w:style>
  <w:style w:type="character" w:styleId="ListLabel82">
    <w:name w:val="ListLabel 82"/>
    <w:qFormat/>
    <w:rPr>
      <w:rFonts w:cs="Wingdings"/>
      <w:sz w:val="22"/>
    </w:rPr>
  </w:style>
  <w:style w:type="character" w:styleId="ListLabel83">
    <w:name w:val="ListLabel 83"/>
    <w:qFormat/>
    <w:rPr>
      <w:rFonts w:cs="Wingdings"/>
      <w:sz w:val="22"/>
    </w:rPr>
  </w:style>
  <w:style w:type="character" w:styleId="ListLabel172">
    <w:name w:val="ListLabel 172"/>
    <w:qFormat/>
    <w:rPr>
      <w:rFonts w:cs="Times New Roman"/>
      <w:b/>
      <w:sz w:val="22"/>
    </w:rPr>
  </w:style>
  <w:style w:type="character" w:styleId="ListLabel173">
    <w:name w:val="ListLabel 173"/>
    <w:qFormat/>
    <w:rPr>
      <w:rFonts w:cs="Times New Roman"/>
    </w:rPr>
  </w:style>
  <w:style w:type="character" w:styleId="ListLabel174">
    <w:name w:val="ListLabel 174"/>
    <w:qFormat/>
    <w:rPr>
      <w:rFonts w:cs="Times New Roman"/>
    </w:rPr>
  </w:style>
  <w:style w:type="character" w:styleId="ListLabel175">
    <w:name w:val="ListLabel 175"/>
    <w:qFormat/>
    <w:rPr>
      <w:rFonts w:cs="Times New Roman"/>
    </w:rPr>
  </w:style>
  <w:style w:type="character" w:styleId="ListLabel176">
    <w:name w:val="ListLabel 176"/>
    <w:qFormat/>
    <w:rPr>
      <w:rFonts w:cs="Times New Roman"/>
    </w:rPr>
  </w:style>
  <w:style w:type="character" w:styleId="ListLabel177">
    <w:name w:val="ListLabel 177"/>
    <w:qFormat/>
    <w:rPr>
      <w:rFonts w:cs="Times New Roman"/>
    </w:rPr>
  </w:style>
  <w:style w:type="character" w:styleId="ListLabel178">
    <w:name w:val="ListLabel 178"/>
    <w:qFormat/>
    <w:rPr>
      <w:rFonts w:cs="Times New Roman"/>
    </w:rPr>
  </w:style>
  <w:style w:type="character" w:styleId="ListLabel179">
    <w:name w:val="ListLabel 179"/>
    <w:qFormat/>
    <w:rPr>
      <w:rFonts w:cs="Times New Roman"/>
    </w:rPr>
  </w:style>
  <w:style w:type="character" w:styleId="ListLabel180">
    <w:name w:val="ListLabel 180"/>
    <w:qFormat/>
    <w:rPr>
      <w:rFonts w:cs="Times New Roman"/>
    </w:rPr>
  </w:style>
  <w:style w:type="character" w:styleId="ListLabel181">
    <w:name w:val="ListLabel 181"/>
    <w:qFormat/>
    <w:rPr>
      <w:color w:val="00000A"/>
      <w:sz w:val="22"/>
    </w:rPr>
  </w:style>
  <w:style w:type="character" w:styleId="ListLabel182">
    <w:name w:val="ListLabel 182"/>
    <w:qFormat/>
    <w:rPr>
      <w:rFonts w:cs="Wingdings"/>
      <w:color w:val="00000A"/>
      <w:sz w:val="22"/>
    </w:rPr>
  </w:style>
  <w:style w:type="character" w:styleId="ListLabel183">
    <w:name w:val="ListLabel 183"/>
    <w:qFormat/>
    <w:rPr>
      <w:rFonts w:cs="Times New Roman"/>
      <w:b/>
      <w:color w:val="00000A"/>
      <w:sz w:val="22"/>
    </w:rPr>
  </w:style>
  <w:style w:type="character" w:styleId="ListLabel184">
    <w:name w:val="ListLabel 184"/>
    <w:qFormat/>
    <w:rPr>
      <w:rFonts w:cs="Times New Roman"/>
    </w:rPr>
  </w:style>
  <w:style w:type="character" w:styleId="ListLabel185">
    <w:name w:val="ListLabel 185"/>
    <w:qFormat/>
    <w:rPr>
      <w:rFonts w:cs="Wingdings"/>
      <w:sz w:val="22"/>
    </w:rPr>
  </w:style>
  <w:style w:type="character" w:styleId="ListLabel186">
    <w:name w:val="ListLabel 186"/>
    <w:qFormat/>
    <w:rPr>
      <w:rFonts w:cs="Wingdings"/>
      <w:sz w:val="24"/>
    </w:rPr>
  </w:style>
  <w:style w:type="character" w:styleId="ListLabel187">
    <w:name w:val="ListLabel 187"/>
    <w:qFormat/>
    <w:rPr>
      <w:rFonts w:cs="Wingdings"/>
      <w:sz w:val="22"/>
    </w:rPr>
  </w:style>
  <w:style w:type="character" w:styleId="ListLabel188">
    <w:name w:val="ListLabel 188"/>
    <w:qFormat/>
    <w:rPr>
      <w:rFonts w:cs="Wingdings"/>
      <w:sz w:val="22"/>
    </w:rPr>
  </w:style>
  <w:style w:type="character" w:styleId="ListLabel189">
    <w:name w:val="ListLabel 189"/>
    <w:qFormat/>
    <w:rPr>
      <w:rFonts w:cs="Times New Roman"/>
      <w:b/>
      <w:sz w:val="22"/>
    </w:rPr>
  </w:style>
  <w:style w:type="character" w:styleId="ListLabel190">
    <w:name w:val="ListLabel 190"/>
    <w:qFormat/>
    <w:rPr>
      <w:rFonts w:cs="Times New Roman"/>
    </w:rPr>
  </w:style>
  <w:style w:type="character" w:styleId="ListLabel191">
    <w:name w:val="ListLabel 191"/>
    <w:qFormat/>
    <w:rPr>
      <w:rFonts w:cs="Times New Roman"/>
    </w:rPr>
  </w:style>
  <w:style w:type="character" w:styleId="ListLabel192">
    <w:name w:val="ListLabel 192"/>
    <w:qFormat/>
    <w:rPr>
      <w:rFonts w:cs="Times New Roman"/>
    </w:rPr>
  </w:style>
  <w:style w:type="character" w:styleId="ListLabel193">
    <w:name w:val="ListLabel 193"/>
    <w:qFormat/>
    <w:rPr>
      <w:rFonts w:cs="Times New Roman"/>
    </w:rPr>
  </w:style>
  <w:style w:type="character" w:styleId="ListLabel194">
    <w:name w:val="ListLabel 194"/>
    <w:qFormat/>
    <w:rPr>
      <w:rFonts w:cs="Times New Roman"/>
    </w:rPr>
  </w:style>
  <w:style w:type="character" w:styleId="ListLabel195">
    <w:name w:val="ListLabel 195"/>
    <w:qFormat/>
    <w:rPr>
      <w:rFonts w:cs="Times New Roman"/>
    </w:rPr>
  </w:style>
  <w:style w:type="character" w:styleId="ListLabel196">
    <w:name w:val="ListLabel 196"/>
    <w:qFormat/>
    <w:rPr>
      <w:rFonts w:cs="Times New Roman"/>
    </w:rPr>
  </w:style>
  <w:style w:type="character" w:styleId="ListLabel197">
    <w:name w:val="ListLabel 197"/>
    <w:qFormat/>
    <w:rPr>
      <w:rFonts w:cs="Times New Roman"/>
    </w:rPr>
  </w:style>
  <w:style w:type="character" w:styleId="Symbolypreslovanie">
    <w:name w:val="Symboly pre číslovanie"/>
    <w:qFormat/>
    <w:rPr/>
  </w:style>
  <w:style w:type="character" w:styleId="ListLabel198">
    <w:name w:val="ListLabel 198"/>
    <w:qFormat/>
    <w:rPr>
      <w:color w:val="00000A"/>
      <w:sz w:val="22"/>
    </w:rPr>
  </w:style>
  <w:style w:type="character" w:styleId="ListLabel199">
    <w:name w:val="ListLabel 199"/>
    <w:qFormat/>
    <w:rPr>
      <w:rFonts w:cs="Wingdings"/>
      <w:color w:val="00000A"/>
      <w:sz w:val="22"/>
    </w:rPr>
  </w:style>
  <w:style w:type="character" w:styleId="ListLabel200">
    <w:name w:val="ListLabel 200"/>
    <w:qFormat/>
    <w:rPr>
      <w:rFonts w:cs="Times New Roman"/>
      <w:b/>
      <w:color w:val="00000A"/>
      <w:sz w:val="22"/>
    </w:rPr>
  </w:style>
  <w:style w:type="character" w:styleId="ListLabel201">
    <w:name w:val="ListLabel 201"/>
    <w:qFormat/>
    <w:rPr>
      <w:rFonts w:cs="Times New Roman"/>
    </w:rPr>
  </w:style>
  <w:style w:type="character" w:styleId="ListLabel202">
    <w:name w:val="ListLabel 202"/>
    <w:qFormat/>
    <w:rPr>
      <w:rFonts w:cs="Wingdings"/>
      <w:sz w:val="22"/>
    </w:rPr>
  </w:style>
  <w:style w:type="character" w:styleId="ListLabel203">
    <w:name w:val="ListLabel 203"/>
    <w:qFormat/>
    <w:rPr>
      <w:rFonts w:cs="Wingdings"/>
      <w:sz w:val="22"/>
    </w:rPr>
  </w:style>
  <w:style w:type="character" w:styleId="ListLabel204">
    <w:name w:val="ListLabel 204"/>
    <w:qFormat/>
    <w:rPr>
      <w:rFonts w:cs="Wingdings"/>
      <w:sz w:val="22"/>
    </w:rPr>
  </w:style>
  <w:style w:type="character" w:styleId="ListLabel205">
    <w:name w:val="ListLabel 205"/>
    <w:qFormat/>
    <w:rPr>
      <w:rFonts w:cs="Times New Roman"/>
      <w:b/>
      <w:sz w:val="22"/>
    </w:rPr>
  </w:style>
  <w:style w:type="character" w:styleId="ListLabel206">
    <w:name w:val="ListLabel 206"/>
    <w:qFormat/>
    <w:rPr>
      <w:rFonts w:cs="Times New Roman"/>
    </w:rPr>
  </w:style>
  <w:style w:type="character" w:styleId="ListLabel207">
    <w:name w:val="ListLabel 207"/>
    <w:qFormat/>
    <w:rPr>
      <w:rFonts w:cs="Times New Roman"/>
    </w:rPr>
  </w:style>
  <w:style w:type="character" w:styleId="ListLabel208">
    <w:name w:val="ListLabel 208"/>
    <w:qFormat/>
    <w:rPr>
      <w:rFonts w:cs="Times New Roman"/>
    </w:rPr>
  </w:style>
  <w:style w:type="character" w:styleId="ListLabel209">
    <w:name w:val="ListLabel 209"/>
    <w:qFormat/>
    <w:rPr>
      <w:rFonts w:cs="Times New Roman"/>
    </w:rPr>
  </w:style>
  <w:style w:type="character" w:styleId="ListLabel210">
    <w:name w:val="ListLabel 210"/>
    <w:qFormat/>
    <w:rPr>
      <w:rFonts w:cs="Times New Roman"/>
    </w:rPr>
  </w:style>
  <w:style w:type="character" w:styleId="ListLabel211">
    <w:name w:val="ListLabel 211"/>
    <w:qFormat/>
    <w:rPr>
      <w:rFonts w:cs="Times New Roman"/>
    </w:rPr>
  </w:style>
  <w:style w:type="character" w:styleId="ListLabel212">
    <w:name w:val="ListLabel 212"/>
    <w:qFormat/>
    <w:rPr>
      <w:rFonts w:cs="Times New Roman"/>
    </w:rPr>
  </w:style>
  <w:style w:type="character" w:styleId="ListLabel213">
    <w:name w:val="ListLabel 213"/>
    <w:qFormat/>
    <w:rPr>
      <w:rFonts w:cs="Times New Roman"/>
    </w:rPr>
  </w:style>
  <w:style w:type="character" w:styleId="ListLabel214">
    <w:name w:val="ListLabel 214"/>
    <w:qFormat/>
    <w:rPr>
      <w:color w:val="00000A"/>
      <w:sz w:val="22"/>
    </w:rPr>
  </w:style>
  <w:style w:type="character" w:styleId="ListLabel215">
    <w:name w:val="ListLabel 215"/>
    <w:qFormat/>
    <w:rPr>
      <w:rFonts w:cs="Times New Roman"/>
      <w:b/>
      <w:color w:val="00000A"/>
      <w:sz w:val="22"/>
    </w:rPr>
  </w:style>
  <w:style w:type="character" w:styleId="ListLabel216">
    <w:name w:val="ListLabel 216"/>
    <w:qFormat/>
    <w:rPr>
      <w:rFonts w:cs="Times New Roman"/>
    </w:rPr>
  </w:style>
  <w:style w:type="character" w:styleId="ListLabel217">
    <w:name w:val="ListLabel 217"/>
    <w:qFormat/>
    <w:rPr>
      <w:rFonts w:cs="Times New Roman"/>
      <w:b/>
      <w:sz w:val="22"/>
    </w:rPr>
  </w:style>
  <w:style w:type="character" w:styleId="ListLabel218">
    <w:name w:val="ListLabel 218"/>
    <w:qFormat/>
    <w:rPr>
      <w:rFonts w:cs="Times New Roman"/>
    </w:rPr>
  </w:style>
  <w:style w:type="character" w:styleId="ListLabel219">
    <w:name w:val="ListLabel 219"/>
    <w:qFormat/>
    <w:rPr>
      <w:rFonts w:cs="Times New Roman"/>
    </w:rPr>
  </w:style>
  <w:style w:type="character" w:styleId="ListLabel220">
    <w:name w:val="ListLabel 220"/>
    <w:qFormat/>
    <w:rPr>
      <w:rFonts w:cs="Times New Roman"/>
    </w:rPr>
  </w:style>
  <w:style w:type="character" w:styleId="ListLabel221">
    <w:name w:val="ListLabel 221"/>
    <w:qFormat/>
    <w:rPr>
      <w:rFonts w:cs="Times New Roman"/>
    </w:rPr>
  </w:style>
  <w:style w:type="character" w:styleId="ListLabel222">
    <w:name w:val="ListLabel 222"/>
    <w:qFormat/>
    <w:rPr>
      <w:rFonts w:cs="Times New Roman"/>
    </w:rPr>
  </w:style>
  <w:style w:type="character" w:styleId="ListLabel223">
    <w:name w:val="ListLabel 223"/>
    <w:qFormat/>
    <w:rPr>
      <w:rFonts w:cs="Times New Roman"/>
    </w:rPr>
  </w:style>
  <w:style w:type="character" w:styleId="ListLabel224">
    <w:name w:val="ListLabel 224"/>
    <w:qFormat/>
    <w:rPr>
      <w:rFonts w:cs="Times New Roman"/>
    </w:rPr>
  </w:style>
  <w:style w:type="character" w:styleId="ListLabel225">
    <w:name w:val="ListLabel 225"/>
    <w:qFormat/>
    <w:rPr>
      <w:rFonts w:cs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be0668"/>
    <w:pPr>
      <w:spacing w:before="0" w:after="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ac600f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ac600f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e000ab"/>
    <w:pPr/>
    <w:rPr>
      <w:rFonts w:ascii="Tahoma" w:hAnsi="Tahoma" w:cs="Tahoma"/>
      <w:sz w:val="16"/>
      <w:szCs w:val="16"/>
    </w:rPr>
  </w:style>
  <w:style w:type="paragraph" w:styleId="Normalpodnadpis">
    <w:name w:val="Normal,podnadpis"/>
    <w:qFormat/>
    <w:pPr>
      <w:widowControl/>
      <w:suppressAutoHyphens w:val="true"/>
      <w:bidi w:val="0"/>
      <w:spacing w:lineRule="auto" w:line="360" w:before="120" w:after="120"/>
      <w:ind w:left="0" w:right="0" w:hanging="0"/>
      <w:jc w:val="both"/>
      <w:textAlignment w:val="auto"/>
    </w:pPr>
    <w:rPr>
      <w:rFonts w:ascii="Arial Narrow" w:hAnsi="Arial Narrow" w:eastAsia="Arial" w:cs="Liberation Serif"/>
      <w:color w:val="000000"/>
      <w:sz w:val="20"/>
      <w:szCs w:val="24"/>
      <w:lang w:val="sk-SK" w:eastAsia="ar-SA" w:bidi="ar-SA"/>
    </w:rPr>
  </w:style>
  <w:style w:type="paragraph" w:styleId="Textopatrenia">
    <w:name w:val="Text opatrenia"/>
    <w:qFormat/>
    <w:pPr>
      <w:widowControl/>
      <w:tabs>
        <w:tab w:val="left" w:pos="2880" w:leader="none"/>
      </w:tabs>
      <w:suppressAutoHyphens w:val="true"/>
      <w:bidi w:val="0"/>
      <w:spacing w:before="120" w:after="120"/>
      <w:ind w:left="1440" w:right="0" w:hanging="360"/>
      <w:jc w:val="both"/>
      <w:textAlignment w:val="auto"/>
    </w:pPr>
    <w:rPr>
      <w:rFonts w:ascii="Arial Narrow" w:hAnsi="Arial Narrow" w:eastAsia="Arial" w:cs="Liberation Serif"/>
      <w:color w:val="000000"/>
      <w:sz w:val="22"/>
      <w:szCs w:val="24"/>
      <w:lang w:val="sk-SK" w:eastAsia="ar-SA" w:bidi="ar-SA"/>
    </w:rPr>
  </w:style>
  <w:style w:type="paragraph" w:styleId="NoSpacing">
    <w:name w:val="No Spacing"/>
    <w:qFormat/>
    <w:pPr>
      <w:widowControl/>
      <w:suppressAutoHyphens w:val="true"/>
      <w:bidi w:val="0"/>
      <w:ind w:left="0" w:right="0" w:hanging="0"/>
      <w:jc w:val="both"/>
      <w:textAlignment w:val="auto"/>
    </w:pPr>
    <w:rPr>
      <w:rFonts w:ascii="Arial Narrow" w:hAnsi="Arial Narrow" w:eastAsia="Arial" w:cs="Liberation Serif"/>
      <w:color w:val="000000"/>
      <w:sz w:val="20"/>
      <w:szCs w:val="24"/>
      <w:lang w:val="sk-SK" w:eastAsia="ar-SA" w:bidi="ar-SA"/>
    </w:rPr>
  </w:style>
  <w:style w:type="paragraph" w:styleId="TopHeader">
    <w:name w:val="Top Header"/>
    <w:basedOn w:val="Normalpodnadpis"/>
    <w:qFormat/>
    <w:pPr>
      <w:widowControl/>
      <w:bidi w:val="0"/>
      <w:spacing w:lineRule="auto" w:line="360" w:before="120" w:after="120"/>
      <w:ind w:left="0" w:right="0" w:hanging="0"/>
      <w:jc w:val="center"/>
      <w:textAlignment w:val="auto"/>
    </w:pPr>
    <w:rPr>
      <w:rFonts w:ascii="Arial Narrow" w:hAnsi="Arial Narrow" w:eastAsia="Times New Roman"/>
      <w:b/>
      <w:sz w:val="22"/>
      <w:lang w:val="sk-SK" w:eastAsia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EFE3A0-B026-410D-9803-3AE8AB5E2B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1366</TotalTime>
  <Application>LibreOffice/5.3.4.2$Windows_x86 LibreOffice_project/f82d347ccc0be322489bf7da61d7e4ad13fe2ff3</Application>
  <Pages>8</Pages>
  <Words>1367</Words>
  <Characters>8621</Characters>
  <CharactersWithSpaces>9767</CharactersWithSpaces>
  <Paragraphs>308</Paragraphs>
  <Company>rvc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2017-03-19T13:51:00Z</dcterms:created>
  <dc:creator>uctovnictvo</dc:creator>
  <dc:description/>
  <dc:language>sk-SK</dc:language>
  <cp:lastModifiedBy/>
  <cp:lastPrinted>2025-03-11T14:37:48Z</cp:lastPrinted>
  <dcterms:modified xsi:type="dcterms:W3CDTF">2025-03-11T08:51:11Z</dcterms:modified>
  <cp:revision>175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rvc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