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Default"/>
        <w:rPr>
          <w:b/>
          <w:bCs/>
          <w:sz w:val="28"/>
          <w:szCs w:val="28"/>
        </w:rPr>
      </w:pPr>
      <w:r>
        <w:rPr>
          <w:rFonts w:cs="Helvetica" w:ascii="Helvetica" w:hAnsi="Helvetica"/>
          <w:color w:val="1C1E21"/>
          <w:sz w:val="20"/>
          <w:szCs w:val="20"/>
          <w:shd w:fill="F2F3F5" w:val="clear"/>
        </w:rPr>
        <w:t>2</w:t>
      </w:r>
      <w:r>
        <w:rPr/>
        <w:t xml:space="preserve">                                       </w:t>
      </w:r>
      <w:r>
        <w:rPr>
          <w:b/>
          <w:bCs/>
          <w:sz w:val="28"/>
          <w:szCs w:val="28"/>
        </w:rPr>
        <w:t xml:space="preserve">Poznámky k 31.12.2024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Sokol trade spol. s r.o.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6.3.2025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6.3.2025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Sokol trade spol. s r.o.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Sídlo: Lermontova 3, Bratislava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5.4.,2006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vzniku: 5.4.2006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Opis hospodárskej činnosti účtovnej jednotky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Predmet činnosti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maloobchod a veľkoobchod v rozsahu voľných živností,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 xml:space="preserve">sprostredkovanie obchodu v rozsahu voľných živností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Inžinierska činnosť a súvisiace poradenstvo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vedenie účtovníctva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ekonomické organizačné a účtovné poradenstvo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výroba jedov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 xml:space="preserve">výskum a vývoj v oblasti prírodných, technických a enviromentálnych vied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spracovávanie projektov na získanie finančných prostriedkov z fondov EU v rozsahu voľných živností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neúradné technické a chemické analýzy, testovanie a meranie v rozsahu voľných živností , technické štúdie, analýzy, recenzie, posudky a poradenstvo v rozsahu voľných živností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 xml:space="preserve">organizovanie kurzov, školení, a seminárov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prekladateľské a tlmočnícke služby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reklamná, inzertná a propagačná činnosť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organizovanie kultúrnych, športových a spoločenských podujatí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vydavateľská činnosť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kancelárske a sekretárske služby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kopírovacie a rozmnožovacie služby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podnikateľské poradenstvo v rozsahu voľných živností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 xml:space="preserve">prieskum trhu a verejnej mienky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 xml:space="preserve">sprostredkovanie predaja, prenájmu, a kúpy nehnuteľnosti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/>
        <w:t>faktoring a forfaiting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prípravné práce k realizácii stavby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 xml:space="preserve">uskutočňovanie stavieb a ich zmien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dokončovacie stavebné práce pri realizácii exteriérov a interiérov.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vypracovanie dokumentácie a projektovanie jednoduchých stavieb, drobných stavieb a zmien týchto stavieb – stavebná časť</w:t>
      </w:r>
      <w:r>
        <w:rPr>
          <w:b/>
          <w:bCs/>
          <w:sz w:val="23"/>
          <w:szCs w:val="23"/>
        </w:rPr>
        <w:t xml:space="preserve">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prípravné práce k realizácii stavby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 xml:space="preserve">uskutočňovanie stavieb a ich zmien 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dokončovacie stavebné práce pri realizácii exteriérov a interiérov.</w:t>
      </w:r>
    </w:p>
    <w:p>
      <w:pPr>
        <w:pStyle w:val="Odsekzoznamu1"/>
        <w:numPr>
          <w:ilvl w:val="0"/>
          <w:numId w:val="1"/>
        </w:numPr>
        <w:jc w:val="both"/>
        <w:rPr/>
      </w:pPr>
      <w:r>
        <w:rPr>
          <w:lang w:eastAsia="sk-SK"/>
        </w:rPr>
        <w:t>vypracovanie dokumentácie a projektovanie jednoduchých stavieb, drobných stavieb a zmien týchto stavieb – stavebná časť</w:t>
      </w:r>
    </w:p>
    <w:tbl>
      <w:tblPr>
        <w:tblW w:w="7596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596"/>
      </w:tblGrid>
      <w:tr>
        <w:trPr>
          <w:trHeight w:val="107" w:hRule="atLeast"/>
        </w:trPr>
        <w:tc>
          <w:tcPr>
            <w:tcW w:w="7596" w:type="dxa"/>
            <w:tcBorders/>
          </w:tcPr>
          <w:p>
            <w:pPr>
              <w:pStyle w:val="Normal"/>
              <w:spacing w:lineRule="auto" w:line="240" w:before="0" w:after="0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Od 1.10.2021 bola vykonaná zmena v Obchodnom registri – zrušení boli dvaja spoločníci /  Ing. Jozef Sokol CSc. a Ing. Mária Sokolová /</w:t>
            </w:r>
          </w:p>
          <w:p>
            <w:pPr>
              <w:pStyle w:val="Normal"/>
              <w:spacing w:lineRule="auto" w:line="240" w:before="0" w:after="0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Ing. Martin Sokol je sám spoločník a konateľ spoločnosti  Sokol trade spol  s r.o.</w:t>
            </w:r>
          </w:p>
          <w:p>
            <w:pPr>
              <w:pStyle w:val="Normal"/>
              <w:spacing w:lineRule="auto" w:line="240" w:before="0" w:after="0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</w:r>
          </w:p>
        </w:tc>
      </w:tr>
    </w:tbl>
    <w:p>
      <w:pPr>
        <w:pStyle w:val="Default"/>
        <w:rPr/>
      </w:pPr>
      <w:r>
        <w:rPr/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Spôsob ocenenia jednotlivých položiek. 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Dlhodobý nehmotný majetok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>
      <w:pPr>
        <w:pStyle w:val="Normal"/>
        <w:rPr/>
      </w:pPr>
      <w:r>
        <w:rPr/>
        <w:t>iné</w:t>
      </w:r>
    </w:p>
    <w:p>
      <w:pPr>
        <w:pStyle w:val="Default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Dlhodobý hmotný majetok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>
      <w:pPr>
        <w:pStyle w:val="Normal"/>
        <w:rPr/>
      </w:pPr>
      <w:r>
        <w:rPr/>
        <w:t>poistné</w:t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c) Dlhodobý nehmotný majetok a dlhodobý hmotný majetok získaný bezodplatne </w:t>
      </w:r>
      <w:r>
        <w:rPr>
          <w:sz w:val="23"/>
          <w:szCs w:val="23"/>
        </w:rPr>
        <w:t xml:space="preserve">sa oceňuje reprodukčnou obstarávacou cenou.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d) Dlhodobý finančný majetok </w:t>
      </w:r>
      <w:r>
        <w:rPr>
          <w:sz w:val="23"/>
          <w:szCs w:val="23"/>
        </w:rPr>
        <w:t xml:space="preserve">sa oceňuje obstarávacou cenou.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majetok obstaral a náklady súvisiace s jeho obstaraním. </w:t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e) Zásoby nakupované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zásoby obstarali a náklady súvisiace s ich obstaraním. Vyskytujúce sa náklady súvisiace s obstaraním v účtovnej jednotke: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provízie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clo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f) Zásoby získané bezodplatne </w:t>
      </w:r>
      <w:r>
        <w:rPr>
          <w:sz w:val="23"/>
          <w:szCs w:val="23"/>
        </w:rPr>
        <w:t xml:space="preserve">sa oceňujú reprodukčnou obstarávacou cenou.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g) Krátkodobý finančný majetok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sa oceňujú ich menovitou hodnotou. Zníženie ich hodnoty sa vyjadruje opravnou položkou.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h) Záväzky, vrátane rezerv, dlhopisov, pôžičiek a úverov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</w:t>
      </w:r>
      <w:r>
        <w:rPr>
          <w:b/>
          <w:bCs/>
          <w:sz w:val="23"/>
          <w:szCs w:val="23"/>
        </w:rPr>
        <w:t>Čl. 2</w:t>
      </w:r>
    </w:p>
    <w:p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>A/ Významné informácie týkajúce sa účtovnej jednotky</w:t>
      </w:r>
    </w:p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7"/>
        <w:gridCol w:w="2626"/>
        <w:gridCol w:w="2409"/>
      </w:tblGrid>
      <w:tr>
        <w:trPr/>
        <w:tc>
          <w:tcPr>
            <w:tcW w:w="4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Názov položky</w:t>
            </w:r>
          </w:p>
        </w:tc>
        <w:tc>
          <w:tcPr>
            <w:tcW w:w="26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Stav k 1.1.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Stav k 31.12.</w:t>
            </w:r>
          </w:p>
        </w:tc>
      </w:tr>
      <w:tr>
        <w:trPr>
          <w:trHeight w:val="397" w:hRule="exact"/>
        </w:trPr>
        <w:tc>
          <w:tcPr>
            <w:tcW w:w="40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  <w:t>Pokladnica</w:t>
            </w:r>
          </w:p>
        </w:tc>
        <w:tc>
          <w:tcPr>
            <w:tcW w:w="2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>
              <w:rPr>
                <w:bCs/>
              </w:rPr>
              <w:t>274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               </w:t>
            </w:r>
            <w:r>
              <w:rPr>
                <w:bCs/>
              </w:rPr>
              <w:t>0</w:t>
            </w:r>
          </w:p>
        </w:tc>
      </w:tr>
      <w:tr>
        <w:trPr>
          <w:trHeight w:val="526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Bežné účty v banke alebo v pobočke zahraničnej banky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</w:rPr>
            </w:pPr>
            <w:r>
              <w:rPr>
                <w:bCs/>
              </w:rPr>
              <w:t>1544,07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</w:rPr>
            </w:pPr>
            <w:r>
              <w:rPr>
                <w:bCs/>
              </w:rPr>
              <w:t>171,38</w:t>
            </w:r>
          </w:p>
        </w:tc>
      </w:tr>
      <w:tr>
        <w:trPr>
          <w:trHeight w:val="576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Ceniny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                      </w:t>
            </w:r>
            <w:r>
              <w:rPr>
                <w:bCs/>
              </w:rPr>
              <w:t>0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                   </w:t>
            </w:r>
            <w:r>
              <w:rPr>
                <w:bCs/>
              </w:rPr>
              <w:t>0</w:t>
            </w:r>
          </w:p>
        </w:tc>
      </w:tr>
    </w:tbl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p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7"/>
        <w:gridCol w:w="2626"/>
        <w:gridCol w:w="2409"/>
      </w:tblGrid>
      <w:tr>
        <w:trPr/>
        <w:tc>
          <w:tcPr>
            <w:tcW w:w="4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Názov položky</w:t>
            </w:r>
          </w:p>
        </w:tc>
        <w:tc>
          <w:tcPr>
            <w:tcW w:w="26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Stav k 1.1.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Stav k 31.12.</w:t>
            </w:r>
          </w:p>
        </w:tc>
      </w:tr>
      <w:tr>
        <w:trPr>
          <w:trHeight w:val="397" w:hRule="exact"/>
        </w:trPr>
        <w:tc>
          <w:tcPr>
            <w:tcW w:w="40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  <w:t>Pohľadávky</w:t>
            </w:r>
          </w:p>
        </w:tc>
        <w:tc>
          <w:tcPr>
            <w:tcW w:w="26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195 591,95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140 121,67</w:t>
            </w:r>
          </w:p>
        </w:tc>
      </w:tr>
      <w:tr>
        <w:trPr>
          <w:trHeight w:val="526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Preddavky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bCs/>
              </w:rPr>
              <w:t>15 688,47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>
        <w:trPr>
          <w:trHeight w:val="576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Záväzky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39 285,82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47 007,11</w:t>
            </w:r>
          </w:p>
        </w:tc>
      </w:tr>
      <w:tr>
        <w:trPr>
          <w:trHeight w:val="397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Záväzky voči zamestnancom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960,61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</w:t>
            </w:r>
            <w:r>
              <w:rPr>
                <w:bCs/>
              </w:rPr>
              <w:t>0</w:t>
            </w:r>
          </w:p>
        </w:tc>
      </w:tr>
      <w:tr>
        <w:trPr>
          <w:trHeight w:val="433" w:hRule="exact"/>
        </w:trPr>
        <w:tc>
          <w:tcPr>
            <w:tcW w:w="40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Záväzky voči úradom soc.zabez.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6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1095,41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>
      <w:pPr>
        <w:pStyle w:val="Default"/>
        <w:jc w:val="both"/>
        <w:rPr>
          <w:rFonts w:ascii="Arial" w:hAnsi="Arial" w:cs="Arial"/>
          <w:bCs/>
          <w:sz w:val="20"/>
          <w:szCs w:val="20"/>
        </w:rPr>
      </w:pPr>
      <w:r>
        <w:rPr>
          <w:rFonts w:cs="Arial" w:ascii="Arial" w:hAnsi="Arial"/>
          <w:bCs/>
          <w:sz w:val="20"/>
          <w:szCs w:val="20"/>
        </w:rPr>
      </w:r>
    </w:p>
    <w:p>
      <w:pPr>
        <w:pStyle w:val="Normal"/>
        <w:rPr/>
      </w:pPr>
      <w:r>
        <w:rPr/>
      </w:r>
    </w:p>
    <w:p>
      <w:pPr>
        <w:pStyle w:val="Normal"/>
        <w:jc w:val="both"/>
        <w:rPr>
          <w:b/>
        </w:rPr>
      </w:pPr>
      <w:r>
        <w:rPr>
          <w:b/>
        </w:rPr>
        <w:t xml:space="preserve"> </w:t>
      </w:r>
      <w:r>
        <w:rPr>
          <w:b/>
        </w:rPr>
        <w:t xml:space="preserve">Finančná výpomoc spoločníka 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Účet 365  ostatné záväzky voči spoloč. a člen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  </w:t>
            </w:r>
            <w:r>
              <w:rPr/>
              <w:t>86 950,24 EUR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</w:rPr>
      </w:pPr>
      <w:r>
        <w:rPr>
          <w:b/>
        </w:rPr>
        <w:t xml:space="preserve">Výška základného imania 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411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         </w:t>
            </w:r>
            <w:r>
              <w:rPr/>
              <w:t>6 670 EUR</w:t>
            </w:r>
          </w:p>
        </w:tc>
      </w:tr>
    </w:tbl>
    <w:p>
      <w:pPr>
        <w:pStyle w:val="Normal"/>
        <w:rPr/>
      </w:pPr>
      <w:r>
        <w:rPr/>
      </w:r>
    </w:p>
    <w:tbl>
      <w:tblPr>
        <w:tblW w:w="365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16"/>
        <w:gridCol w:w="2605"/>
      </w:tblGrid>
      <w:tr>
        <w:trPr>
          <w:trHeight w:val="455" w:hRule="atLeast"/>
        </w:trPr>
        <w:tc>
          <w:tcPr>
            <w:tcW w:w="40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  <w:t>Názov položky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jc w:val="both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0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  <w:t>Výnosy</w:t>
            </w:r>
          </w:p>
        </w:tc>
        <w:tc>
          <w:tcPr>
            <w:tcW w:w="26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 xml:space="preserve">    </w:t>
            </w:r>
            <w:r>
              <w:rPr>
                <w:bCs/>
              </w:rPr>
              <w:t>9 860,74</w:t>
            </w:r>
          </w:p>
        </w:tc>
      </w:tr>
      <w:tr>
        <w:trPr>
          <w:trHeight w:val="526" w:hRule="exact"/>
        </w:trPr>
        <w:tc>
          <w:tcPr>
            <w:tcW w:w="40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Náklady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</w:rPr>
            </w:pPr>
            <w:r>
              <w:rPr>
                <w:bCs/>
              </w:rPr>
              <w:t>139 043,28</w:t>
            </w:r>
          </w:p>
        </w:tc>
      </w:tr>
      <w:tr>
        <w:trPr>
          <w:trHeight w:val="576" w:hRule="exact"/>
        </w:trPr>
        <w:tc>
          <w:tcPr>
            <w:tcW w:w="40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Strata/Zisk</w:t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  <w:t>-129182,64</w:t>
            </w:r>
          </w:p>
        </w:tc>
      </w:tr>
      <w:tr>
        <w:trPr>
          <w:trHeight w:val="397" w:hRule="exact"/>
        </w:trPr>
        <w:tc>
          <w:tcPr>
            <w:tcW w:w="40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</w:r>
          </w:p>
        </w:tc>
      </w:tr>
      <w:tr>
        <w:trPr>
          <w:trHeight w:val="397" w:hRule="exact"/>
        </w:trPr>
        <w:tc>
          <w:tcPr>
            <w:tcW w:w="40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</w:r>
          </w:p>
        </w:tc>
        <w:tc>
          <w:tcPr>
            <w:tcW w:w="26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bCs/>
              </w:rPr>
            </w:pPr>
            <w:r>
              <w:rPr>
                <w:bCs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>
          <w:b/>
        </w:rPr>
        <w:t xml:space="preserve">                                                                        </w:t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501 010  spotreba materiálu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 xml:space="preserve">   </w:t>
            </w:r>
            <w:r>
              <w:rPr/>
              <w:t>9 247,75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501 107 benzín pracovný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 xml:space="preserve">      </w:t>
            </w:r>
            <w:r>
              <w:rPr/>
              <w:t>503,87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518018 ostatné služby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 xml:space="preserve">     </w:t>
            </w:r>
            <w:r>
              <w:rPr/>
              <w:t>347,28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521  Mzdové náklady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</w:t>
            </w:r>
            <w:r>
              <w:rPr/>
              <w:t>10 167,99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524001 Sociálne náklady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</w:t>
            </w:r>
            <w:r>
              <w:rPr/>
              <w:t>2 556,26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524 003 Zdravotné poistenie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   </w:t>
            </w:r>
            <w:r>
              <w:rPr/>
              <w:t>828,62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527  Zákonne sociálne náklady</w:t>
            </w:r>
          </w:p>
          <w:tbl>
            <w:tblPr>
              <w:tblW w:w="5800" w:type="dxa"/>
              <w:jc w:val="left"/>
              <w:tblInd w:w="0" w:type="dxa"/>
              <w:tblLayout w:type="fixed"/>
              <w:tblCellMar>
                <w:top w:w="0" w:type="dxa"/>
                <w:left w:w="70" w:type="dxa"/>
                <w:bottom w:w="0" w:type="dxa"/>
                <w:right w:w="70" w:type="dxa"/>
              </w:tblCellMar>
            </w:tblPr>
            <w:tblGrid>
              <w:gridCol w:w="5800"/>
            </w:tblGrid>
            <w:tr>
              <w:trPr>
                <w:trHeight w:val="300" w:hRule="atLeast"/>
              </w:trPr>
              <w:tc>
                <w:tcPr>
                  <w:tcW w:w="5800" w:type="dxa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  <w:vAlign w:val="bottom"/>
                </w:tcPr>
                <w:p>
                  <w:pPr>
                    <w:pStyle w:val="Normal"/>
                    <w:spacing w:lineRule="auto" w:line="240" w:before="0" w:after="0"/>
                    <w:rPr>
                      <w:b w:val="false"/>
                      <w:bCs w:val="false"/>
                    </w:rPr>
                  </w:pPr>
                  <w:r>
                    <w:rPr>
                      <w:rFonts w:cs="Calibri"/>
                      <w:b w:val="false"/>
                      <w:bCs w:val="false"/>
                      <w:color w:val="000000"/>
                      <w:lang w:eastAsia="sk-SK"/>
                    </w:rPr>
                    <w:t>568400 poistné auto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5800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Calibri"/>
                      <w:b w:val="false"/>
                      <w:bCs w:val="false"/>
                      <w:color w:val="000000"/>
                      <w:lang w:eastAsia="sk-SK"/>
                    </w:rPr>
                  </w:pPr>
                  <w:r>
                    <w:rPr>
                      <w:rFonts w:cs="Calibri"/>
                      <w:b w:val="false"/>
                      <w:bCs w:val="false"/>
                      <w:color w:val="000000"/>
                      <w:lang w:eastAsia="sk-SK"/>
                    </w:rPr>
                  </w:r>
                </w:p>
              </w:tc>
            </w:tr>
          </w:tbl>
          <w:p>
            <w:pPr>
              <w:pStyle w:val="Normal"/>
              <w:spacing w:before="0" w:after="200"/>
              <w:rPr/>
            </w:pPr>
            <w:r>
              <w:rPr/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  </w:t>
            </w:r>
            <w:r>
              <w:rPr/>
              <w:t>559,99 EUR</w:t>
            </w:r>
          </w:p>
          <w:tbl>
            <w:tblPr>
              <w:tblW w:w="5800" w:type="dxa"/>
              <w:jc w:val="left"/>
              <w:tblInd w:w="0" w:type="dxa"/>
              <w:tblLayout w:type="fixed"/>
              <w:tblCellMar>
                <w:top w:w="0" w:type="dxa"/>
                <w:left w:w="70" w:type="dxa"/>
                <w:bottom w:w="0" w:type="dxa"/>
                <w:right w:w="70" w:type="dxa"/>
              </w:tblCellMar>
            </w:tblPr>
            <w:tblGrid>
              <w:gridCol w:w="5800"/>
            </w:tblGrid>
            <w:tr>
              <w:trPr>
                <w:trHeight w:val="300" w:hRule="atLeast"/>
              </w:trPr>
              <w:tc>
                <w:tcPr>
                  <w:tcW w:w="5800" w:type="dxa"/>
                  <w:tcBorders>
                    <w:top w:val="single" w:sz="4" w:space="0" w:color="000000"/>
                    <w:left w:val="single" w:sz="4" w:space="0" w:color="000000"/>
                    <w:right w:val="single" w:sz="4" w:space="0" w:color="000000"/>
                  </w:tcBorders>
                  <w:vAlign w:val="bottom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Calibri"/>
                      <w:b/>
                      <w:color w:val="000000"/>
                      <w:lang w:eastAsia="sk-SK"/>
                    </w:rPr>
                  </w:pPr>
                  <w:r>
                    <w:rPr>
                      <w:rFonts w:cs="Calibri"/>
                      <w:b/>
                      <w:color w:val="000000"/>
                      <w:lang w:eastAsia="sk-SK"/>
                    </w:rPr>
                    <w:t xml:space="preserve">      </w:t>
                  </w:r>
                  <w:r>
                    <w:rPr>
                      <w:rFonts w:cs="Calibri"/>
                      <w:b/>
                      <w:color w:val="000000"/>
                      <w:lang w:eastAsia="sk-SK"/>
                    </w:rPr>
                    <w:t>222,83 EUR</w:t>
                  </w:r>
                </w:p>
              </w:tc>
            </w:tr>
            <w:tr>
              <w:trPr>
                <w:trHeight w:val="300" w:hRule="atLeast"/>
              </w:trPr>
              <w:tc>
                <w:tcPr>
                  <w:tcW w:w="5800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bottom"/>
                </w:tcPr>
                <w:p>
                  <w:pPr>
                    <w:pStyle w:val="Normal"/>
                    <w:spacing w:lineRule="auto" w:line="240" w:before="0" w:after="0"/>
                    <w:rPr>
                      <w:rFonts w:cs="Calibri"/>
                      <w:b/>
                      <w:color w:val="000000"/>
                      <w:lang w:eastAsia="sk-SK"/>
                    </w:rPr>
                  </w:pPr>
                  <w:r>
                    <w:rPr>
                      <w:rFonts w:cs="Calibri"/>
                      <w:b/>
                      <w:color w:val="000000"/>
                      <w:lang w:eastAsia="sk-SK"/>
                    </w:rPr>
                  </w:r>
                </w:p>
              </w:tc>
            </w:tr>
          </w:tbl>
          <w:p>
            <w:pPr>
              <w:pStyle w:val="Normal"/>
              <w:spacing w:before="0" w:after="200"/>
              <w:rPr/>
            </w:pPr>
            <w:r>
              <w:rPr/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538 Poplatky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widowControl w:val="false"/>
              <w:suppressLineNumbers/>
              <w:spacing w:before="0" w:after="200"/>
              <w:rPr/>
            </w:pPr>
            <w:r>
              <w:rPr/>
              <w:t xml:space="preserve">       </w:t>
            </w:r>
            <w:r>
              <w:rPr/>
              <w:t>109     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 xml:space="preserve"> </w:t>
            </w:r>
            <w:r>
              <w:rPr>
                <w:rFonts w:cs="Calibri"/>
                <w:b/>
                <w:color w:val="000000"/>
                <w:lang w:eastAsia="sk-SK"/>
              </w:rPr>
              <w:t>24 543,59  EUR</w:t>
            </w:r>
          </w:p>
        </w:tc>
      </w:tr>
    </w:tbl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Odpočítatelné náklady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11</w:t>
            </w:r>
            <w:r>
              <w:rPr/>
              <w:t>4 499,69</w:t>
            </w:r>
            <w:r>
              <w:rPr/>
              <w:t xml:space="preserve"> EUR</w:t>
            </w:r>
          </w:p>
        </w:tc>
      </w:tr>
    </w:tbl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6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602 z predaja služieb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6505,13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604 tržby za tovar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3326,95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648  ostatné výnosy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202,47  EUR</w:t>
            </w:r>
          </w:p>
        </w:tc>
      </w:tr>
      <w:tr>
        <w:trPr/>
        <w:tc>
          <w:tcPr>
            <w:tcW w:w="453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SPOLU</w:t>
            </w:r>
          </w:p>
        </w:tc>
        <w:tc>
          <w:tcPr>
            <w:tcW w:w="45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10 034,55</w:t>
            </w:r>
          </w:p>
        </w:tc>
      </w:tr>
    </w:tbl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5"/>
        <w:gridCol w:w="4537"/>
      </w:tblGrid>
      <w:tr>
        <w:trPr/>
        <w:tc>
          <w:tcPr>
            <w:tcW w:w="4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>Pripočítatelná položka /odpísané záväzky/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rPr/>
            </w:pPr>
            <w:r>
              <w:rPr/>
              <w:t xml:space="preserve"> </w:t>
            </w:r>
            <w:r>
              <w:rPr/>
              <w:t>-173,81  EUR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tbl>
      <w:tblPr>
        <w:tblW w:w="5000" w:type="pct"/>
        <w:jc w:val="left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536"/>
        <w:gridCol w:w="4536"/>
      </w:tblGrid>
      <w:tr>
        <w:trPr/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Obsahtabuky"/>
              <w:spacing w:before="0" w:after="200"/>
              <w:jc w:val="lef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SPOLU TRŽBY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Obsahtabuky"/>
              <w:spacing w:before="0" w:after="200"/>
              <w:jc w:val="left"/>
              <w:rPr>
                <w:rFonts w:ascii="Liberation Serif" w:hAnsi="Liberation Serif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Liberation Serif" w:hAnsi="Liberation Serif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9860,74 EUR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  <w:bookmarkStart w:id="0" w:name="_GoBack"/>
      <w:bookmarkStart w:id="1" w:name="_GoBack"/>
      <w:bookmarkEnd w:id="1"/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Helvetica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DejaVu Sans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b10888"/>
    <w:pPr>
      <w:widowControl/>
      <w:suppressAutoHyphens w:val="true"/>
      <w:bidi w:val="0"/>
      <w:spacing w:lineRule="auto" w:line="276" w:before="0" w:after="200"/>
      <w:jc w:val="left"/>
    </w:pPr>
    <w:rPr>
      <w:rFonts w:ascii="Arial" w:hAnsi="Arial" w:eastAsia="Times New Roman" w:cs="Times New Roman" w:ascii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a20864"/>
    <w:rPr>
      <w:rFonts w:ascii="Segoe UI" w:hAnsi="Segoe UI" w:eastAsia="Times New Roman" w:cs="Segoe UI"/>
      <w:sz w:val="18"/>
      <w:szCs w:val="18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Default" w:customStyle="1">
    <w:name w:val="Default"/>
    <w:qFormat/>
    <w:rsid w:val="00b10888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Odsekzoznamu1" w:customStyle="1">
    <w:name w:val="Odsek zoznamu1"/>
    <w:basedOn w:val="Normal"/>
    <w:qFormat/>
    <w:rsid w:val="00b10888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b10888"/>
    <w:pPr>
      <w:spacing w:lineRule="auto" w:line="240" w:before="0" w:after="0"/>
      <w:jc w:val="center"/>
    </w:pPr>
    <w:rPr>
      <w:rFonts w:ascii="Arial Narrow" w:hAnsi="Arial Narrow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a20864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Application>LibreOffice/24.2.3.2$Windows_X86_64 LibreOffice_project/433d9c2ded56988e8a90e6b2e771ee4e6a5ab2ba</Application>
  <AppVersion>15.0000</AppVersion>
  <Pages>5</Pages>
  <Words>763</Words>
  <Characters>4493</Characters>
  <CharactersWithSpaces>5465</CharactersWithSpaces>
  <Paragraphs>154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2024-03-12T14:51:00Z</dcterms:created>
  <dc:creator>admin</dc:creator>
  <dc:description/>
  <dc:language>sk-SK</dc:language>
  <cp:lastModifiedBy/>
  <cp:lastPrinted>2022-03-12T17:36:00Z</cp:lastPrinted>
  <dcterms:modified xsi:type="dcterms:W3CDTF">2025-03-11T16:54:44Z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