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Poznámky </w:t>
      </w:r>
      <w:proofErr w:type="spellStart"/>
      <w:r>
        <w:rPr>
          <w:rFonts w:ascii="ArialMT" w:hAnsi="ArialMT" w:cs="ArialMT"/>
        </w:rPr>
        <w:t>Úč</w:t>
      </w:r>
      <w:proofErr w:type="spellEnd"/>
      <w:r>
        <w:rPr>
          <w:rFonts w:ascii="ArialMT" w:hAnsi="ArialMT" w:cs="ArialMT"/>
        </w:rPr>
        <w:t xml:space="preserve"> MÚJ 3 – 01                                   </w:t>
      </w:r>
      <w:r w:rsidR="006256D6">
        <w:rPr>
          <w:rFonts w:ascii="ArialMT" w:hAnsi="ArialMT" w:cs="ArialMT"/>
        </w:rPr>
        <w:t xml:space="preserve">     </w:t>
      </w:r>
      <w:r>
        <w:rPr>
          <w:rFonts w:ascii="ArialMT" w:hAnsi="ArialMT" w:cs="ArialMT"/>
        </w:rPr>
        <w:t>IČO: 48201634                       DIČ:2120190105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W w:w="9276" w:type="dxa"/>
        <w:tblInd w:w="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76"/>
      </w:tblGrid>
      <w:tr w:rsidR="005E5625" w:rsidTr="005E5625">
        <w:trPr>
          <w:trHeight w:val="1596"/>
        </w:trPr>
        <w:tc>
          <w:tcPr>
            <w:tcW w:w="9276" w:type="dxa"/>
            <w:vAlign w:val="center"/>
          </w:tcPr>
          <w:p w:rsidR="005E5625" w:rsidRDefault="005E5625" w:rsidP="005E5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-Bold" w:hAnsi="DejaVuSansCondensed-Bold" w:cs="DejaVuSansCondensed-Bold"/>
                <w:b/>
                <w:bCs/>
              </w:rPr>
            </w:pPr>
            <w:r>
              <w:rPr>
                <w:rFonts w:ascii="DejaVuSansCondensed-Bold" w:hAnsi="DejaVuSansCondensed-Bold" w:cs="DejaVuSansCondensed-Bold"/>
                <w:b/>
                <w:bCs/>
              </w:rPr>
              <w:t xml:space="preserve">Poznámky k </w:t>
            </w:r>
            <w:proofErr w:type="spellStart"/>
            <w:r>
              <w:rPr>
                <w:rFonts w:ascii="DejaVuSansCondensed-Bold" w:hAnsi="DejaVuSansCondensed-Bold" w:cs="DejaVuSansCondensed-Bold"/>
                <w:b/>
                <w:bCs/>
              </w:rPr>
              <w:t>mik</w:t>
            </w:r>
            <w:r w:rsidR="00CC70B7">
              <w:rPr>
                <w:rFonts w:ascii="DejaVuSansCondensed-Bold" w:hAnsi="DejaVuSansCondensed-Bold" w:cs="DejaVuSansCondensed-Bold"/>
                <w:b/>
                <w:bCs/>
              </w:rPr>
              <w:t>ro</w:t>
            </w:r>
            <w:proofErr w:type="spellEnd"/>
            <w:r w:rsidR="00CC70B7">
              <w:rPr>
                <w:rFonts w:ascii="DejaVuSansCondensed-Bold" w:hAnsi="DejaVuSansCondensed-Bold" w:cs="DejaVuSansCondensed-Bold"/>
                <w:b/>
                <w:bCs/>
              </w:rPr>
              <w:t xml:space="preserve"> účtovnej závierke za rok 2024</w:t>
            </w:r>
          </w:p>
          <w:p w:rsidR="005E5625" w:rsidRDefault="005E5625" w:rsidP="005E5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 xml:space="preserve">zostavené podľa Opatrenia Ministerstva financií SR </w:t>
            </w:r>
            <w:proofErr w:type="spellStart"/>
            <w:r>
              <w:rPr>
                <w:rFonts w:ascii="DejaVuSansCondensed" w:hAnsi="DejaVuSansCondensed" w:cs="DejaVuSansCondensed"/>
              </w:rPr>
              <w:t>č.MF</w:t>
            </w:r>
            <w:proofErr w:type="spellEnd"/>
            <w:r>
              <w:rPr>
                <w:rFonts w:ascii="DejaVuSansCondensed" w:hAnsi="DejaVuSansCondensed" w:cs="DejaVuSansCondensed"/>
              </w:rPr>
              <w:t>/15464/2013-74, ktorým sa</w:t>
            </w:r>
          </w:p>
          <w:p w:rsidR="005E5625" w:rsidRDefault="005E5625" w:rsidP="005E5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>ustanovujú podrobnosti o usporiadaní, označovaní a obsahovom vymedzení položiek</w:t>
            </w:r>
          </w:p>
          <w:p w:rsidR="005E5625" w:rsidRDefault="005E5625" w:rsidP="005E5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>individuálnej účtovnej závierky a rozsahu údajov určených z individuálnej účtovnej závierky</w:t>
            </w:r>
          </w:p>
          <w:p w:rsidR="005E5625" w:rsidRDefault="005E5625" w:rsidP="005E5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 xml:space="preserve">na zverejnenie pre </w:t>
            </w:r>
            <w:proofErr w:type="spellStart"/>
            <w:r>
              <w:rPr>
                <w:rFonts w:ascii="DejaVuSansCondensed-Bold" w:hAnsi="DejaVuSansCondensed-Bold" w:cs="DejaVuSansCondensed-Bold"/>
                <w:b/>
                <w:bCs/>
              </w:rPr>
              <w:t>mikro</w:t>
            </w:r>
            <w:proofErr w:type="spellEnd"/>
            <w:r>
              <w:rPr>
                <w:rFonts w:ascii="DejaVuSansCondensed-Bold" w:hAnsi="DejaVuSansCondensed-Bold" w:cs="DejaVuSansCondensed-Bold"/>
                <w:b/>
                <w:bCs/>
              </w:rPr>
              <w:t xml:space="preserve"> účtovné jednotky </w:t>
            </w:r>
            <w:r>
              <w:rPr>
                <w:rFonts w:ascii="DejaVuSansCondensed" w:hAnsi="DejaVuSansCondensed" w:cs="DejaVuSansCondensed"/>
              </w:rPr>
              <w:t>v znení neskorších predpisov</w:t>
            </w:r>
            <w:r w:rsidR="00333538">
              <w:rPr>
                <w:rFonts w:ascii="DejaVuSansCondensed" w:hAnsi="DejaVuSansCondensed" w:cs="DejaVuSansCondensed"/>
              </w:rPr>
              <w:t>.</w:t>
            </w:r>
            <w:bookmarkStart w:id="0" w:name="_GoBack"/>
            <w:bookmarkEnd w:id="0"/>
          </w:p>
          <w:p w:rsidR="005E5625" w:rsidRDefault="005E5625" w:rsidP="00333538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SansCondensed-Bold" w:hAnsi="DejaVuSansCondensed-Bold" w:cs="DejaVuSansCondensed-Bold"/>
                <w:b/>
                <w:bCs/>
              </w:rPr>
            </w:pPr>
          </w:p>
        </w:tc>
      </w:tr>
    </w:tbl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Všeobecné údaje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1. Identifikácia účtovnej jednotky (názov, IČO, sídlo):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5E5625" w:rsidTr="005E5625">
        <w:tc>
          <w:tcPr>
            <w:tcW w:w="2547" w:type="dxa"/>
          </w:tcPr>
          <w:p w:rsidR="005E5625" w:rsidRDefault="005E5625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Názov</w:t>
            </w:r>
          </w:p>
        </w:tc>
        <w:tc>
          <w:tcPr>
            <w:tcW w:w="6515" w:type="dxa"/>
          </w:tcPr>
          <w:p w:rsidR="005E5625" w:rsidRDefault="00AE1568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MATADA s. r. o.</w:t>
            </w:r>
          </w:p>
        </w:tc>
      </w:tr>
      <w:tr w:rsidR="005E5625" w:rsidTr="005E5625">
        <w:tc>
          <w:tcPr>
            <w:tcW w:w="2547" w:type="dxa"/>
          </w:tcPr>
          <w:p w:rsidR="005E5625" w:rsidRDefault="005E5625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IČO</w:t>
            </w:r>
          </w:p>
        </w:tc>
        <w:tc>
          <w:tcPr>
            <w:tcW w:w="6515" w:type="dxa"/>
          </w:tcPr>
          <w:p w:rsidR="005E5625" w:rsidRDefault="00AE1568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48201634</w:t>
            </w:r>
          </w:p>
        </w:tc>
      </w:tr>
      <w:tr w:rsidR="005E5625" w:rsidTr="005E5625">
        <w:tc>
          <w:tcPr>
            <w:tcW w:w="2547" w:type="dxa"/>
          </w:tcPr>
          <w:p w:rsidR="005E5625" w:rsidRDefault="005E5625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Sídlo</w:t>
            </w:r>
          </w:p>
        </w:tc>
        <w:tc>
          <w:tcPr>
            <w:tcW w:w="6515" w:type="dxa"/>
          </w:tcPr>
          <w:p w:rsidR="005E5625" w:rsidRDefault="005E5625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Strmá 3352/36, 974 11 Banská Bystrica</w:t>
            </w:r>
          </w:p>
        </w:tc>
      </w:tr>
      <w:tr w:rsidR="00E07BCB" w:rsidTr="005E5625">
        <w:tc>
          <w:tcPr>
            <w:tcW w:w="2547" w:type="dxa"/>
          </w:tcPr>
          <w:p w:rsidR="00E07BCB" w:rsidRDefault="00E07BCB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Zostavená ku dňu</w:t>
            </w:r>
          </w:p>
        </w:tc>
        <w:tc>
          <w:tcPr>
            <w:tcW w:w="6515" w:type="dxa"/>
          </w:tcPr>
          <w:p w:rsidR="00E07BCB" w:rsidRDefault="00CC70B7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31. 12. 2024</w:t>
            </w:r>
          </w:p>
        </w:tc>
      </w:tr>
      <w:tr w:rsidR="00E07BCB" w:rsidTr="005E5625">
        <w:tc>
          <w:tcPr>
            <w:tcW w:w="2547" w:type="dxa"/>
          </w:tcPr>
          <w:p w:rsidR="00E07BCB" w:rsidRDefault="00E07BCB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Zostavená dňa</w:t>
            </w:r>
          </w:p>
        </w:tc>
        <w:tc>
          <w:tcPr>
            <w:tcW w:w="6515" w:type="dxa"/>
          </w:tcPr>
          <w:p w:rsidR="00E07BCB" w:rsidRDefault="00CC70B7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07. 01. 2025</w:t>
            </w:r>
          </w:p>
        </w:tc>
      </w:tr>
      <w:tr w:rsidR="00E07BCB" w:rsidTr="005E5625">
        <w:tc>
          <w:tcPr>
            <w:tcW w:w="2547" w:type="dxa"/>
          </w:tcPr>
          <w:p w:rsidR="00E07BCB" w:rsidRDefault="00E07BCB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Schválená dňa</w:t>
            </w:r>
          </w:p>
        </w:tc>
        <w:tc>
          <w:tcPr>
            <w:tcW w:w="6515" w:type="dxa"/>
          </w:tcPr>
          <w:p w:rsidR="00E07BCB" w:rsidRDefault="00CC70B7" w:rsidP="005E5625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07. 01. 2025</w:t>
            </w:r>
          </w:p>
        </w:tc>
      </w:tr>
    </w:tbl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2. Ú</w:t>
      </w:r>
      <w:r w:rsidR="008D4883">
        <w:rPr>
          <w:rFonts w:ascii="ArialMT" w:hAnsi="ArialMT" w:cs="ArialMT"/>
        </w:rPr>
        <w:t>d</w:t>
      </w:r>
      <w:r>
        <w:rPr>
          <w:rFonts w:ascii="ArialMT" w:hAnsi="ArialMT" w:cs="ArialMT"/>
        </w:rPr>
        <w:t>aj</w:t>
      </w:r>
      <w:r w:rsidR="008D4883">
        <w:rPr>
          <w:rFonts w:ascii="ArialMT" w:hAnsi="ArialMT" w:cs="ArialMT"/>
        </w:rPr>
        <w:t xml:space="preserve">e </w:t>
      </w:r>
      <w:r>
        <w:rPr>
          <w:rFonts w:ascii="ArialMT" w:hAnsi="ArialMT" w:cs="ArialMT"/>
        </w:rPr>
        <w:t>o</w:t>
      </w:r>
      <w:r w:rsidR="008D4883">
        <w:rPr>
          <w:rFonts w:ascii="ArialMT" w:hAnsi="ArialMT" w:cs="ArialMT"/>
        </w:rPr>
        <w:t xml:space="preserve"> </w:t>
      </w:r>
      <w:r>
        <w:rPr>
          <w:rFonts w:ascii="ArialMT" w:hAnsi="ArialMT" w:cs="ArialMT"/>
        </w:rPr>
        <w:t xml:space="preserve"> konsolidovanom c</w:t>
      </w:r>
      <w:r w:rsidR="008D4883">
        <w:rPr>
          <w:rFonts w:ascii="ArialMT" w:hAnsi="ArialMT" w:cs="ArialMT"/>
        </w:rPr>
        <w:t xml:space="preserve">elku  </w:t>
      </w:r>
      <w:r>
        <w:rPr>
          <w:rFonts w:ascii="ArialMT" w:hAnsi="ArialMT" w:cs="ArialMT"/>
        </w:rPr>
        <w:t xml:space="preserve">– </w:t>
      </w:r>
      <w:r w:rsidR="008D4883">
        <w:rPr>
          <w:rFonts w:ascii="ArialMT" w:hAnsi="ArialMT" w:cs="ArialMT"/>
        </w:rPr>
        <w:t>Ú</w:t>
      </w:r>
      <w:r>
        <w:rPr>
          <w:rFonts w:ascii="ArialMT" w:hAnsi="ArialMT" w:cs="ArialMT"/>
        </w:rPr>
        <w:t>J nie je súčasťou konsolidovaného celku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5E5625" w:rsidRDefault="008D488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Prie</w:t>
      </w:r>
      <w:r w:rsidR="005E5625">
        <w:rPr>
          <w:rFonts w:ascii="ArialMT" w:hAnsi="ArialMT" w:cs="ArialMT"/>
        </w:rPr>
        <w:t>m</w:t>
      </w:r>
      <w:r>
        <w:rPr>
          <w:rFonts w:ascii="ArialMT" w:hAnsi="ArialMT" w:cs="ArialMT"/>
        </w:rPr>
        <w:t>ern</w:t>
      </w:r>
      <w:r w:rsidR="005E5625">
        <w:rPr>
          <w:rFonts w:ascii="ArialMT" w:hAnsi="ArialMT" w:cs="ArialMT"/>
        </w:rPr>
        <w:t>ý</w:t>
      </w:r>
      <w:r>
        <w:rPr>
          <w:rFonts w:ascii="ArialMT" w:hAnsi="ArialMT" w:cs="ArialMT"/>
        </w:rPr>
        <w:t xml:space="preserve"> </w:t>
      </w:r>
      <w:r w:rsidR="005E5625">
        <w:rPr>
          <w:rFonts w:ascii="ArialMT" w:hAnsi="ArialMT" w:cs="ArialMT"/>
        </w:rPr>
        <w:t xml:space="preserve"> p</w:t>
      </w:r>
      <w:r>
        <w:rPr>
          <w:rFonts w:ascii="ArialMT" w:hAnsi="ArialMT" w:cs="ArialMT"/>
        </w:rPr>
        <w:t>repo</w:t>
      </w:r>
      <w:r w:rsidR="005E5625">
        <w:rPr>
          <w:rFonts w:ascii="ArialMT" w:hAnsi="ArialMT" w:cs="ArialMT"/>
        </w:rPr>
        <w:t>č</w:t>
      </w:r>
      <w:r>
        <w:rPr>
          <w:rFonts w:ascii="ArialMT" w:hAnsi="ArialMT" w:cs="ArialMT"/>
        </w:rPr>
        <w:t>ítaný p</w:t>
      </w:r>
      <w:r w:rsidR="005E5625">
        <w:rPr>
          <w:rFonts w:ascii="ArialMT" w:hAnsi="ArialMT" w:cs="ArialMT"/>
        </w:rPr>
        <w:t>oč</w:t>
      </w:r>
      <w:r>
        <w:rPr>
          <w:rFonts w:ascii="ArialMT" w:hAnsi="ArialMT" w:cs="ArialMT"/>
        </w:rPr>
        <w:t>e</w:t>
      </w:r>
      <w:r w:rsidR="005E5625">
        <w:rPr>
          <w:rFonts w:ascii="ArialMT" w:hAnsi="ArialMT" w:cs="ArialMT"/>
        </w:rPr>
        <w:t xml:space="preserve">t </w:t>
      </w:r>
      <w:r>
        <w:rPr>
          <w:rFonts w:ascii="ArialMT" w:hAnsi="ArialMT" w:cs="ArialMT"/>
        </w:rPr>
        <w:t xml:space="preserve"> za</w:t>
      </w:r>
      <w:r w:rsidR="005E5625">
        <w:rPr>
          <w:rFonts w:ascii="ArialMT" w:hAnsi="ArialMT" w:cs="ArialMT"/>
        </w:rPr>
        <w:t>mest</w:t>
      </w:r>
      <w:r>
        <w:rPr>
          <w:rFonts w:ascii="ArialMT" w:hAnsi="ArialMT" w:cs="ArialMT"/>
        </w:rPr>
        <w:t>nanc</w:t>
      </w:r>
      <w:r w:rsidR="005E5625">
        <w:rPr>
          <w:rFonts w:ascii="ArialMT" w:hAnsi="ArialMT" w:cs="ArialMT"/>
        </w:rPr>
        <w:t>ov:</w:t>
      </w:r>
    </w:p>
    <w:p w:rsidR="008D4883" w:rsidRDefault="008D488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8D4883" w:rsidTr="008D4883">
        <w:tc>
          <w:tcPr>
            <w:tcW w:w="3020" w:type="dxa"/>
          </w:tcPr>
          <w:p w:rsidR="008D4883" w:rsidRP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Názov</w:t>
            </w:r>
          </w:p>
        </w:tc>
        <w:tc>
          <w:tcPr>
            <w:tcW w:w="3021" w:type="dxa"/>
          </w:tcPr>
          <w:p w:rsidR="008D4883" w:rsidRP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Bežné účtovné obdobie</w:t>
            </w:r>
          </w:p>
        </w:tc>
        <w:tc>
          <w:tcPr>
            <w:tcW w:w="3021" w:type="dxa"/>
          </w:tcPr>
          <w:p w:rsidR="008D4883" w:rsidRP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Bezprostredne predchádzajúce účtovné obdobie</w:t>
            </w:r>
          </w:p>
        </w:tc>
      </w:tr>
      <w:tr w:rsidR="008D4883" w:rsidTr="008D4883">
        <w:tc>
          <w:tcPr>
            <w:tcW w:w="3020" w:type="dxa"/>
          </w:tcPr>
          <w:p w:rsid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Priemerný prepočítaný počet zamestnancov</w:t>
            </w:r>
          </w:p>
        </w:tc>
        <w:tc>
          <w:tcPr>
            <w:tcW w:w="3021" w:type="dxa"/>
          </w:tcPr>
          <w:p w:rsid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</w:t>
            </w:r>
          </w:p>
        </w:tc>
        <w:tc>
          <w:tcPr>
            <w:tcW w:w="3021" w:type="dxa"/>
          </w:tcPr>
          <w:p w:rsid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</w:t>
            </w:r>
          </w:p>
          <w:p w:rsidR="008D4883" w:rsidRDefault="008D4883" w:rsidP="008D4883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</w:p>
        </w:tc>
      </w:tr>
    </w:tbl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5E5625" w:rsidRDefault="005E5625" w:rsidP="008D4883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II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Informácie o prijatých postupoch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1. Účtovná závierka je zostavená za splnenia predpokladu, že úč</w:t>
      </w:r>
      <w:r w:rsidR="008D4883">
        <w:rPr>
          <w:rFonts w:ascii="ArialMT" w:hAnsi="ArialMT" w:cs="ArialMT"/>
        </w:rPr>
        <w:t>tovná jednotka bude nep</w:t>
      </w:r>
      <w:r>
        <w:rPr>
          <w:rFonts w:ascii="ArialMT" w:hAnsi="ArialMT" w:cs="ArialMT"/>
        </w:rPr>
        <w:t>re</w:t>
      </w:r>
      <w:r w:rsidR="008D4883">
        <w:rPr>
          <w:rFonts w:ascii="ArialMT" w:hAnsi="ArialMT" w:cs="ArialMT"/>
        </w:rPr>
        <w:t>t</w:t>
      </w:r>
      <w:r>
        <w:rPr>
          <w:rFonts w:ascii="ArialMT" w:hAnsi="ArialMT" w:cs="ArialMT"/>
        </w:rPr>
        <w:t>rž</w:t>
      </w:r>
      <w:r w:rsidR="008D4883">
        <w:rPr>
          <w:rFonts w:ascii="ArialMT" w:hAnsi="ArialMT" w:cs="ArialMT"/>
        </w:rPr>
        <w:t>ite pokračovať vo svojej činnosti.</w:t>
      </w:r>
    </w:p>
    <w:p w:rsidR="008D4883" w:rsidRDefault="008D488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</w:t>
      </w:r>
      <w:r w:rsidR="008D4883">
        <w:rPr>
          <w:rFonts w:ascii="ArialMT" w:hAnsi="ArialMT" w:cs="ArialMT"/>
        </w:rPr>
        <w:t>. Spôsob oce</w:t>
      </w:r>
      <w:r>
        <w:rPr>
          <w:rFonts w:ascii="ArialMT" w:hAnsi="ArialMT" w:cs="ArialMT"/>
        </w:rPr>
        <w:t>ň</w:t>
      </w:r>
      <w:r w:rsidR="008D4883">
        <w:rPr>
          <w:rFonts w:ascii="ArialMT" w:hAnsi="ArialMT" w:cs="ArialMT"/>
        </w:rPr>
        <w:t>ova</w:t>
      </w:r>
      <w:r>
        <w:rPr>
          <w:rFonts w:ascii="ArialMT" w:hAnsi="ArialMT" w:cs="ArialMT"/>
        </w:rPr>
        <w:t>nia jednotlivých položiek majetku a záväzkov:</w:t>
      </w:r>
    </w:p>
    <w:p w:rsidR="008D4883" w:rsidRDefault="008D488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W w:w="9252" w:type="dxa"/>
        <w:tblInd w:w="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9"/>
        <w:gridCol w:w="5483"/>
      </w:tblGrid>
      <w:tr w:rsidR="008D4883" w:rsidTr="008D4883">
        <w:trPr>
          <w:trHeight w:val="156"/>
        </w:trPr>
        <w:tc>
          <w:tcPr>
            <w:tcW w:w="9252" w:type="dxa"/>
            <w:gridSpan w:val="2"/>
          </w:tcPr>
          <w:p w:rsidR="008D4883" w:rsidRDefault="008D4883" w:rsidP="008D488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/>
                <w:bCs/>
              </w:rPr>
            </w:pPr>
            <w:r>
              <w:rPr>
                <w:rFonts w:ascii="Arial-BoldMT" w:hAnsi="Arial-BoldMT" w:cs="Arial-BoldMT"/>
                <w:b/>
                <w:bCs/>
              </w:rPr>
              <w:t>Názov položky Spôsob oceňovania</w:t>
            </w:r>
          </w:p>
        </w:tc>
      </w:tr>
      <w:tr w:rsidR="008D4883" w:rsidTr="00C22AB3">
        <w:trPr>
          <w:trHeight w:val="1729"/>
        </w:trPr>
        <w:tc>
          <w:tcPr>
            <w:tcW w:w="3769" w:type="dxa"/>
          </w:tcPr>
          <w:p w:rsidR="008D4883" w:rsidRDefault="00D04008" w:rsidP="006256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H</w:t>
            </w:r>
            <w:r w:rsidR="008D4883">
              <w:rPr>
                <w:rFonts w:ascii="ArialMT" w:hAnsi="ArialMT" w:cs="ArialMT"/>
              </w:rPr>
              <w:t xml:space="preserve">motný majetok: </w:t>
            </w:r>
          </w:p>
          <w:p w:rsidR="008D4883" w:rsidRDefault="00AE1568" w:rsidP="00C22AB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 xml:space="preserve"> </w:t>
            </w:r>
          </w:p>
          <w:p w:rsidR="00D04008" w:rsidRDefault="00D04008" w:rsidP="00C22AB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Nehmotný majetok:</w:t>
            </w:r>
          </w:p>
          <w:p w:rsidR="008D4883" w:rsidRDefault="00D04008" w:rsidP="00AE1568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 xml:space="preserve"> </w:t>
            </w:r>
            <w:r w:rsidR="008D4883">
              <w:rPr>
                <w:rFonts w:ascii="ArialMT" w:hAnsi="ArialMT" w:cs="ArialMT"/>
              </w:rPr>
              <w:t>Záväzky vrát</w:t>
            </w:r>
            <w:r w:rsidR="00AE1568">
              <w:rPr>
                <w:rFonts w:ascii="ArialMT" w:hAnsi="ArialMT" w:cs="ArialMT"/>
              </w:rPr>
              <w:t>ane rezerv:</w:t>
            </w:r>
          </w:p>
          <w:p w:rsidR="008D4883" w:rsidRPr="00AE1568" w:rsidRDefault="00D04008" w:rsidP="00AE1568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 xml:space="preserve"> </w:t>
            </w:r>
            <w:r w:rsidR="008D4883">
              <w:rPr>
                <w:rFonts w:ascii="ArialMT" w:hAnsi="ArialMT" w:cs="ArialMT"/>
              </w:rPr>
              <w:t>Pôžič</w:t>
            </w:r>
            <w:r w:rsidR="00AE1568">
              <w:rPr>
                <w:rFonts w:ascii="ArialMT" w:hAnsi="ArialMT" w:cs="ArialMT"/>
              </w:rPr>
              <w:t xml:space="preserve">ky a úvery: </w:t>
            </w:r>
          </w:p>
        </w:tc>
        <w:tc>
          <w:tcPr>
            <w:tcW w:w="5483" w:type="dxa"/>
          </w:tcPr>
          <w:p w:rsidR="00AE1568" w:rsidRDefault="008D4883" w:rsidP="00C22AB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 w:rsidRPr="008D4883">
              <w:rPr>
                <w:rFonts w:ascii="Arial-BoldMT" w:hAnsi="Arial-BoldMT" w:cs="Arial-BoldMT"/>
                <w:bCs/>
              </w:rPr>
              <w:t>Obstarávacia cena</w:t>
            </w:r>
            <w:r w:rsidR="006256D6">
              <w:rPr>
                <w:rFonts w:ascii="Arial-BoldMT" w:hAnsi="Arial-BoldMT" w:cs="Arial-BoldMT"/>
                <w:bCs/>
              </w:rPr>
              <w:t xml:space="preserve"> vrátane nákladov súvisiacich s  obstaraním</w:t>
            </w:r>
          </w:p>
          <w:p w:rsidR="00AE1568" w:rsidRDefault="00D04008" w:rsidP="00C22AB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>Obstarávacia cena</w:t>
            </w:r>
          </w:p>
          <w:p w:rsidR="00AE1568" w:rsidRDefault="006256D6" w:rsidP="00C22AB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>Nominálna hodnota</w:t>
            </w:r>
          </w:p>
          <w:p w:rsidR="00AE1568" w:rsidRDefault="00D04008" w:rsidP="008D488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>Nominálna hodnota</w:t>
            </w:r>
          </w:p>
          <w:p w:rsidR="00AE1568" w:rsidRPr="008D4883" w:rsidRDefault="00AE1568" w:rsidP="008D4883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 xml:space="preserve"> </w:t>
            </w:r>
          </w:p>
        </w:tc>
      </w:tr>
    </w:tbl>
    <w:p w:rsidR="00AE1568" w:rsidRDefault="00AE1568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AE1568" w:rsidRDefault="00D04008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Účtovné a daňové odpisy</w:t>
      </w:r>
      <w:r w:rsidR="005E5625">
        <w:rPr>
          <w:rFonts w:ascii="ArialMT" w:hAnsi="ArialMT" w:cs="ArialMT"/>
        </w:rPr>
        <w:t xml:space="preserve"> hmotného majetku </w:t>
      </w:r>
      <w:r>
        <w:rPr>
          <w:rFonts w:ascii="ArialMT" w:hAnsi="ArialMT" w:cs="ArialMT"/>
        </w:rPr>
        <w:t>sa rovnajú</w:t>
      </w:r>
      <w:r w:rsidR="00AE1568">
        <w:rPr>
          <w:rFonts w:ascii="ArialMT" w:hAnsi="ArialMT" w:cs="ArialMT"/>
        </w:rPr>
        <w:t> bola zvolená metóda rovnomerného odpisovania. Dlhodobý hmotný majetok bol z</w:t>
      </w:r>
      <w:r w:rsidR="005F4C94">
        <w:rPr>
          <w:rFonts w:ascii="ArialMT" w:hAnsi="ArialMT" w:cs="ArialMT"/>
        </w:rPr>
        <w:t xml:space="preserve">aradený do odpisovej skupiny </w:t>
      </w:r>
      <w:r w:rsidR="00AE1568">
        <w:rPr>
          <w:rFonts w:ascii="ArialMT" w:hAnsi="ArialMT" w:cs="ArialMT"/>
        </w:rPr>
        <w:t> 2.</w:t>
      </w:r>
    </w:p>
    <w:p w:rsidR="00C22AB3" w:rsidRDefault="00C22AB3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4. Zmeny účtovných zásad a zmeny účtovných metód neboli realizované</w:t>
      </w:r>
    </w:p>
    <w:p w:rsidR="00E07BCB" w:rsidRDefault="00C22AB3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5. Účtovná jednotka neprijala dotácie</w:t>
      </w: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D04008" w:rsidRDefault="00D04008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                                                                                                                                    Strana 1</w:t>
      </w:r>
    </w:p>
    <w:p w:rsidR="00E07BCB" w:rsidRDefault="00E07BCB" w:rsidP="00E07BCB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lastRenderedPageBreak/>
        <w:t xml:space="preserve">Poznámky </w:t>
      </w:r>
      <w:proofErr w:type="spellStart"/>
      <w:r>
        <w:rPr>
          <w:rFonts w:ascii="ArialMT" w:hAnsi="ArialMT" w:cs="ArialMT"/>
        </w:rPr>
        <w:t>Úč</w:t>
      </w:r>
      <w:proofErr w:type="spellEnd"/>
      <w:r>
        <w:rPr>
          <w:rFonts w:ascii="ArialMT" w:hAnsi="ArialMT" w:cs="ArialMT"/>
        </w:rPr>
        <w:t xml:space="preserve"> MÚJ 3 – 01                                        IČO: 48201634                   DIČ: 2120190105</w:t>
      </w: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07BCB" w:rsidRDefault="00E07BCB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C22AB3" w:rsidRDefault="00C22AB3" w:rsidP="00C22AB3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6. Účtovná jednotka neúčtovala o významných opravách minulých účtovných období v</w:t>
      </w:r>
      <w:r w:rsidR="009E2D30">
        <w:rPr>
          <w:rFonts w:ascii="ArialMT" w:hAnsi="ArialMT" w:cs="ArialMT"/>
        </w:rPr>
        <w:t xml:space="preserve"> </w:t>
      </w:r>
      <w:r>
        <w:rPr>
          <w:rFonts w:ascii="ArialMT" w:hAnsi="ArialMT" w:cs="ArialMT"/>
        </w:rPr>
        <w:t>bežnom účtovnom období</w:t>
      </w:r>
      <w:r w:rsidR="00AB61AF">
        <w:rPr>
          <w:rFonts w:ascii="ArialMT" w:hAnsi="ArialMT" w:cs="ArialMT"/>
        </w:rPr>
        <w:t>.</w:t>
      </w:r>
    </w:p>
    <w:p w:rsidR="00C22AB3" w:rsidRDefault="00C22AB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6256D6" w:rsidRDefault="00AE1568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                                                                                                                                      </w:t>
      </w:r>
    </w:p>
    <w:p w:rsidR="005E5625" w:rsidRDefault="005E5625" w:rsidP="006256D6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III</w:t>
      </w:r>
    </w:p>
    <w:p w:rsidR="00C22AB3" w:rsidRDefault="00C22AB3" w:rsidP="006256D6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Informácie, ktoré vysvetľujú a dopĺňajú súvahu a výkaz ziskov a</w:t>
      </w:r>
      <w:r w:rsidR="00C22AB3">
        <w:rPr>
          <w:rFonts w:ascii="Arial-BoldMT" w:hAnsi="Arial-BoldMT" w:cs="Arial-BoldMT"/>
          <w:b/>
          <w:bCs/>
        </w:rPr>
        <w:t> </w:t>
      </w:r>
      <w:r>
        <w:rPr>
          <w:rFonts w:ascii="Arial-BoldMT" w:hAnsi="Arial-BoldMT" w:cs="Arial-BoldMT"/>
          <w:b/>
          <w:bCs/>
        </w:rPr>
        <w:t>strát</w:t>
      </w:r>
    </w:p>
    <w:p w:rsidR="00C22AB3" w:rsidRDefault="00C22AB3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1. Účtovná jedno</w:t>
      </w:r>
      <w:r w:rsidR="00C22AB3">
        <w:rPr>
          <w:rFonts w:ascii="ArialMT" w:hAnsi="ArialMT" w:cs="ArialMT"/>
        </w:rPr>
        <w:t>tka neú</w:t>
      </w:r>
      <w:r>
        <w:rPr>
          <w:rFonts w:ascii="ArialMT" w:hAnsi="ArialMT" w:cs="ArialMT"/>
        </w:rPr>
        <w:t>č</w:t>
      </w:r>
      <w:r w:rsidR="00C22AB3">
        <w:rPr>
          <w:rFonts w:ascii="ArialMT" w:hAnsi="ArialMT" w:cs="ArialMT"/>
        </w:rPr>
        <w:t>toval</w:t>
      </w:r>
      <w:r>
        <w:rPr>
          <w:rFonts w:ascii="ArialMT" w:hAnsi="ArialMT" w:cs="ArialMT"/>
        </w:rPr>
        <w:t xml:space="preserve">a o </w:t>
      </w:r>
      <w:r w:rsidRPr="00C22AB3">
        <w:rPr>
          <w:rFonts w:ascii="Arial-BoldMT" w:hAnsi="Arial-BoldMT" w:cs="Arial-BoldMT"/>
          <w:bCs/>
        </w:rPr>
        <w:t>nákladoch a výnosoch</w:t>
      </w:r>
      <w:r w:rsidR="00C22AB3">
        <w:rPr>
          <w:rFonts w:ascii="ArialMT" w:hAnsi="ArialMT" w:cs="ArialMT"/>
        </w:rPr>
        <w:t>, ktoré majú výnimo</w:t>
      </w:r>
      <w:r>
        <w:rPr>
          <w:rFonts w:ascii="ArialMT" w:hAnsi="ArialMT" w:cs="ArialMT"/>
        </w:rPr>
        <w:t>č</w:t>
      </w:r>
      <w:r w:rsidR="00C22AB3">
        <w:rPr>
          <w:rFonts w:ascii="ArialMT" w:hAnsi="ArialMT" w:cs="ArialMT"/>
        </w:rPr>
        <w:t>ný rozsah alebo výsky</w:t>
      </w:r>
      <w:r>
        <w:rPr>
          <w:rFonts w:ascii="ArialMT" w:hAnsi="ArialMT" w:cs="ArialMT"/>
        </w:rPr>
        <w:t>t.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2. Účtovná jednotka neevidovala záväzky so zostatkovou dobou splatnosti dlhšou ako päť</w:t>
      </w:r>
      <w:r w:rsidR="00C22AB3">
        <w:rPr>
          <w:rFonts w:ascii="ArialMT" w:hAnsi="ArialMT" w:cs="ArialMT"/>
        </w:rPr>
        <w:t xml:space="preserve"> rokov </w:t>
      </w:r>
      <w:r>
        <w:rPr>
          <w:rFonts w:ascii="ArialMT" w:hAnsi="ArialMT" w:cs="ArialMT"/>
        </w:rPr>
        <w:t>ani zabezpečených záväzkov.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Účtovná jednotka nemá vlastné akcie.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4. Členom orgánov účtovnej jednotky neboli poskytnuté záruky a pôžičky.</w:t>
      </w:r>
    </w:p>
    <w:p w:rsidR="005E5625" w:rsidRDefault="005E5625" w:rsidP="005E5625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5. Účtovná jednotka nemá finančné povinnosti, ktoré sa</w:t>
      </w:r>
      <w:r w:rsidR="00C22AB3">
        <w:rPr>
          <w:rFonts w:ascii="ArialMT" w:hAnsi="ArialMT" w:cs="ArialMT"/>
        </w:rPr>
        <w:t xml:space="preserve"> nevykazujú v súvahe, neeviduje </w:t>
      </w:r>
      <w:r>
        <w:rPr>
          <w:rFonts w:ascii="ArialMT" w:hAnsi="ArialMT" w:cs="ArialMT"/>
        </w:rPr>
        <w:t>podmienené záväzky a n</w:t>
      </w:r>
      <w:r w:rsidR="00C22AB3">
        <w:rPr>
          <w:rFonts w:ascii="ArialMT" w:hAnsi="ArialMT" w:cs="ArialMT"/>
        </w:rPr>
        <w:t xml:space="preserve">emá povinnosti vyplývajúce z dôchodkových programov pre </w:t>
      </w:r>
      <w:r>
        <w:rPr>
          <w:rFonts w:ascii="ArialMT" w:hAnsi="ArialMT" w:cs="ArialMT"/>
        </w:rPr>
        <w:t>zamestnancov:</w:t>
      </w:r>
    </w:p>
    <w:p w:rsidR="00EC4193" w:rsidRDefault="005E5625" w:rsidP="005E5625">
      <w:pPr>
        <w:jc w:val="both"/>
        <w:rPr>
          <w:rFonts w:ascii="Arial-BoldMT" w:hAnsi="Arial-BoldMT" w:cs="Arial-BoldMT"/>
          <w:bCs/>
        </w:rPr>
      </w:pPr>
      <w:r>
        <w:rPr>
          <w:rFonts w:ascii="ArialMT" w:hAnsi="ArialMT" w:cs="ArialMT"/>
        </w:rPr>
        <w:t xml:space="preserve">6. Účtovná jednotka nevykonáva </w:t>
      </w:r>
      <w:r w:rsidRPr="00C22AB3">
        <w:rPr>
          <w:rFonts w:ascii="Arial-BoldMT" w:hAnsi="Arial-BoldMT" w:cs="Arial-BoldMT"/>
          <w:bCs/>
        </w:rPr>
        <w:t>služby vo verejnom záujme a neeviduje prijaté náhrady.</w:t>
      </w: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Default="00C22AB3" w:rsidP="005E5625">
      <w:pPr>
        <w:jc w:val="both"/>
        <w:rPr>
          <w:rFonts w:ascii="Arial-BoldMT" w:hAnsi="Arial-BoldMT" w:cs="Arial-BoldMT"/>
          <w:bCs/>
        </w:rPr>
      </w:pPr>
    </w:p>
    <w:p w:rsidR="00C22AB3" w:rsidRPr="00C22AB3" w:rsidRDefault="00C22AB3" w:rsidP="005E5625">
      <w:pPr>
        <w:jc w:val="both"/>
      </w:pPr>
      <w:r>
        <w:rPr>
          <w:rFonts w:ascii="Arial-BoldMT" w:hAnsi="Arial-BoldMT" w:cs="Arial-BoldMT"/>
          <w:bCs/>
        </w:rPr>
        <w:t xml:space="preserve">                                                                                                                                       Strana 2</w:t>
      </w:r>
    </w:p>
    <w:sectPr w:rsidR="00C22AB3" w:rsidRPr="00C22A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DejaVuSansCondensed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DejaVuSansCondense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5625"/>
    <w:rsid w:val="00333538"/>
    <w:rsid w:val="005E5625"/>
    <w:rsid w:val="005F4C94"/>
    <w:rsid w:val="006256D6"/>
    <w:rsid w:val="00681593"/>
    <w:rsid w:val="008D4883"/>
    <w:rsid w:val="008F5016"/>
    <w:rsid w:val="009E2D30"/>
    <w:rsid w:val="00A22AC5"/>
    <w:rsid w:val="00AB61AF"/>
    <w:rsid w:val="00AE1568"/>
    <w:rsid w:val="00C22AB3"/>
    <w:rsid w:val="00CC70B7"/>
    <w:rsid w:val="00D04008"/>
    <w:rsid w:val="00D93A97"/>
    <w:rsid w:val="00E07BCB"/>
    <w:rsid w:val="00EC4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19C603"/>
  <w15:chartTrackingRefBased/>
  <w15:docId w15:val="{37F10155-99F2-4323-944F-4051C3914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5E56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8D48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456</Words>
  <Characters>2605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matad</dc:creator>
  <cp:keywords/>
  <dc:description/>
  <cp:lastModifiedBy>matad</cp:lastModifiedBy>
  <cp:revision>19</cp:revision>
  <dcterms:created xsi:type="dcterms:W3CDTF">2022-03-23T13:16:00Z</dcterms:created>
  <dcterms:modified xsi:type="dcterms:W3CDTF">2025-03-12T10:48:00Z</dcterms:modified>
</cp:coreProperties>
</file>