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76A22" w14:textId="463D9D19" w:rsidR="009474C8" w:rsidRDefault="00F509A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POZNÁMKY K ÚČTOVNEJ ZÁVIERKE 202</w:t>
      </w:r>
      <w:r w:rsidR="00BC6177">
        <w:rPr>
          <w:rFonts w:ascii="Arial Narrow" w:hAnsi="Arial Narrow"/>
          <w:b/>
        </w:rPr>
        <w:t>4</w:t>
      </w:r>
    </w:p>
    <w:p w14:paraId="55EF8400" w14:textId="77777777" w:rsidR="009474C8" w:rsidRDefault="00F509A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zostavené podľa Opatrenia </w:t>
      </w:r>
      <w:proofErr w:type="spellStart"/>
      <w:r>
        <w:rPr>
          <w:rFonts w:ascii="Arial Narrow" w:hAnsi="Arial Narrow"/>
          <w:sz w:val="22"/>
          <w:szCs w:val="22"/>
        </w:rPr>
        <w:t>č.MF</w:t>
      </w:r>
      <w:proofErr w:type="spellEnd"/>
      <w:r>
        <w:rPr>
          <w:rFonts w:ascii="Arial Narrow" w:hAnsi="Arial Narrow"/>
          <w:sz w:val="22"/>
          <w:szCs w:val="22"/>
        </w:rPr>
        <w:t xml:space="preserve">/23378/2014-74 (FS č.12/2014), ktorým sa ustanovujú podrobnosti o individuálnej účtovnej závierke a rozsahu údajov určených z individuálnej účtovnej závierky na zverejnenie </w:t>
      </w:r>
    </w:p>
    <w:p w14:paraId="60A7D22F" w14:textId="77777777" w:rsidR="009474C8" w:rsidRDefault="00F509A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pre malé účtovné jednotky</w:t>
      </w:r>
      <w:r>
        <w:rPr>
          <w:rFonts w:ascii="Arial Narrow" w:hAnsi="Arial Narrow"/>
          <w:sz w:val="22"/>
          <w:szCs w:val="22"/>
        </w:rPr>
        <w:t xml:space="preserve"> </w:t>
      </w:r>
    </w:p>
    <w:p w14:paraId="21373B47" w14:textId="77777777" w:rsidR="009474C8" w:rsidRDefault="009474C8">
      <w:pPr>
        <w:rPr>
          <w:rFonts w:ascii="Arial Narrow" w:hAnsi="Arial Narrow"/>
          <w:sz w:val="22"/>
          <w:szCs w:val="22"/>
        </w:rPr>
      </w:pPr>
    </w:p>
    <w:p w14:paraId="5EE9E357" w14:textId="77777777" w:rsidR="009474C8" w:rsidRDefault="00F509AF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>
        <w:rPr>
          <w:rFonts w:ascii="Arial Narrow" w:hAnsi="Arial Narrow" w:cs="Arial Narrow"/>
          <w:b/>
          <w:sz w:val="22"/>
          <w:szCs w:val="22"/>
          <w:u w:val="single"/>
        </w:rPr>
        <w:t>Článok I – VŠEOBECNÉ INFORMÁCIE</w:t>
      </w:r>
    </w:p>
    <w:p w14:paraId="4DC3648F" w14:textId="77777777" w:rsidR="009474C8" w:rsidRDefault="009474C8">
      <w:pPr>
        <w:rPr>
          <w:rFonts w:ascii="Arial Narrow" w:hAnsi="Arial Narrow"/>
          <w:sz w:val="22"/>
          <w:szCs w:val="22"/>
        </w:rPr>
      </w:pPr>
    </w:p>
    <w:p w14:paraId="5BF5A7A0" w14:textId="77777777" w:rsidR="009474C8" w:rsidRDefault="00F509AF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</w:t>
      </w:r>
      <w:r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>
        <w:rPr>
          <w:rFonts w:ascii="Arial Narrow" w:hAnsi="Arial Narrow" w:cs="Arial Narrow"/>
          <w:sz w:val="22"/>
          <w:szCs w:val="22"/>
        </w:rPr>
        <w:t>:</w:t>
      </w:r>
    </w:p>
    <w:p w14:paraId="7A2C919E" w14:textId="77777777" w:rsidR="009474C8" w:rsidRDefault="009474C8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4A0" w:firstRow="1" w:lastRow="0" w:firstColumn="1" w:lastColumn="0" w:noHBand="0" w:noVBand="1"/>
      </w:tblPr>
      <w:tblGrid>
        <w:gridCol w:w="2574"/>
        <w:gridCol w:w="6808"/>
      </w:tblGrid>
      <w:tr w:rsidR="009474C8" w14:paraId="6B0E90C8" w14:textId="77777777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DB5B34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696A8" w14:textId="77777777" w:rsidR="009474C8" w:rsidRDefault="00F509AF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Rondon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, s. r. o.</w:t>
            </w:r>
          </w:p>
        </w:tc>
      </w:tr>
      <w:tr w:rsidR="009474C8" w14:paraId="26068FD9" w14:textId="77777777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53C46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60766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Jiráskova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 xml:space="preserve"> 22, 917 02 Trnava</w:t>
            </w:r>
          </w:p>
        </w:tc>
      </w:tr>
      <w:tr w:rsidR="009474C8" w14:paraId="315EE7C4" w14:textId="77777777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94FB9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Právna forma: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44885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9474C8" w14:paraId="583C15AC" w14:textId="77777777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0EE0EB1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7B65086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08.11.2012</w:t>
            </w:r>
          </w:p>
        </w:tc>
      </w:tr>
      <w:tr w:rsidR="009474C8" w14:paraId="6CECEADA" w14:textId="77777777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4183E08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1106485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Stolárske práce</w:t>
            </w:r>
          </w:p>
        </w:tc>
      </w:tr>
      <w:tr w:rsidR="009474C8" w14:paraId="515A8F0B" w14:textId="77777777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FA914D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2A50FC3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Spoločnosť nie je subjektom verejného záujmu (§ 2/14 </w:t>
            </w:r>
            <w:proofErr w:type="spellStart"/>
            <w:r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>
              <w:rPr>
                <w:rFonts w:ascii="Arial Narrow" w:hAnsi="Arial Narrow" w:cs="Arial Narrow"/>
                <w:sz w:val="22"/>
                <w:szCs w:val="22"/>
              </w:rPr>
              <w:t>).</w:t>
            </w:r>
          </w:p>
        </w:tc>
      </w:tr>
      <w:tr w:rsidR="009474C8" w14:paraId="180EF159" w14:textId="77777777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2E85B8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CCACD4" w14:textId="5A1F8A97" w:rsidR="009474C8" w:rsidRDefault="00F509AF" w:rsidP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BC6177">
              <w:rPr>
                <w:rFonts w:ascii="Arial Narrow" w:hAnsi="Arial Narrow" w:cs="Arial Narrow"/>
                <w:sz w:val="22"/>
                <w:szCs w:val="22"/>
              </w:rPr>
              <w:t>24</w:t>
            </w:r>
          </w:p>
        </w:tc>
      </w:tr>
    </w:tbl>
    <w:p w14:paraId="104D9CE1" w14:textId="77777777" w:rsidR="009474C8" w:rsidRDefault="009474C8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C882A66" w14:textId="77777777" w:rsidR="009474C8" w:rsidRDefault="00F509AF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14:paraId="5ECF498B" w14:textId="77777777" w:rsidR="009474C8" w:rsidRDefault="00F509AF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14:paraId="51454611" w14:textId="77777777" w:rsidR="009474C8" w:rsidRDefault="009474C8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9474C8" w14:paraId="5A70FA3B" w14:textId="77777777">
        <w:tc>
          <w:tcPr>
            <w:tcW w:w="2197" w:type="dxa"/>
            <w:shd w:val="clear" w:color="auto" w:fill="auto"/>
          </w:tcPr>
          <w:p w14:paraId="699DDB95" w14:textId="77777777" w:rsidR="009474C8" w:rsidRDefault="00F509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835" w:type="dxa"/>
            <w:shd w:val="clear" w:color="auto" w:fill="auto"/>
          </w:tcPr>
          <w:p w14:paraId="67FDC210" w14:textId="77777777" w:rsidR="009474C8" w:rsidRDefault="00F509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0D0ABEFA" w14:textId="77777777" w:rsidR="009474C8" w:rsidRDefault="00F509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704D2428" w14:textId="77777777" w:rsidR="009474C8" w:rsidRDefault="00F509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Áno/Nie</w:t>
            </w:r>
          </w:p>
        </w:tc>
      </w:tr>
      <w:tr w:rsidR="00BC6177" w14:paraId="1EF4E6A6" w14:textId="77777777">
        <w:tc>
          <w:tcPr>
            <w:tcW w:w="2197" w:type="dxa"/>
            <w:shd w:val="clear" w:color="auto" w:fill="auto"/>
          </w:tcPr>
          <w:p w14:paraId="3B3C9242" w14:textId="77777777" w:rsidR="00BC6177" w:rsidRDefault="00BC6177" w:rsidP="00BC6177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14:paraId="1DC3CC3D" w14:textId="7DCCF30C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16 112</w:t>
            </w:r>
          </w:p>
        </w:tc>
        <w:tc>
          <w:tcPr>
            <w:tcW w:w="3260" w:type="dxa"/>
            <w:shd w:val="clear" w:color="auto" w:fill="auto"/>
          </w:tcPr>
          <w:p w14:paraId="7B7F06F7" w14:textId="765E8112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15 129</w:t>
            </w:r>
          </w:p>
        </w:tc>
        <w:tc>
          <w:tcPr>
            <w:tcW w:w="1276" w:type="dxa"/>
            <w:shd w:val="clear" w:color="auto" w:fill="auto"/>
          </w:tcPr>
          <w:p w14:paraId="533B2485" w14:textId="77777777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C6177" w14:paraId="3AD5BCF0" w14:textId="77777777">
        <w:tc>
          <w:tcPr>
            <w:tcW w:w="2197" w:type="dxa"/>
            <w:shd w:val="clear" w:color="auto" w:fill="auto"/>
          </w:tcPr>
          <w:p w14:paraId="34412A19" w14:textId="77777777" w:rsidR="00BC6177" w:rsidRDefault="00BC6177" w:rsidP="00BC6177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14:paraId="42F8D8F9" w14:textId="541C4E4E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45 103</w:t>
            </w:r>
          </w:p>
        </w:tc>
        <w:tc>
          <w:tcPr>
            <w:tcW w:w="3260" w:type="dxa"/>
            <w:shd w:val="clear" w:color="auto" w:fill="auto"/>
          </w:tcPr>
          <w:p w14:paraId="5FA8A4C4" w14:textId="38C1DD75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8 133</w:t>
            </w:r>
          </w:p>
        </w:tc>
        <w:tc>
          <w:tcPr>
            <w:tcW w:w="1276" w:type="dxa"/>
            <w:shd w:val="clear" w:color="auto" w:fill="auto"/>
          </w:tcPr>
          <w:p w14:paraId="63C5EB03" w14:textId="77777777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BC6177" w14:paraId="3BE31BF9" w14:textId="77777777">
        <w:trPr>
          <w:trHeight w:val="101"/>
        </w:trPr>
        <w:tc>
          <w:tcPr>
            <w:tcW w:w="2197" w:type="dxa"/>
            <w:shd w:val="clear" w:color="auto" w:fill="auto"/>
          </w:tcPr>
          <w:p w14:paraId="34BE1DC7" w14:textId="77777777" w:rsidR="00BC6177" w:rsidRDefault="00BC6177" w:rsidP="00BC6177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7C8925EB" w14:textId="77777777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14:paraId="3480A547" w14:textId="0B3A3EB4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14:paraId="465166D7" w14:textId="77777777" w:rsidR="00BC6177" w:rsidRDefault="00BC6177" w:rsidP="00BC6177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</w:tr>
    </w:tbl>
    <w:p w14:paraId="12B4FF71" w14:textId="77777777" w:rsidR="009474C8" w:rsidRDefault="009474C8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44B85FAD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Komentár:</w:t>
      </w:r>
      <w:r>
        <w:rPr>
          <w:rFonts w:ascii="Arial Narrow" w:hAnsi="Arial Narrow" w:cs="Arial Narrow"/>
          <w:sz w:val="22"/>
          <w:szCs w:val="22"/>
        </w:rPr>
        <w:t xml:space="preserve"> UJ spĺňa veľkostné podmienky na zatriedenie do veľkostnej skupiny – </w:t>
      </w:r>
      <w:r>
        <w:rPr>
          <w:rFonts w:ascii="Arial Narrow" w:hAnsi="Arial Narrow" w:cs="Arial Narrow"/>
          <w:b/>
          <w:sz w:val="22"/>
          <w:szCs w:val="22"/>
        </w:rPr>
        <w:t xml:space="preserve">malá účtovná jednotka, </w:t>
      </w:r>
      <w:r>
        <w:rPr>
          <w:rFonts w:ascii="Arial Narrow" w:hAnsi="Arial Narrow" w:cs="Arial Narrow"/>
          <w:sz w:val="22"/>
          <w:szCs w:val="22"/>
        </w:rPr>
        <w:t>preto zostavuje účtovnú závierku podľa metodiky pre túto veľkostnú skupinu (</w:t>
      </w:r>
      <w:r>
        <w:rPr>
          <w:rFonts w:ascii="Arial Narrow" w:hAnsi="Arial Narrow"/>
          <w:sz w:val="22"/>
          <w:szCs w:val="22"/>
        </w:rPr>
        <w:t xml:space="preserve">Opatrenie </w:t>
      </w:r>
      <w:proofErr w:type="spellStart"/>
      <w:r>
        <w:rPr>
          <w:rFonts w:ascii="Arial Narrow" w:hAnsi="Arial Narrow"/>
          <w:sz w:val="22"/>
          <w:szCs w:val="22"/>
        </w:rPr>
        <w:t>č.MF</w:t>
      </w:r>
      <w:proofErr w:type="spellEnd"/>
      <w:r>
        <w:rPr>
          <w:rFonts w:ascii="Arial Narrow" w:hAnsi="Arial Narrow"/>
          <w:sz w:val="22"/>
          <w:szCs w:val="22"/>
        </w:rPr>
        <w:t>/23378/2014-74)</w:t>
      </w:r>
      <w:r>
        <w:rPr>
          <w:rFonts w:ascii="Arial Narrow" w:hAnsi="Arial Narrow" w:cs="Arial Narrow"/>
          <w:sz w:val="22"/>
          <w:szCs w:val="22"/>
        </w:rPr>
        <w:t>.</w:t>
      </w:r>
    </w:p>
    <w:p w14:paraId="703B5094" w14:textId="77777777" w:rsidR="009474C8" w:rsidRDefault="009474C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2E8F2AB6" w14:textId="2CC463CB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2) Účtovná závierka Spoločnosti k 31.12.202</w:t>
      </w:r>
      <w:r w:rsidR="00BC6177">
        <w:rPr>
          <w:rFonts w:ascii="Arial Narrow" w:hAnsi="Arial Narrow" w:cs="Arial Narrow"/>
          <w:sz w:val="22"/>
          <w:szCs w:val="22"/>
        </w:rPr>
        <w:t>3</w:t>
      </w:r>
      <w:r>
        <w:rPr>
          <w:rFonts w:ascii="Arial Narrow" w:hAnsi="Arial Narrow" w:cs="Arial Narrow"/>
          <w:sz w:val="22"/>
          <w:szCs w:val="22"/>
        </w:rPr>
        <w:t xml:space="preserve"> za predchádzajúce účtovné obdobie bola schválená </w:t>
      </w:r>
      <w:r w:rsidR="00BC6177">
        <w:rPr>
          <w:rFonts w:ascii="Arial Narrow" w:hAnsi="Arial Narrow" w:cs="Arial Narrow"/>
          <w:sz w:val="22"/>
          <w:szCs w:val="22"/>
        </w:rPr>
        <w:t>04</w:t>
      </w:r>
      <w:r>
        <w:rPr>
          <w:rFonts w:ascii="Arial Narrow" w:hAnsi="Arial Narrow" w:cs="Arial Narrow"/>
          <w:sz w:val="22"/>
          <w:szCs w:val="22"/>
        </w:rPr>
        <w:t>.03.202</w:t>
      </w:r>
      <w:r w:rsidR="00BC6177">
        <w:rPr>
          <w:rFonts w:ascii="Arial Narrow" w:hAnsi="Arial Narrow" w:cs="Arial Narrow"/>
          <w:sz w:val="22"/>
          <w:szCs w:val="22"/>
        </w:rPr>
        <w:t>4</w:t>
      </w:r>
      <w:r>
        <w:rPr>
          <w:rFonts w:ascii="Arial Narrow" w:hAnsi="Arial Narrow" w:cs="Arial Narrow"/>
          <w:sz w:val="22"/>
          <w:szCs w:val="22"/>
        </w:rPr>
        <w:t>.</w:t>
      </w:r>
    </w:p>
    <w:p w14:paraId="45666627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 </w:t>
      </w:r>
    </w:p>
    <w:p w14:paraId="0469BE70" w14:textId="77777777" w:rsidR="009474C8" w:rsidRDefault="00F509AF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</w:rPr>
        <w:t>Právny dôvod</w:t>
      </w:r>
      <w:r>
        <w:rPr>
          <w:rFonts w:ascii="Arial Narrow" w:hAnsi="Arial Narrow" w:cs="Arial Narrow"/>
          <w:sz w:val="22"/>
          <w:szCs w:val="22"/>
        </w:rPr>
        <w:t xml:space="preserve"> na zostavenie účtovnej závierky: riadna</w:t>
      </w:r>
    </w:p>
    <w:p w14:paraId="67BB811D" w14:textId="77777777" w:rsidR="009474C8" w:rsidRDefault="009474C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5518BE" w14:textId="77777777" w:rsidR="009474C8" w:rsidRDefault="00F509AF">
      <w:pPr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4) </w:t>
      </w:r>
      <w:r>
        <w:rPr>
          <w:rFonts w:ascii="Arial Narrow" w:hAnsi="Arial Narrow" w:cs="Arial Narrow"/>
          <w:bCs/>
          <w:sz w:val="22"/>
          <w:szCs w:val="22"/>
          <w:u w:val="single"/>
        </w:rPr>
        <w:t>Údaje o skupine</w:t>
      </w:r>
      <w:r>
        <w:rPr>
          <w:rFonts w:ascii="Arial Narrow" w:hAnsi="Arial Narrow" w:cs="Arial Narrow"/>
          <w:bCs/>
          <w:sz w:val="22"/>
          <w:szCs w:val="22"/>
        </w:rPr>
        <w:t xml:space="preserve"> účtovných jednotiek v súvislosti </w:t>
      </w:r>
      <w:r>
        <w:rPr>
          <w:rFonts w:ascii="Arial Narrow" w:hAnsi="Arial Narrow" w:cs="Arial Narrow"/>
          <w:b/>
          <w:bCs/>
          <w:sz w:val="22"/>
          <w:szCs w:val="22"/>
        </w:rPr>
        <w:t>s konsolidáciou</w:t>
      </w:r>
      <w:r>
        <w:rPr>
          <w:rFonts w:ascii="Arial Narrow" w:hAnsi="Arial Narrow" w:cs="Arial Narrow"/>
          <w:bCs/>
          <w:sz w:val="22"/>
          <w:szCs w:val="22"/>
        </w:rPr>
        <w:t>: spoločnosť nie je súčasťou konsolidovaného celku</w:t>
      </w:r>
    </w:p>
    <w:p w14:paraId="1EA2F762" w14:textId="77777777" w:rsidR="009474C8" w:rsidRDefault="009474C8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CF93394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Účtovná jednotka  nie je materskou účtovnou jednotkou. </w:t>
      </w:r>
    </w:p>
    <w:p w14:paraId="2F3CB1D3" w14:textId="77777777" w:rsidR="009474C8" w:rsidRDefault="009474C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467EA546" w14:textId="77777777" w:rsidR="009474C8" w:rsidRDefault="009474C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3973C0F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5) </w:t>
      </w:r>
      <w:r>
        <w:rPr>
          <w:rFonts w:ascii="Arial Narrow" w:hAnsi="Arial Narrow" w:cs="Arial Narrow"/>
          <w:sz w:val="22"/>
          <w:szCs w:val="22"/>
          <w:u w:val="single"/>
        </w:rPr>
        <w:t>Priemerný prepočítaný počet zamestnancov účtovnej jednotky</w:t>
      </w:r>
      <w:r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5"/>
        <w:gridCol w:w="2464"/>
        <w:gridCol w:w="2311"/>
      </w:tblGrid>
      <w:tr w:rsidR="009474C8" w14:paraId="57A0F0E2" w14:textId="77777777">
        <w:trPr>
          <w:trHeight w:val="537"/>
        </w:trPr>
        <w:tc>
          <w:tcPr>
            <w:tcW w:w="2492" w:type="pct"/>
            <w:vAlign w:val="center"/>
          </w:tcPr>
          <w:p w14:paraId="5BE7C5D1" w14:textId="77777777" w:rsidR="009474C8" w:rsidRDefault="00F509AF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659CCFDF" w14:textId="77777777" w:rsidR="009474C8" w:rsidRDefault="00F509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4BDF7BE5" w14:textId="77777777" w:rsidR="009474C8" w:rsidRDefault="00F509AF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9474C8" w14:paraId="4D001EC6" w14:textId="77777777">
        <w:trPr>
          <w:trHeight w:val="163"/>
        </w:trPr>
        <w:tc>
          <w:tcPr>
            <w:tcW w:w="2492" w:type="pct"/>
            <w:vAlign w:val="bottom"/>
          </w:tcPr>
          <w:p w14:paraId="5445EF22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Priemerný prepočítaný počet počas účtovného obdobia</w:t>
            </w:r>
          </w:p>
        </w:tc>
        <w:tc>
          <w:tcPr>
            <w:tcW w:w="1294" w:type="pct"/>
            <w:vAlign w:val="bottom"/>
          </w:tcPr>
          <w:p w14:paraId="19F3CDCF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 0</w:t>
            </w:r>
          </w:p>
        </w:tc>
        <w:tc>
          <w:tcPr>
            <w:tcW w:w="1214" w:type="pct"/>
            <w:vAlign w:val="bottom"/>
          </w:tcPr>
          <w:p w14:paraId="392B4B9A" w14:textId="77777777" w:rsidR="009474C8" w:rsidRDefault="00F509AF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14:paraId="18A964E1" w14:textId="77777777" w:rsidR="009474C8" w:rsidRDefault="009474C8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358FC223" w14:textId="77777777" w:rsidR="009474C8" w:rsidRDefault="009474C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7178D9B" w14:textId="77777777" w:rsidR="009474C8" w:rsidRDefault="00F509AF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0DA06BCC" w14:textId="77777777" w:rsidR="009474C8" w:rsidRDefault="009474C8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5E542795" w14:textId="77777777" w:rsidR="009474C8" w:rsidRDefault="00F509AF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jednotky:</w:t>
      </w:r>
    </w:p>
    <w:p w14:paraId="5D7F5AFD" w14:textId="77777777" w:rsidR="009474C8" w:rsidRDefault="00F509AF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lastRenderedPageBreak/>
        <w:t xml:space="preserve">informácie o podmienkach a výške jednotlivých druhov záruk: </w:t>
      </w:r>
      <w:r>
        <w:rPr>
          <w:rFonts w:ascii="Arial Narrow" w:hAnsi="Arial Narrow" w:cs="Arial Narrow"/>
          <w:bCs/>
          <w:sz w:val="22"/>
          <w:szCs w:val="22"/>
        </w:rPr>
        <w:tab/>
        <w:t>žiadne</w:t>
      </w:r>
    </w:p>
    <w:p w14:paraId="79D29045" w14:textId="77777777" w:rsidR="009474C8" w:rsidRDefault="00F509AF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>informácie o podmienkach a výške iných zabezpečení: žiadne</w:t>
      </w:r>
    </w:p>
    <w:p w14:paraId="1DF5AAA5" w14:textId="77777777" w:rsidR="009474C8" w:rsidRDefault="00F509AF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o pôžičkách a ich podmienkach: žiadne</w:t>
      </w:r>
    </w:p>
    <w:p w14:paraId="74A02DEA" w14:textId="77777777" w:rsidR="009474C8" w:rsidRDefault="00F509AF">
      <w:pPr>
        <w:numPr>
          <w:ilvl w:val="0"/>
          <w:numId w:val="2"/>
        </w:numPr>
        <w:spacing w:after="120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Informácie o použití majetku účtovnej jednotky na súkromné účely: žiadne</w:t>
      </w:r>
    </w:p>
    <w:p w14:paraId="400E7021" w14:textId="77777777" w:rsidR="009474C8" w:rsidRDefault="009474C8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4F0813A" w14:textId="77777777" w:rsidR="009474C8" w:rsidRDefault="009474C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199A3C61" w14:textId="77777777" w:rsidR="009474C8" w:rsidRDefault="00F509AF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III – INFORMÁCIE O PRIJATÝCH POSTUPOCH</w:t>
      </w:r>
    </w:p>
    <w:p w14:paraId="4D0B1274" w14:textId="77777777" w:rsidR="009474C8" w:rsidRDefault="009474C8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CCFD557" w14:textId="77777777" w:rsidR="009474C8" w:rsidRDefault="00F509AF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Spoločnosť zostavila účtovnú závierku za splnenia predpokladu, že účtovná jednotka bude </w:t>
      </w:r>
      <w:r>
        <w:rPr>
          <w:rFonts w:ascii="Arial Narrow" w:hAnsi="Arial Narrow" w:cs="Arial Narrow"/>
          <w:b/>
          <w:sz w:val="22"/>
          <w:szCs w:val="22"/>
        </w:rPr>
        <w:t>nepretržite pokračovať</w:t>
      </w:r>
      <w:r>
        <w:rPr>
          <w:rFonts w:ascii="Arial Narrow" w:hAnsi="Arial Narrow" w:cs="Arial Narrow"/>
          <w:sz w:val="22"/>
          <w:szCs w:val="22"/>
        </w:rPr>
        <w:t xml:space="preserve"> vo svojej činnosti minimálne 12 mesiacov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v zmysle § 7 ods. 4 zákona o účtovníctve. </w:t>
      </w:r>
    </w:p>
    <w:p w14:paraId="0C384559" w14:textId="77777777" w:rsidR="009474C8" w:rsidRDefault="009474C8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5C91988" w14:textId="77777777" w:rsidR="009474C8" w:rsidRDefault="00F509AF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Spoločnosť aplikovala účtovné zásady a účtovné metódy, ktoré sú dôležité na posúdenie majetku, záväzkov, finančnej situácie a výsledku hospodárenia konzistentne. </w:t>
      </w:r>
    </w:p>
    <w:p w14:paraId="6EE56B11" w14:textId="77777777" w:rsidR="009474C8" w:rsidRDefault="009474C8">
      <w:pPr>
        <w:numPr>
          <w:ilvl w:val="0"/>
          <w:numId w:val="2"/>
        </w:num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72496442" w14:textId="77777777" w:rsidR="009474C8" w:rsidRDefault="00F509AF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Spoločnosť si nie je vedomá žiadnych </w:t>
      </w:r>
      <w:r>
        <w:rPr>
          <w:rFonts w:ascii="Arial Narrow" w:hAnsi="Arial Narrow" w:cs="Arial Narrow"/>
          <w:b/>
          <w:sz w:val="22"/>
          <w:szCs w:val="22"/>
        </w:rPr>
        <w:t>transakcií, ktoré by neboli neuvedené v súvahe</w:t>
      </w:r>
      <w:r>
        <w:rPr>
          <w:rFonts w:ascii="Arial Narrow" w:hAnsi="Arial Narrow" w:cs="Arial Narrow"/>
          <w:sz w:val="22"/>
          <w:szCs w:val="22"/>
        </w:rPr>
        <w:t xml:space="preserve">, a ktoré by pre spoločnosť predstavovali významné budúce </w:t>
      </w:r>
      <w:r>
        <w:rPr>
          <w:rFonts w:ascii="Arial Narrow" w:hAnsi="Arial Narrow" w:cs="Arial Narrow"/>
          <w:sz w:val="22"/>
          <w:szCs w:val="22"/>
          <w:u w:val="single"/>
        </w:rPr>
        <w:t>riziko alebo prínosy.</w:t>
      </w:r>
      <w:r>
        <w:rPr>
          <w:rFonts w:ascii="Arial Narrow" w:hAnsi="Arial Narrow" w:cs="Arial Narrow"/>
          <w:sz w:val="22"/>
          <w:szCs w:val="22"/>
        </w:rPr>
        <w:t xml:space="preserve"> (napr. súdne spory, zmluvy, časovo limitované licencie a oprávnenia, podnikové kombinácie, záväzky investovať, dopad legislatívy, celkový pokles v hospodárskom segmente):    </w:t>
      </w:r>
    </w:p>
    <w:p w14:paraId="04982633" w14:textId="77777777" w:rsidR="009474C8" w:rsidRDefault="009474C8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BFE2D7F" w14:textId="77777777" w:rsidR="009474C8" w:rsidRDefault="00F509AF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4) </w:t>
      </w:r>
      <w:r>
        <w:rPr>
          <w:rFonts w:ascii="Arial Narrow" w:hAnsi="Arial Narrow" w:cs="Arial Narrow"/>
          <w:b/>
          <w:sz w:val="22"/>
          <w:szCs w:val="22"/>
        </w:rPr>
        <w:t>Spôsob a určenie oceňovania</w:t>
      </w:r>
      <w:r>
        <w:rPr>
          <w:rFonts w:ascii="Arial Narrow" w:hAnsi="Arial Narrow" w:cs="Arial Narrow"/>
          <w:sz w:val="22"/>
          <w:szCs w:val="22"/>
        </w:rPr>
        <w:t xml:space="preserve"> majetku a záväzkov (vrátane rozhodujúcich odhadov):</w:t>
      </w:r>
    </w:p>
    <w:p w14:paraId="4124391A" w14:textId="77777777" w:rsidR="009474C8" w:rsidRDefault="00F509AF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Spôsob oceňovania majetku a záväzkov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):</w:t>
      </w:r>
    </w:p>
    <w:p w14:paraId="25AF7DBA" w14:textId="77777777" w:rsidR="009474C8" w:rsidRDefault="009474C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9474C8" w14:paraId="45259DF0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15E5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DD69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E0294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9474C8" w14:paraId="7ADC4798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28E68A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11A9D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6FB1C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474C8" w14:paraId="69DBBACA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39E08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29702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1C8A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9474C8" w14:paraId="20E7FAA4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9BD5D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546D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DC9EA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9474C8" w14:paraId="494B72DD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16E1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5A383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E901C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474C8" w14:paraId="7865F96E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26951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F2AE2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hmotný ma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CEDA8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9474C8" w14:paraId="7BE0C24B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EE206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20420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3AE3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9474C8" w14:paraId="5EA633C2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AC169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AD73F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080B3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474C8" w14:paraId="7E99A7E2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C866D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DBB1F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05E98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474C8" w14:paraId="4385B539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A91EB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9.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CD849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4248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9474C8" w14:paraId="31239124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62937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81731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soby obstarané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EA884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</w:tr>
      <w:tr w:rsidR="009474C8" w14:paraId="39EDD208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83ECF7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6A63C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ZV a zákazková výstavba nehnuteľnosti určenej 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411DA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474C8" w14:paraId="39EB819B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F3DB7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0F9A41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845B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474C8" w14:paraId="09D39FD6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FC64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A3D13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5FD50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474C8" w14:paraId="5BE1D95B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789F2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3BB0B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5C53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474C8" w14:paraId="3E6C9270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C65FC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11392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8328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474C8" w14:paraId="59142CF2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AA4A8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BB64B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D3F5B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474C8" w14:paraId="7112F07F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242A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160CE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C14A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474C8" w14:paraId="6E02B7B1" w14:textId="777777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13650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D96C6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en-AU"/>
              </w:rPr>
            </w:pP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D</w:t>
            </w:r>
            <w:r>
              <w:rPr>
                <w:rFonts w:ascii="Arial Narrow" w:hAnsi="Arial Narrow" w:cs="Arial"/>
                <w:spacing w:val="-1"/>
                <w:sz w:val="22"/>
                <w:szCs w:val="22"/>
                <w:lang w:val="en-AU"/>
              </w:rPr>
              <w:t>e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riv</w:t>
            </w:r>
            <w:r>
              <w:rPr>
                <w:rFonts w:ascii="Arial Narrow" w:hAnsi="Arial Narrow" w:cs="Arial"/>
                <w:spacing w:val="-2"/>
                <w:sz w:val="22"/>
                <w:szCs w:val="22"/>
                <w:lang w:val="en-AU"/>
              </w:rPr>
              <w:t>á</w:t>
            </w:r>
            <w:r>
              <w:rPr>
                <w:rFonts w:ascii="Arial Narrow" w:hAnsi="Arial Narrow" w:cs="Arial"/>
                <w:sz w:val="22"/>
                <w:szCs w:val="22"/>
                <w:lang w:val="en-AU"/>
              </w:rPr>
              <w:t>ty: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DD935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474C8" w14:paraId="6414F549" w14:textId="77777777">
        <w:tc>
          <w:tcPr>
            <w:tcW w:w="706" w:type="dxa"/>
            <w:shd w:val="clear" w:color="auto" w:fill="auto"/>
          </w:tcPr>
          <w:p w14:paraId="794E01A6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40A2435A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</w:tcPr>
          <w:p w14:paraId="2BFEABE3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9474C8" w14:paraId="22E778E6" w14:textId="77777777">
        <w:tc>
          <w:tcPr>
            <w:tcW w:w="706" w:type="dxa"/>
            <w:shd w:val="clear" w:color="auto" w:fill="auto"/>
          </w:tcPr>
          <w:p w14:paraId="1312D8D9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5515C2D0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</w:tcPr>
          <w:p w14:paraId="3EDF986E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9474C8" w14:paraId="6841D61C" w14:textId="77777777">
        <w:tc>
          <w:tcPr>
            <w:tcW w:w="706" w:type="dxa"/>
            <w:shd w:val="clear" w:color="auto" w:fill="auto"/>
          </w:tcPr>
          <w:p w14:paraId="2515C73A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20.</w:t>
            </w:r>
          </w:p>
        </w:tc>
        <w:tc>
          <w:tcPr>
            <w:tcW w:w="5300" w:type="dxa"/>
            <w:shd w:val="clear" w:color="auto" w:fill="auto"/>
          </w:tcPr>
          <w:p w14:paraId="4F88D456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  <w:lang w:eastAsia="en-U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</w:tcPr>
          <w:p w14:paraId="4F46C008" w14:textId="77777777" w:rsidR="009474C8" w:rsidRDefault="00F509AF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40BFDCE5" w14:textId="77777777" w:rsidR="009474C8" w:rsidRDefault="009474C8">
      <w:pPr>
        <w:jc w:val="both"/>
        <w:rPr>
          <w:rFonts w:ascii="Arial Narrow" w:hAnsi="Arial Narrow" w:cs="Arial Narrow"/>
          <w:sz w:val="22"/>
          <w:szCs w:val="22"/>
        </w:rPr>
      </w:pPr>
    </w:p>
    <w:p w14:paraId="1B8A062D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je zaúčtované formou opravnej položky stanovené odborným odhadom bonity klienta. </w:t>
      </w:r>
    </w:p>
    <w:p w14:paraId="191B9CAE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Záväzky účtovná jednotka ocenila menovitou hodnotou záväzkov. Rezervy účtovná jednotka ocenila odborným odhadom budúcej menovitej hodnoty potrebnej na ich úhradu. </w:t>
      </w:r>
    </w:p>
    <w:p w14:paraId="535678C1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>
        <w:rPr>
          <w:rFonts w:ascii="Arial Narrow" w:hAnsi="Arial Narrow" w:cs="Arial Narrow"/>
          <w:b/>
          <w:sz w:val="22"/>
          <w:szCs w:val="22"/>
        </w:rPr>
        <w:t>reálnou hodnotou</w:t>
      </w:r>
      <w:r>
        <w:rPr>
          <w:rFonts w:ascii="Arial Narrow" w:hAnsi="Arial Narrow" w:cs="Arial Narrow"/>
          <w:sz w:val="22"/>
          <w:szCs w:val="22"/>
        </w:rPr>
        <w:t>:</w:t>
      </w:r>
    </w:p>
    <w:p w14:paraId="37637123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lastRenderedPageBreak/>
        <w:t xml:space="preserve">e) Určenie ocenenia </w:t>
      </w:r>
      <w:r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7CF80A34" w14:textId="77777777" w:rsidR="009474C8" w:rsidRDefault="00F509AF">
      <w:pPr>
        <w:spacing w:after="1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>
        <w:rPr>
          <w:rFonts w:ascii="Arial Narrow" w:hAnsi="Arial Narrow"/>
          <w:sz w:val="22"/>
          <w:szCs w:val="22"/>
        </w:rPr>
        <w:t xml:space="preserve">: </w:t>
      </w:r>
    </w:p>
    <w:p w14:paraId="52AC5976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Finančné nástroje</w:t>
      </w:r>
      <w:r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>
        <w:rPr>
          <w:rFonts w:ascii="Arial Narrow" w:hAnsi="Arial Narrow" w:cs="Arial Narrow"/>
          <w:sz w:val="22"/>
          <w:szCs w:val="22"/>
        </w:rPr>
        <w:t>Z.z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>
        <w:rPr>
          <w:rFonts w:ascii="Arial Narrow" w:hAnsi="Arial Narrow" w:cs="Arial Narrow"/>
          <w:sz w:val="22"/>
          <w:szCs w:val="22"/>
        </w:rPr>
        <w:t>futures</w:t>
      </w:r>
      <w:proofErr w:type="spellEnd"/>
      <w:r>
        <w:rPr>
          <w:rFonts w:ascii="Arial Narrow" w:hAnsi="Arial Narrow" w:cs="Arial Narrow"/>
          <w:sz w:val="22"/>
          <w:szCs w:val="22"/>
        </w:rPr>
        <w:t>, swapy, forwardy), nástroje peňažného trhu (pokladničné poukážky, vkladové listy).</w:t>
      </w:r>
    </w:p>
    <w:p w14:paraId="38F0E55A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Opravné položky</w:t>
      </w:r>
      <w:r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odborným odhadom bonity príslušného majetku.</w:t>
      </w:r>
    </w:p>
    <w:p w14:paraId="0C9B6D3D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41BA71D6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  <w:u w:val="single"/>
        </w:rPr>
        <w:t>Rezervy</w:t>
      </w:r>
      <w:r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28ADECD2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), ani k </w:t>
      </w:r>
      <w:proofErr w:type="spellStart"/>
      <w:r>
        <w:rPr>
          <w:rFonts w:ascii="Arial Narrow" w:hAnsi="Arial Narrow" w:cs="Arial Narrow"/>
          <w:sz w:val="22"/>
          <w:szCs w:val="22"/>
        </w:rPr>
        <w:t>závierkovému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nepoužila ocenenie </w:t>
      </w:r>
      <w:r>
        <w:rPr>
          <w:rFonts w:ascii="Arial Narrow" w:hAnsi="Arial Narrow" w:cs="Arial Narrow"/>
          <w:sz w:val="22"/>
          <w:szCs w:val="22"/>
          <w:u w:val="single"/>
        </w:rPr>
        <w:t>reálnou hodnotou</w:t>
      </w:r>
      <w:r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3362F21B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22/1 PU).</w:t>
      </w:r>
    </w:p>
    <w:p w14:paraId="75EECA06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prírastku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>
        <w:rPr>
          <w:rFonts w:ascii="Arial Narrow" w:hAnsi="Arial Narrow" w:cs="Arial Narrow"/>
          <w:sz w:val="22"/>
          <w:szCs w:val="22"/>
          <w:u w:val="single"/>
        </w:rPr>
        <w:t>zmenárenský kurz</w:t>
      </w:r>
      <w:r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64C94EAD" w14:textId="77777777" w:rsidR="009474C8" w:rsidRDefault="00F509AF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používa pri oceňovaní </w:t>
      </w:r>
      <w:r>
        <w:rPr>
          <w:rFonts w:ascii="Arial Narrow" w:hAnsi="Arial Narrow" w:cs="Arial Narrow"/>
          <w:sz w:val="22"/>
          <w:szCs w:val="22"/>
          <w:u w:val="single"/>
        </w:rPr>
        <w:t>úbytku</w:t>
      </w:r>
      <w:r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>
        <w:rPr>
          <w:rFonts w:ascii="Arial Narrow" w:hAnsi="Arial Narrow" w:cs="Arial Narrow"/>
          <w:sz w:val="22"/>
          <w:szCs w:val="22"/>
          <w:u w:val="single"/>
        </w:rPr>
        <w:t>základné pravidlo</w:t>
      </w:r>
      <w:r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19DC1E7D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).</w:t>
      </w:r>
    </w:p>
    <w:p w14:paraId="2C8A5A82" w14:textId="77777777" w:rsidR="009474C8" w:rsidRDefault="009474C8"/>
    <w:p w14:paraId="52BEF070" w14:textId="77777777" w:rsidR="009474C8" w:rsidRDefault="00F509AF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g) </w:t>
      </w:r>
      <w:r>
        <w:rPr>
          <w:rFonts w:ascii="Arial Narrow" w:hAnsi="Arial Narrow" w:cs="Arial Narrow"/>
          <w:bCs w:val="0"/>
          <w:sz w:val="22"/>
          <w:szCs w:val="22"/>
        </w:rPr>
        <w:t>Tvorba odpisového plánu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57"/>
        <w:gridCol w:w="1005"/>
        <w:gridCol w:w="2087"/>
        <w:gridCol w:w="2239"/>
      </w:tblGrid>
      <w:tr w:rsidR="009474C8" w14:paraId="46F5B876" w14:textId="77777777">
        <w:tc>
          <w:tcPr>
            <w:tcW w:w="4218" w:type="dxa"/>
          </w:tcPr>
          <w:p w14:paraId="021ACFE8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Dlhodobý hmotný a nehmotný</w:t>
            </w:r>
          </w:p>
          <w:p w14:paraId="59A6BB3D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odpisovaný majetok</w:t>
            </w:r>
          </w:p>
        </w:tc>
        <w:tc>
          <w:tcPr>
            <w:tcW w:w="1013" w:type="dxa"/>
          </w:tcPr>
          <w:p w14:paraId="6C6A09B2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3B02F025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7AC3864B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3A03D6B2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4050306C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5F5E7D31" w14:textId="77777777" w:rsidR="009474C8" w:rsidRDefault="00F509AF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9474C8" w14:paraId="3AC09399" w14:textId="77777777">
        <w:tc>
          <w:tcPr>
            <w:tcW w:w="4218" w:type="dxa"/>
          </w:tcPr>
          <w:p w14:paraId="5BB263C7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65AAAC1F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5F9A1181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349E5F73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9474C8" w14:paraId="185DC48D" w14:textId="77777777">
        <w:tc>
          <w:tcPr>
            <w:tcW w:w="4218" w:type="dxa"/>
          </w:tcPr>
          <w:p w14:paraId="08EB1FBD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3F2D5041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486CA91A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A01BF9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9474C8" w14:paraId="13DF923C" w14:textId="77777777">
        <w:tc>
          <w:tcPr>
            <w:tcW w:w="4218" w:type="dxa"/>
          </w:tcPr>
          <w:p w14:paraId="604A0553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12BB3286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328DEB57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098A25FA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9474C8" w14:paraId="1E2F630F" w14:textId="77777777">
        <w:tc>
          <w:tcPr>
            <w:tcW w:w="4218" w:type="dxa"/>
          </w:tcPr>
          <w:p w14:paraId="02F9B3EF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Počítače s príslušenstvom</w:t>
            </w:r>
          </w:p>
        </w:tc>
        <w:tc>
          <w:tcPr>
            <w:tcW w:w="1013" w:type="dxa"/>
          </w:tcPr>
          <w:p w14:paraId="40788AC7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6B70BB8D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ED7F719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9474C8" w14:paraId="27E6C198" w14:textId="77777777">
        <w:tc>
          <w:tcPr>
            <w:tcW w:w="4218" w:type="dxa"/>
          </w:tcPr>
          <w:p w14:paraId="1AF7FC49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6963B16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3C65882B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E25B6E9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14,3</w:t>
            </w:r>
          </w:p>
        </w:tc>
      </w:tr>
      <w:tr w:rsidR="009474C8" w14:paraId="215CD5BF" w14:textId="77777777">
        <w:tc>
          <w:tcPr>
            <w:tcW w:w="4218" w:type="dxa"/>
          </w:tcPr>
          <w:p w14:paraId="5A9D997E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6B16563B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52F6FF02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8A1C704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9474C8" w14:paraId="44B0CE5E" w14:textId="77777777">
        <w:tc>
          <w:tcPr>
            <w:tcW w:w="4218" w:type="dxa"/>
          </w:tcPr>
          <w:p w14:paraId="0180CC71" w14:textId="77777777" w:rsidR="009474C8" w:rsidRDefault="00F509AF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52FCC8A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5C69A88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3F2334E3" w14:textId="77777777" w:rsidR="009474C8" w:rsidRDefault="00F509AF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</w:t>
            </w:r>
          </w:p>
        </w:tc>
      </w:tr>
    </w:tbl>
    <w:p w14:paraId="4DE9C730" w14:textId="77777777" w:rsidR="009474C8" w:rsidRDefault="00F509AF">
      <w:p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14:paraId="1C8B4A84" w14:textId="77777777" w:rsidR="009474C8" w:rsidRDefault="009474C8">
      <w:pPr>
        <w:jc w:val="both"/>
        <w:rPr>
          <w:rFonts w:ascii="Arial Narrow" w:hAnsi="Arial Narrow" w:cs="Arial"/>
          <w:sz w:val="22"/>
          <w:szCs w:val="22"/>
        </w:rPr>
      </w:pPr>
    </w:p>
    <w:p w14:paraId="26B667C5" w14:textId="77777777" w:rsidR="009474C8" w:rsidRDefault="009474C8">
      <w:pPr>
        <w:jc w:val="both"/>
        <w:rPr>
          <w:rFonts w:ascii="Arial Narrow" w:hAnsi="Arial Narrow" w:cs="Arial"/>
          <w:sz w:val="22"/>
          <w:szCs w:val="22"/>
        </w:rPr>
      </w:pPr>
    </w:p>
    <w:p w14:paraId="3EB7C4C9" w14:textId="77777777" w:rsidR="009474C8" w:rsidRDefault="00F509AF">
      <w:pPr>
        <w:spacing w:after="12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  <w:u w:val="single"/>
        </w:rPr>
        <w:t>Komentár k odpisovému plánu</w:t>
      </w:r>
      <w:r>
        <w:rPr>
          <w:rFonts w:ascii="Arial Narrow" w:hAnsi="Arial Narrow"/>
          <w:sz w:val="22"/>
          <w:szCs w:val="22"/>
        </w:rPr>
        <w:t xml:space="preserve">: </w:t>
      </w:r>
    </w:p>
    <w:p w14:paraId="2B053327" w14:textId="77777777" w:rsidR="009474C8" w:rsidRDefault="00F509AF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>
        <w:rPr>
          <w:rFonts w:ascii="Arial Narrow" w:hAnsi="Arial Narrow" w:cs="Arial"/>
          <w:sz w:val="22"/>
          <w:szCs w:val="22"/>
          <w:u w:val="single"/>
        </w:rPr>
        <w:t>zaradený do užívania</w:t>
      </w:r>
      <w:r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01883ABC" w14:textId="77777777" w:rsidR="009474C8" w:rsidRDefault="00F509AF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používa </w:t>
      </w:r>
      <w:r>
        <w:rPr>
          <w:rFonts w:ascii="Arial Narrow" w:hAnsi="Arial Narrow" w:cs="Arial"/>
          <w:sz w:val="22"/>
          <w:szCs w:val="22"/>
          <w:u w:val="single"/>
        </w:rPr>
        <w:t>rovnomerné odpisovanie</w:t>
      </w:r>
      <w:r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6241F06C" w14:textId="77777777" w:rsidR="009474C8" w:rsidRDefault="00F509AF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>
        <w:rPr>
          <w:rFonts w:ascii="Arial Narrow" w:hAnsi="Arial Narrow" w:cs="Arial"/>
          <w:sz w:val="22"/>
          <w:szCs w:val="22"/>
          <w:u w:val="single"/>
        </w:rPr>
        <w:t>súbory hnuteľných vecí</w:t>
      </w:r>
      <w:r>
        <w:rPr>
          <w:rFonts w:ascii="Arial Narrow" w:hAnsi="Arial Narrow" w:cs="Arial"/>
          <w:sz w:val="22"/>
          <w:szCs w:val="22"/>
        </w:rPr>
        <w:t xml:space="preserve"> (napr. počítačová sieť, nábytková zostava). UJ nepoužíva komponentné odpisovanie (odpisovanie častí majetku - komponentov).</w:t>
      </w:r>
    </w:p>
    <w:p w14:paraId="16B14CEF" w14:textId="77777777" w:rsidR="009474C8" w:rsidRDefault="00F509AF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UJ nepoužila </w:t>
      </w:r>
      <w:r>
        <w:rPr>
          <w:rFonts w:ascii="Arial Narrow" w:hAnsi="Arial Narrow" w:cs="Arial Narrow"/>
          <w:sz w:val="22"/>
          <w:szCs w:val="22"/>
          <w:u w:val="single"/>
        </w:rPr>
        <w:t>jednorazový odpis</w:t>
      </w:r>
      <w:r>
        <w:rPr>
          <w:rFonts w:ascii="Arial Narrow" w:hAnsi="Arial Narrow" w:cs="Arial Narrow"/>
          <w:b/>
          <w:sz w:val="22"/>
          <w:szCs w:val="22"/>
        </w:rPr>
        <w:t xml:space="preserve"> </w:t>
      </w:r>
      <w:r>
        <w:rPr>
          <w:rFonts w:ascii="Arial Narrow" w:hAnsi="Arial Narrow" w:cs="Arial Narrow"/>
          <w:sz w:val="22"/>
          <w:szCs w:val="22"/>
        </w:rPr>
        <w:t>dlhodobého majetku z dôvodu jednorazového trvalého zníženia hodnoty majetku (§ 21/5 PU).</w:t>
      </w:r>
    </w:p>
    <w:p w14:paraId="2AE128C5" w14:textId="77777777" w:rsidR="009474C8" w:rsidRDefault="00F509AF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ÚJ </w:t>
      </w:r>
      <w:r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>
        <w:rPr>
          <w:rFonts w:ascii="Arial Narrow" w:hAnsi="Arial Narrow"/>
          <w:sz w:val="22"/>
          <w:szCs w:val="22"/>
        </w:rPr>
        <w:t xml:space="preserve"> - položky pod 2 400 eur jednotkovej ceny so životnosťou nad jeden rok (§ 13/2 PU).</w:t>
      </w:r>
    </w:p>
    <w:p w14:paraId="1AE5CD09" w14:textId="77777777" w:rsidR="009474C8" w:rsidRDefault="00F509AF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ÚJ </w:t>
      </w:r>
      <w:r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>
        <w:rPr>
          <w:rFonts w:ascii="Arial Narrow" w:hAnsi="Arial Narrow"/>
          <w:sz w:val="22"/>
          <w:szCs w:val="22"/>
        </w:rPr>
        <w:t xml:space="preserve"> - položky pod 1 700 eur jednotkovej ceny so životnosťou nad jeden rok (§ 13/6 PU).</w:t>
      </w:r>
    </w:p>
    <w:p w14:paraId="7CF77FF9" w14:textId="77777777" w:rsidR="009474C8" w:rsidRDefault="00F509AF">
      <w:pPr>
        <w:numPr>
          <w:ilvl w:val="0"/>
          <w:numId w:val="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>
        <w:rPr>
          <w:rFonts w:ascii="Arial Narrow" w:hAnsi="Arial Narrow" w:cs="Arial Narrow"/>
          <w:sz w:val="22"/>
          <w:szCs w:val="22"/>
        </w:rPr>
        <w:t xml:space="preserve"> do odpisovaného dlhodobého majetku – technické zhodnotenie pod 1 700 eur za účtovné obdobie (§ 21/3 PU; § 29/2 ZDP).</w:t>
      </w:r>
    </w:p>
    <w:p w14:paraId="3DF56C04" w14:textId="77777777" w:rsidR="009474C8" w:rsidRDefault="00F509AF">
      <w:pPr>
        <w:numPr>
          <w:ilvl w:val="0"/>
          <w:numId w:val="4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ÚJ </w:t>
      </w:r>
      <w:r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>
        <w:rPr>
          <w:rFonts w:ascii="Arial Narrow" w:hAnsi="Arial Narrow" w:cs="Arial Narrow"/>
          <w:sz w:val="22"/>
          <w:szCs w:val="22"/>
        </w:rPr>
        <w:t xml:space="preserve"> do obstarávacej ceny odpisovaného dlhodobého hmotného majetku alebo dlhodobého nehmotného majetku (§ 34/1 PU; § 35/2/h PU).</w:t>
      </w:r>
    </w:p>
    <w:p w14:paraId="0B3DB956" w14:textId="77777777" w:rsidR="009474C8" w:rsidRDefault="009474C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59FBD096" w14:textId="77777777" w:rsidR="009474C8" w:rsidRDefault="00F509AF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žiadne</w:t>
      </w:r>
    </w:p>
    <w:p w14:paraId="2C7DFB1C" w14:textId="77777777" w:rsidR="009474C8" w:rsidRDefault="009474C8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78173B3C" w14:textId="77777777" w:rsidR="009474C8" w:rsidRDefault="00F509AF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5) </w:t>
      </w:r>
      <w:r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rokov. Účtovná jednotka môže uviesť aj informácie o oprave </w:t>
      </w:r>
      <w:r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9474C8" w14:paraId="4A78535F" w14:textId="77777777">
        <w:tc>
          <w:tcPr>
            <w:tcW w:w="1601" w:type="pct"/>
            <w:shd w:val="clear" w:color="auto" w:fill="auto"/>
          </w:tcPr>
          <w:p w14:paraId="2E485360" w14:textId="77777777" w:rsidR="009474C8" w:rsidRDefault="00F509A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27B356FA" w14:textId="77777777" w:rsidR="009474C8" w:rsidRDefault="00F509A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261C8B24" w14:textId="77777777" w:rsidR="009474C8" w:rsidRDefault="00F509A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012A125" w14:textId="77777777" w:rsidR="009474C8" w:rsidRDefault="00F509A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55BCE3B4" w14:textId="77777777" w:rsidR="009474C8" w:rsidRDefault="00F509A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9474C8" w14:paraId="6A6CCAD9" w14:textId="77777777">
        <w:tc>
          <w:tcPr>
            <w:tcW w:w="1601" w:type="pct"/>
            <w:shd w:val="clear" w:color="auto" w:fill="auto"/>
          </w:tcPr>
          <w:p w14:paraId="05233B55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33A7DADC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4983FF7D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67ED48E2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1511E437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9474C8" w14:paraId="60806BCA" w14:textId="77777777">
        <w:tc>
          <w:tcPr>
            <w:tcW w:w="1601" w:type="pct"/>
            <w:shd w:val="clear" w:color="auto" w:fill="auto"/>
          </w:tcPr>
          <w:p w14:paraId="6AAEE1DD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521BBEDD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0D760D7D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04F028CA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0C597F97" w14:textId="77777777" w:rsidR="009474C8" w:rsidRDefault="009474C8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39B41D78" w14:textId="77777777" w:rsidR="009474C8" w:rsidRDefault="009474C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DDB4C73" w14:textId="77777777" w:rsidR="009474C8" w:rsidRDefault="009474C8">
      <w:pPr>
        <w:jc w:val="both"/>
        <w:rPr>
          <w:rFonts w:ascii="Arial Narrow" w:hAnsi="Arial Narrow" w:cs="Arial Narrow"/>
          <w:sz w:val="22"/>
          <w:szCs w:val="22"/>
        </w:rPr>
      </w:pPr>
    </w:p>
    <w:p w14:paraId="7110B908" w14:textId="77777777" w:rsidR="009474C8" w:rsidRDefault="00F509AF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>
        <w:rPr>
          <w:rFonts w:ascii="Arial Narrow" w:hAnsi="Arial Narrow" w:cs="Arial Narrow"/>
          <w:b/>
          <w:bCs/>
          <w:sz w:val="22"/>
          <w:szCs w:val="22"/>
          <w:u w:val="single"/>
        </w:rPr>
        <w:t>Článok IV – INFORMÁCIE, KTORÉ VYSVETĽUJÚ A DOPĹŇAJÚ SÚVAHU A VÝKAZ ZISKOV A STRÁT</w:t>
      </w:r>
    </w:p>
    <w:p w14:paraId="29975F45" w14:textId="77777777" w:rsidR="009474C8" w:rsidRDefault="009474C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F2E9B2E" w14:textId="77777777" w:rsidR="009474C8" w:rsidRDefault="00F509AF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1) Celková suma </w:t>
      </w:r>
      <w:r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9474C8" w14:paraId="1581E77D" w14:textId="77777777">
        <w:trPr>
          <w:trHeight w:val="693"/>
          <w:jc w:val="center"/>
        </w:trPr>
        <w:tc>
          <w:tcPr>
            <w:tcW w:w="2463" w:type="pct"/>
            <w:vAlign w:val="center"/>
          </w:tcPr>
          <w:p w14:paraId="2A0407A2" w14:textId="77777777" w:rsidR="009474C8" w:rsidRDefault="00F509AF">
            <w:pPr>
              <w:pStyle w:val="TopHeader"/>
            </w:pPr>
            <w:r>
              <w:t>Názov položky</w:t>
            </w:r>
          </w:p>
        </w:tc>
        <w:tc>
          <w:tcPr>
            <w:tcW w:w="1314" w:type="pct"/>
            <w:noWrap/>
            <w:vAlign w:val="center"/>
          </w:tcPr>
          <w:p w14:paraId="77A5961C" w14:textId="77777777" w:rsidR="009474C8" w:rsidRDefault="00F509AF">
            <w:pPr>
              <w:pStyle w:val="TopHeader"/>
            </w:pPr>
            <w:r>
              <w:t>Bežné účtovné obdobie</w:t>
            </w:r>
          </w:p>
        </w:tc>
        <w:tc>
          <w:tcPr>
            <w:tcW w:w="1223" w:type="pct"/>
            <w:vAlign w:val="center"/>
          </w:tcPr>
          <w:p w14:paraId="267C9C38" w14:textId="77777777" w:rsidR="009474C8" w:rsidRDefault="00F509AF">
            <w:pPr>
              <w:pStyle w:val="TopHeader"/>
            </w:pPr>
            <w:r>
              <w:t>Bezprostredne predchádzajúce účtovné obdobie</w:t>
            </w:r>
          </w:p>
        </w:tc>
      </w:tr>
      <w:tr w:rsidR="009474C8" w14:paraId="4B5F1EC9" w14:textId="77777777">
        <w:trPr>
          <w:trHeight w:val="207"/>
          <w:jc w:val="center"/>
        </w:trPr>
        <w:tc>
          <w:tcPr>
            <w:tcW w:w="2463" w:type="pct"/>
            <w:vAlign w:val="center"/>
          </w:tcPr>
          <w:p w14:paraId="339A6367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44E43AB6" w14:textId="77777777" w:rsidR="009474C8" w:rsidRDefault="00F509AF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14:paraId="02AD3F39" w14:textId="77777777" w:rsidR="009474C8" w:rsidRDefault="00F509AF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14:paraId="1B2CDDE4" w14:textId="77777777" w:rsidR="009474C8" w:rsidRDefault="00F509AF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[Vysvetlivky: Zostatková doba splatnosti záväzku alebo jeho časti – je rozdiel medzi dohodnutou dobou splatnosti záväzkov a </w:t>
      </w:r>
      <w:proofErr w:type="spellStart"/>
      <w:r>
        <w:rPr>
          <w:rFonts w:ascii="Arial Narrow" w:hAnsi="Arial Narrow" w:cs="Arial Narrow"/>
          <w:sz w:val="22"/>
          <w:szCs w:val="22"/>
        </w:rPr>
        <w:t>závierkovým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dňom (§ 12 PU).]</w:t>
      </w:r>
    </w:p>
    <w:p w14:paraId="23492848" w14:textId="77777777" w:rsidR="009474C8" w:rsidRDefault="009474C8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89B0B54" w14:textId="77777777" w:rsidR="009474C8" w:rsidRDefault="009474C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F0E5FB1" w14:textId="77777777" w:rsidR="009474C8" w:rsidRDefault="009474C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57A02C2" w14:textId="77777777" w:rsidR="009474C8" w:rsidRDefault="009474C8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4C8B741" w14:textId="77777777" w:rsidR="009474C8" w:rsidRDefault="00F509AF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732AE5DE" w14:textId="77777777" w:rsidR="009474C8" w:rsidRDefault="00F509AF">
      <w:pPr>
        <w:jc w:val="both"/>
        <w:rPr>
          <w:rFonts w:ascii="Arial Narrow" w:hAnsi="Arial Narrow" w:cs="Arial Narrow"/>
          <w:b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1a)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>
        <w:rPr>
          <w:rFonts w:ascii="Arial Narrow" w:hAnsi="Arial Narrow" w:cs="Arial Narrow"/>
          <w:sz w:val="22"/>
          <w:szCs w:val="22"/>
        </w:rPr>
        <w:t xml:space="preserve"> – </w:t>
      </w:r>
      <w:r>
        <w:rPr>
          <w:rFonts w:ascii="Arial Narrow" w:hAnsi="Arial Narrow" w:cs="Arial Narrow"/>
          <w:b/>
          <w:sz w:val="22"/>
          <w:szCs w:val="22"/>
        </w:rPr>
        <w:t>ž</w:t>
      </w:r>
      <w:r>
        <w:rPr>
          <w:rFonts w:ascii="Arial Narrow" w:hAnsi="Arial Narrow" w:cs="Arial Narrow"/>
          <w:sz w:val="22"/>
          <w:szCs w:val="22"/>
        </w:rPr>
        <w:t>iadne</w:t>
      </w:r>
    </w:p>
    <w:p w14:paraId="4FC16AC3" w14:textId="77777777" w:rsidR="009474C8" w:rsidRDefault="009474C8">
      <w:pPr>
        <w:jc w:val="both"/>
        <w:rPr>
          <w:rFonts w:ascii="Arial Narrow" w:hAnsi="Arial Narrow" w:cs="Arial Narrow"/>
          <w:sz w:val="22"/>
          <w:szCs w:val="22"/>
        </w:rPr>
      </w:pPr>
    </w:p>
    <w:p w14:paraId="4A299115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1b)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>
        <w:rPr>
          <w:rFonts w:ascii="Arial Narrow" w:hAnsi="Arial Narrow" w:cs="Arial Narrow"/>
          <w:sz w:val="22"/>
          <w:szCs w:val="22"/>
        </w:rPr>
        <w:t xml:space="preserve"> – žiadne</w:t>
      </w:r>
    </w:p>
    <w:p w14:paraId="37AFAF17" w14:textId="77777777" w:rsidR="009474C8" w:rsidRDefault="009474C8">
      <w:pPr>
        <w:jc w:val="both"/>
        <w:rPr>
          <w:rFonts w:ascii="Arial Narrow" w:hAnsi="Arial Narrow" w:cs="Arial Narrow"/>
          <w:sz w:val="22"/>
          <w:szCs w:val="22"/>
        </w:rPr>
      </w:pPr>
    </w:p>
    <w:p w14:paraId="69DCE4BD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2) </w:t>
      </w:r>
      <w:r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 žiadne</w:t>
      </w:r>
    </w:p>
    <w:p w14:paraId="5A400944" w14:textId="77777777" w:rsidR="009474C8" w:rsidRDefault="009474C8">
      <w:pPr>
        <w:jc w:val="both"/>
        <w:rPr>
          <w:rFonts w:ascii="Arial Narrow" w:hAnsi="Arial Narrow" w:cs="Arial Narrow"/>
          <w:sz w:val="22"/>
          <w:szCs w:val="22"/>
        </w:rPr>
      </w:pPr>
    </w:p>
    <w:p w14:paraId="65B0510A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3) </w:t>
      </w:r>
      <w:r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9474C8" w14:paraId="58B6FF8F" w14:textId="77777777">
        <w:trPr>
          <w:trHeight w:val="780"/>
          <w:jc w:val="center"/>
        </w:trPr>
        <w:tc>
          <w:tcPr>
            <w:tcW w:w="0" w:type="auto"/>
            <w:noWrap/>
            <w:vAlign w:val="center"/>
          </w:tcPr>
          <w:p w14:paraId="3821D695" w14:textId="77777777" w:rsidR="009474C8" w:rsidRDefault="00F509AF">
            <w:pPr>
              <w:pStyle w:val="TopHeader"/>
            </w:pPr>
            <w:r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</w:tcPr>
          <w:p w14:paraId="0531E5D4" w14:textId="77777777" w:rsidR="009474C8" w:rsidRDefault="00F509AF">
            <w:pPr>
              <w:pStyle w:val="TopHeader"/>
            </w:pPr>
            <w:r>
              <w:t>Bežné účtovné obdobie</w:t>
            </w:r>
          </w:p>
        </w:tc>
        <w:tc>
          <w:tcPr>
            <w:tcW w:w="1593" w:type="dxa"/>
            <w:vAlign w:val="center"/>
          </w:tcPr>
          <w:p w14:paraId="664AA55E" w14:textId="77777777" w:rsidR="009474C8" w:rsidRDefault="00F509AF">
            <w:pPr>
              <w:pStyle w:val="TopHeader"/>
            </w:pPr>
            <w:r>
              <w:t>Bezprostredne predchádzajúce účtovné obdobie</w:t>
            </w:r>
          </w:p>
        </w:tc>
      </w:tr>
      <w:tr w:rsidR="009474C8" w14:paraId="08A1E6AC" w14:textId="77777777">
        <w:trPr>
          <w:trHeight w:val="267"/>
          <w:jc w:val="center"/>
        </w:trPr>
        <w:tc>
          <w:tcPr>
            <w:tcW w:w="0" w:type="auto"/>
            <w:noWrap/>
            <w:vAlign w:val="center"/>
          </w:tcPr>
          <w:p w14:paraId="7F76E6D0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</w:tcPr>
          <w:p w14:paraId="0F81BFEA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14:paraId="7FAC1B57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474C8" w14:paraId="7E4D3BF4" w14:textId="77777777">
        <w:trPr>
          <w:trHeight w:val="144"/>
          <w:jc w:val="center"/>
        </w:trPr>
        <w:tc>
          <w:tcPr>
            <w:tcW w:w="0" w:type="auto"/>
            <w:noWrap/>
            <w:vAlign w:val="center"/>
          </w:tcPr>
          <w:p w14:paraId="461B16F2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</w:tcPr>
          <w:p w14:paraId="184C202D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14:paraId="3B7B2528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474C8" w14:paraId="652520F7" w14:textId="77777777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74020A54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Pohľadávky z opcií</w:t>
            </w:r>
          </w:p>
        </w:tc>
        <w:tc>
          <w:tcPr>
            <w:tcW w:w="1701" w:type="dxa"/>
            <w:noWrap/>
            <w:vAlign w:val="center"/>
          </w:tcPr>
          <w:p w14:paraId="0D53411D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</w:tcPr>
          <w:p w14:paraId="4DF5AE1B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9474C8" w14:paraId="501B666B" w14:textId="77777777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5C6E97CB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Záväzky z opcií</w:t>
            </w:r>
          </w:p>
        </w:tc>
        <w:tc>
          <w:tcPr>
            <w:tcW w:w="1701" w:type="dxa"/>
            <w:noWrap/>
            <w:vAlign w:val="center"/>
          </w:tcPr>
          <w:p w14:paraId="19C22E73" w14:textId="77777777" w:rsidR="009474C8" w:rsidRDefault="009474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497CB43D" w14:textId="77777777" w:rsidR="009474C8" w:rsidRDefault="009474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474C8" w14:paraId="522EF38B" w14:textId="77777777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635040B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7AE8E66B" w14:textId="77777777" w:rsidR="009474C8" w:rsidRDefault="009474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53DCA190" w14:textId="77777777" w:rsidR="009474C8" w:rsidRDefault="009474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474C8" w14:paraId="200013D0" w14:textId="77777777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E41FA5A" w14:textId="77777777" w:rsidR="009474C8" w:rsidRDefault="00F509AF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742E4D3F" w14:textId="77777777" w:rsidR="009474C8" w:rsidRDefault="009474C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2F566226" w14:textId="77777777" w:rsidR="009474C8" w:rsidRDefault="009474C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E04DB65" w14:textId="77777777" w:rsidR="009474C8" w:rsidRDefault="009474C8">
      <w:pPr>
        <w:jc w:val="both"/>
        <w:rPr>
          <w:rFonts w:ascii="Arial Narrow" w:hAnsi="Arial Narrow" w:cs="Arial Narrow"/>
          <w:sz w:val="22"/>
          <w:szCs w:val="22"/>
        </w:rPr>
      </w:pPr>
    </w:p>
    <w:p w14:paraId="5B617A72" w14:textId="77777777" w:rsidR="009474C8" w:rsidRDefault="009474C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45A34F90" w14:textId="77777777" w:rsidR="009474C8" w:rsidRDefault="00F509AF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 – UDALOSTI, KTORÉ NASTALI PO ZÁVIERKOVOM DNI</w:t>
      </w:r>
    </w:p>
    <w:p w14:paraId="25303396" w14:textId="77777777" w:rsidR="009474C8" w:rsidRDefault="00F509AF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4537C707" w14:textId="77777777" w:rsidR="009474C8" w:rsidRDefault="009474C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7DB209A" w14:textId="77777777" w:rsidR="009474C8" w:rsidRDefault="00F509AF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Spoločnosť prehlasuje, že si nie je vedomá, že by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času zostavenia účtovnej závierky nastali významné udalosti, ktoré by mali významný finančný vplyv (</w:t>
      </w:r>
      <w:proofErr w:type="spellStart"/>
      <w:r>
        <w:rPr>
          <w:rFonts w:ascii="Arial Narrow" w:hAnsi="Arial Narrow" w:cs="Arial Narrow"/>
          <w:sz w:val="22"/>
          <w:szCs w:val="22"/>
        </w:rPr>
        <w:t>t.j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) a ktoré nie sú zohľadnené v súvahe alebo vo výkaze ziskov a strát.</w:t>
      </w:r>
    </w:p>
    <w:p w14:paraId="7C7E6B3D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a) Pokles alebo zvýšenie trhovej ceny finančného majetku </w:t>
      </w:r>
    </w:p>
    <w:p w14:paraId="18E50550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b) Dôvody pre zmenu výšky rezerv a opravných položiek, </w:t>
      </w:r>
    </w:p>
    <w:p w14:paraId="2509952C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14:paraId="7BAC7AEB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14:paraId="22F48395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1968A87F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14:paraId="5F14E0E8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14:paraId="3F051D24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14:paraId="423BC765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14:paraId="0A5D34F4" w14:textId="77777777" w:rsidR="009474C8" w:rsidRDefault="00F509AF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14:paraId="34C51E27" w14:textId="77777777" w:rsidR="009474C8" w:rsidRDefault="009474C8">
      <w:pPr>
        <w:jc w:val="both"/>
        <w:rPr>
          <w:rFonts w:ascii="Arial Narrow" w:hAnsi="Arial Narrow" w:cs="Arial Narrow"/>
          <w:sz w:val="22"/>
          <w:szCs w:val="22"/>
        </w:rPr>
      </w:pPr>
    </w:p>
    <w:p w14:paraId="092289C6" w14:textId="77777777" w:rsidR="009474C8" w:rsidRDefault="009474C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D0C2EF9" w14:textId="77777777" w:rsidR="009474C8" w:rsidRDefault="00F509AF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Článok VII – OSTATNÉ INFORMÁCIE</w:t>
      </w:r>
    </w:p>
    <w:p w14:paraId="2772C938" w14:textId="77777777" w:rsidR="009474C8" w:rsidRDefault="009474C8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99E3D1C" w14:textId="77777777" w:rsidR="009474C8" w:rsidRDefault="00F509AF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>1) Informácie o výlučnom práve poskytovať služby vo verejnom záujme: NIE</w:t>
      </w:r>
    </w:p>
    <w:p w14:paraId="469B5E39" w14:textId="77777777" w:rsidR="009474C8" w:rsidRDefault="00F509AF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 NIE</w:t>
      </w:r>
    </w:p>
    <w:p w14:paraId="517A7EB5" w14:textId="77777777" w:rsidR="009474C8" w:rsidRDefault="00F509AF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bCs/>
          <w:sz w:val="22"/>
          <w:szCs w:val="22"/>
        </w:rPr>
        <w:t>): NIE</w:t>
      </w:r>
    </w:p>
    <w:sectPr w:rsidR="009474C8">
      <w:headerReference w:type="default" r:id="rId8"/>
      <w:footerReference w:type="default" r:id="rId9"/>
      <w:headerReference w:type="first" r:id="rId10"/>
      <w:pgSz w:w="11907" w:h="16840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9B783" w14:textId="77777777" w:rsidR="0072029E" w:rsidRDefault="00F509AF">
      <w:r>
        <w:separator/>
      </w:r>
    </w:p>
  </w:endnote>
  <w:endnote w:type="continuationSeparator" w:id="0">
    <w:p w14:paraId="2658326B" w14:textId="77777777" w:rsidR="0072029E" w:rsidRDefault="00F50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1D71C" w14:textId="77777777" w:rsidR="009474C8" w:rsidRDefault="00F509AF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0066256F" w14:textId="77777777" w:rsidR="009474C8" w:rsidRDefault="009474C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35612" w14:textId="77777777" w:rsidR="0072029E" w:rsidRDefault="00F509AF">
      <w:r>
        <w:separator/>
      </w:r>
    </w:p>
  </w:footnote>
  <w:footnote w:type="continuationSeparator" w:id="0">
    <w:p w14:paraId="1358D2B2" w14:textId="77777777" w:rsidR="0072029E" w:rsidRDefault="00F50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8134A" w14:textId="77777777" w:rsidR="009474C8" w:rsidRDefault="00F509AF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lang w:val="sk-SK"/>
      </w:rPr>
    </w:pPr>
    <w:r>
      <w:rPr>
        <w:rFonts w:ascii="Arial" w:hAnsi="Arial" w:cs="Arial"/>
        <w:sz w:val="22"/>
        <w:szCs w:val="22"/>
        <w:bdr w:val="single" w:sz="4" w:space="0" w:color="auto"/>
        <w:lang w:val="sk-SK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  <w:lang w:val="sk-SK"/>
      </w:rPr>
      <w:t>z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  <w:lang w:val="sk-SK"/>
      </w:rPr>
      <w:t>á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  <w:lang w:val="sk-SK"/>
      </w:rPr>
      <w:t>k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  <w:lang w:val="sk-SK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auto"/>
        <w:lang w:val="sk-SK"/>
      </w:rPr>
      <w:t>Ú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46900683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>
      <w:rPr>
        <w:rFonts w:ascii="Arial" w:hAnsi="Arial" w:cs="Arial"/>
        <w:sz w:val="22"/>
        <w:szCs w:val="22"/>
        <w:bdr w:val="single" w:sz="4" w:space="0" w:color="auto"/>
        <w:lang w:val="sk-SK"/>
      </w:rPr>
      <w:t>2023635834</w:t>
    </w:r>
  </w:p>
  <w:p w14:paraId="0268CD76" w14:textId="77777777" w:rsidR="009474C8" w:rsidRDefault="009474C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9474C8" w14:paraId="7705DFD9" w14:textId="77777777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14:paraId="21844447" w14:textId="77777777" w:rsidR="009474C8" w:rsidRDefault="00F509A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Poznámky </w:t>
          </w:r>
          <w:proofErr w:type="spellStart"/>
          <w:r>
            <w:rPr>
              <w:color w:val="000000"/>
              <w:szCs w:val="22"/>
            </w:rPr>
            <w:t>Úč</w:t>
          </w:r>
          <w:proofErr w:type="spellEnd"/>
          <w:r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A3C13F5" w14:textId="77777777" w:rsidR="009474C8" w:rsidRDefault="009474C8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1DD698BD" w14:textId="77777777" w:rsidR="009474C8" w:rsidRDefault="00F509AF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CAE525E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 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569AB378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2 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07E3DBD6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3 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B756108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4 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11843E6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5 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AF1C025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6 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765335E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7 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40707484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8 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3532BDDA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9 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14:paraId="76AA1C20" w14:textId="77777777" w:rsidR="009474C8" w:rsidRDefault="00F509AF">
          <w:pPr>
            <w:jc w:val="center"/>
            <w:rPr>
              <w:szCs w:val="22"/>
            </w:rPr>
          </w:pPr>
          <w:r>
            <w:rPr>
              <w:szCs w:val="22"/>
            </w:rPr>
            <w:t>0 </w:t>
          </w:r>
        </w:p>
      </w:tc>
    </w:tr>
  </w:tbl>
  <w:p w14:paraId="37697B26" w14:textId="77777777" w:rsidR="009474C8" w:rsidRDefault="009474C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97DE9"/>
    <w:multiLevelType w:val="multilevel"/>
    <w:tmpl w:val="1E597DE9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891FC1"/>
    <w:multiLevelType w:val="multilevel"/>
    <w:tmpl w:val="26891FC1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487002"/>
    <w:multiLevelType w:val="multilevel"/>
    <w:tmpl w:val="67487002"/>
    <w:lvl w:ilvl="0">
      <w:start w:val="1"/>
      <w:numFmt w:val="decimal"/>
      <w:pStyle w:val="Nadpis1"/>
      <w:lvlText w:val="§ %1"/>
      <w:lvlJc w:val="center"/>
      <w:pPr>
        <w:tabs>
          <w:tab w:val="left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(%7)"/>
      <w:lvlJc w:val="left"/>
      <w:pPr>
        <w:tabs>
          <w:tab w:val="left" w:pos="5070"/>
        </w:tabs>
        <w:ind w:left="5070" w:hanging="39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 w15:restartNumberingAfterBreak="0">
    <w:nsid w:val="79FF7CE9"/>
    <w:multiLevelType w:val="multilevel"/>
    <w:tmpl w:val="79FF7CE9"/>
    <w:lvl w:ilvl="0">
      <w:start w:val="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  <w:b w:val="0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827093">
    <w:abstractNumId w:val="2"/>
  </w:num>
  <w:num w:numId="2" w16cid:durableId="866984448">
    <w:abstractNumId w:val="3"/>
  </w:num>
  <w:num w:numId="3" w16cid:durableId="1809395737">
    <w:abstractNumId w:val="1"/>
  </w:num>
  <w:num w:numId="4" w16cid:durableId="88819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1D"/>
    <w:rsid w:val="00000C65"/>
    <w:rsid w:val="000104C1"/>
    <w:rsid w:val="0001285A"/>
    <w:rsid w:val="00024CC8"/>
    <w:rsid w:val="00025F23"/>
    <w:rsid w:val="0002705A"/>
    <w:rsid w:val="000322E4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67688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1F1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35AB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3E5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5753"/>
    <w:rsid w:val="003E7344"/>
    <w:rsid w:val="003F0D89"/>
    <w:rsid w:val="00400EF7"/>
    <w:rsid w:val="00406D81"/>
    <w:rsid w:val="004109D3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136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513E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1114"/>
    <w:rsid w:val="00642FD8"/>
    <w:rsid w:val="00651F5C"/>
    <w:rsid w:val="00660F06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29E"/>
    <w:rsid w:val="00720838"/>
    <w:rsid w:val="00723420"/>
    <w:rsid w:val="00724165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B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14FC6"/>
    <w:rsid w:val="00925C6F"/>
    <w:rsid w:val="00935334"/>
    <w:rsid w:val="00940C7E"/>
    <w:rsid w:val="009448EC"/>
    <w:rsid w:val="00945CB3"/>
    <w:rsid w:val="009474C8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5DD7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D7E50"/>
    <w:rsid w:val="009E2859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1358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6177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87EA3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211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08B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50BF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062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09A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  <w:rsid w:val="0804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1399C8"/>
  <w15:docId w15:val="{BC6CA3DB-026A-4577-9B44-021CEAC6D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/>
    <w:lsdException w:name="header" w:qFormat="1"/>
    <w:lsdException w:name="footer" w:uiPriority="99"/>
    <w:lsdException w:name="caption" w:locked="1" w:semiHidden="1" w:unhideWhenUsed="1" w:qFormat="1"/>
    <w:lsdException w:name="footnote reference" w:semiHidden="1" w:qFormat="1"/>
    <w:lsdException w:name="Title" w:uiPriority="99" w:qFormat="1"/>
    <w:lsdException w:name="Default Paragraph Font" w:semiHidden="1" w:uiPriority="1" w:unhideWhenUsed="1"/>
    <w:lsdException w:name="Body Text" w:uiPriority="1" w:unhideWhenUsed="1" w:qFormat="1"/>
    <w:lsdException w:name="Subtitle" w:locked="1" w:qFormat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HTML Variable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zh-CN"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qFormat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unhideWhenUsed/>
    <w:qFormat/>
    <w:pPr>
      <w:widowControl w:val="0"/>
      <w:ind w:left="668" w:hanging="567"/>
    </w:pPr>
    <w:rPr>
      <w:lang w:val="en-US" w:eastAsia="en-US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lang w:val="zh-CN" w:eastAsia="zh-CN"/>
    </w:rPr>
  </w:style>
  <w:style w:type="character" w:styleId="Odkaznapoznmkupodiarou">
    <w:name w:val="footnote reference"/>
    <w:semiHidden/>
    <w:qFormat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rPr>
      <w:sz w:val="20"/>
      <w:szCs w:val="20"/>
      <w:lang w:val="zh-CN" w:eastAsia="zh-CN"/>
    </w:rPr>
  </w:style>
  <w:style w:type="paragraph" w:styleId="Hlavika">
    <w:name w:val="header"/>
    <w:basedOn w:val="Normlny"/>
    <w:link w:val="HlavikaChar"/>
    <w:qFormat/>
    <w:pPr>
      <w:tabs>
        <w:tab w:val="center" w:pos="4703"/>
        <w:tab w:val="right" w:pos="9406"/>
      </w:tabs>
    </w:pPr>
  </w:style>
  <w:style w:type="character" w:styleId="slostrany">
    <w:name w:val="page number"/>
    <w:basedOn w:val="Predvolenpsmoodseku"/>
  </w:style>
  <w:style w:type="table" w:styleId="Mriekatabuky">
    <w:name w:val="Table Grid"/>
    <w:basedOn w:val="Normlnatabuka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zh-CN"/>
    </w:rPr>
  </w:style>
  <w:style w:type="character" w:customStyle="1" w:styleId="Nadpis1Char">
    <w:name w:val="Nadpis 1 Char"/>
    <w:link w:val="Nadpis1"/>
    <w:qFormat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0">
    <w:name w:val="Základní text"/>
    <w:pPr>
      <w:spacing w:after="240"/>
      <w:jc w:val="both"/>
    </w:pPr>
    <w:rPr>
      <w:color w:val="000000"/>
      <w:sz w:val="24"/>
      <w:szCs w:val="24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customStyle="1" w:styleId="NzovChar">
    <w:name w:val="Názov Char"/>
    <w:link w:val="Nzov"/>
    <w:uiPriority w:val="99"/>
    <w:qFormat/>
    <w:locked/>
    <w:rPr>
      <w:rFonts w:ascii="Arial Narrow" w:hAnsi="Arial Narrow" w:cs="Arial Narrow"/>
      <w:b/>
      <w:bCs/>
      <w:kern w:val="28"/>
      <w:sz w:val="32"/>
      <w:szCs w:val="32"/>
      <w:lang w:val="sk-SK" w:eastAsia="zh-CN"/>
    </w:rPr>
  </w:style>
  <w:style w:type="paragraph" w:customStyle="1" w:styleId="TopHeader">
    <w:name w:val="Top Header"/>
    <w:basedOn w:val="Normlny"/>
    <w:qFormat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HlavikaChar">
    <w:name w:val="Hlavička Char"/>
    <w:link w:val="Hlavika"/>
    <w:qFormat/>
    <w:locked/>
    <w:rPr>
      <w:sz w:val="24"/>
      <w:szCs w:val="24"/>
      <w:lang w:val="sk-SK" w:eastAsia="sk-SK"/>
    </w:rPr>
  </w:style>
  <w:style w:type="character" w:customStyle="1" w:styleId="ZkladntextChar">
    <w:name w:val="Základný text Char"/>
    <w:link w:val="Zkladntext"/>
    <w:uiPriority w:val="1"/>
    <w:qFormat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xtbublinyChar">
    <w:name w:val="Text bubliny Char"/>
    <w:basedOn w:val="Predvolenpsmoodseku"/>
    <w:link w:val="Textbubliny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571AE-0B13-4F2F-9BDB-A36DE7303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1636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asistent2</cp:lastModifiedBy>
  <cp:revision>2</cp:revision>
  <cp:lastPrinted>2018-02-24T14:14:00Z</cp:lastPrinted>
  <dcterms:created xsi:type="dcterms:W3CDTF">2025-03-11T14:07:00Z</dcterms:created>
  <dcterms:modified xsi:type="dcterms:W3CDTF">2025-03-11T14:07:00Z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903ED3CE7C364673AB13708EB96E6A52</vt:lpwstr>
  </property>
</Properties>
</file>