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577B09" w14:textId="6491418D" w:rsidR="00F51945" w:rsidRPr="00F51945" w:rsidRDefault="00F51945" w:rsidP="00F51945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b/>
          <w:bCs/>
          <w:color w:val="000000"/>
          <w:sz w:val="32"/>
          <w:szCs w:val="32"/>
        </w:rPr>
        <w:t>Poznámky k  účtovnej závierke k  31.12.202</w:t>
      </w:r>
      <w:r w:rsidR="00B5694E">
        <w:rPr>
          <w:rFonts w:ascii="Calibri" w:eastAsia="Times New Roman" w:hAnsi="Calibri" w:cs="Calibri"/>
          <w:b/>
          <w:bCs/>
          <w:color w:val="000000"/>
          <w:sz w:val="32"/>
          <w:szCs w:val="32"/>
        </w:rPr>
        <w:t>4</w:t>
      </w:r>
    </w:p>
    <w:p w14:paraId="0617CCAF" w14:textId="77777777" w:rsidR="00F51945" w:rsidRPr="00F51945" w:rsidRDefault="00F51945" w:rsidP="00F5194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A1402D4" w14:textId="77777777"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 xml:space="preserve">Obchodné meno: </w:t>
      </w:r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FiczaP s. r. o.</w:t>
      </w:r>
    </w:p>
    <w:p w14:paraId="4CBD7421" w14:textId="77777777"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Arial" w:eastAsia="Times New Roman" w:hAnsi="Arial" w:cs="Arial"/>
          <w:color w:val="000000"/>
          <w:sz w:val="20"/>
          <w:szCs w:val="20"/>
        </w:rPr>
        <w:t>Sídlo:</w:t>
      </w:r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 xml:space="preserve"> Andovská  10379/29E, Nové Zámky  940 02</w:t>
      </w:r>
    </w:p>
    <w:p w14:paraId="1B1CEC29" w14:textId="77777777"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Times New Roman" w:eastAsia="Times New Roman" w:hAnsi="Times New Roman" w:cs="Times New Roman"/>
          <w:color w:val="000000"/>
          <w:sz w:val="24"/>
          <w:szCs w:val="24"/>
        </w:rPr>
        <w:t>štatutárny orgán: konateľ Mgr. Peter Ficza</w:t>
      </w:r>
    </w:p>
    <w:p w14:paraId="3F9C9006" w14:textId="77777777"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Dátum založenia: 20.8.2020</w:t>
      </w:r>
    </w:p>
    <w:p w14:paraId="744E19AE" w14:textId="77777777"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Dátum vzniku: 20.8.2020</w:t>
      </w:r>
    </w:p>
    <w:p w14:paraId="733C30CD" w14:textId="77777777"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Hospodárska činnost: podľa výpisu z  Obchodného registra, najmä:</w:t>
      </w:r>
    </w:p>
    <w:p w14:paraId="3EDEB4E1" w14:textId="77777777" w:rsidR="00B5694E" w:rsidRPr="00B5694E" w:rsidRDefault="00F51945" w:rsidP="00511C36">
      <w:pPr>
        <w:numPr>
          <w:ilvl w:val="0"/>
          <w:numId w:val="1"/>
        </w:numPr>
        <w:spacing w:line="360" w:lineRule="auto"/>
        <w:textAlignment w:val="baseline"/>
        <w:rPr>
          <w:rFonts w:ascii="Arial" w:eastAsia="Times New Roman" w:hAnsi="Arial" w:cs="Arial"/>
          <w:color w:val="000000"/>
          <w:sz w:val="20"/>
          <w:szCs w:val="20"/>
        </w:rPr>
      </w:pPr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montáž, rekonštrukcia a údržba vyhradených technických zariadení – elektrických</w:t>
      </w:r>
    </w:p>
    <w:p w14:paraId="00CDEEFD" w14:textId="77777777" w:rsidR="00B5694E" w:rsidRPr="00F51945" w:rsidRDefault="00B5694E" w:rsidP="00B5694E">
      <w:pPr>
        <w:numPr>
          <w:ilvl w:val="0"/>
          <w:numId w:val="1"/>
        </w:numPr>
        <w:spacing w:after="0" w:line="360" w:lineRule="auto"/>
        <w:textAlignment w:val="baseline"/>
        <w:rPr>
          <w:rFonts w:ascii="Arial" w:eastAsia="Times New Roman" w:hAnsi="Arial" w:cs="Arial"/>
          <w:color w:val="000000"/>
          <w:sz w:val="20"/>
          <w:szCs w:val="20"/>
        </w:rPr>
      </w:pPr>
      <w:r w:rsidRPr="00F51945">
        <w:rPr>
          <w:rFonts w:ascii="Arial" w:eastAsia="Times New Roman" w:hAnsi="Arial" w:cs="Arial"/>
          <w:b/>
          <w:bCs/>
          <w:color w:val="000000"/>
          <w:sz w:val="20"/>
          <w:szCs w:val="20"/>
        </w:rPr>
        <w:t>organizovanie športových, kultúrnych a iných spoločenských podujatí,  </w:t>
      </w:r>
    </w:p>
    <w:p w14:paraId="31CDBDCD" w14:textId="72FF153D" w:rsidR="00F51945" w:rsidRPr="00F51945" w:rsidRDefault="00F51945" w:rsidP="00511C36">
      <w:pPr>
        <w:numPr>
          <w:ilvl w:val="0"/>
          <w:numId w:val="1"/>
        </w:numPr>
        <w:spacing w:line="360" w:lineRule="auto"/>
        <w:textAlignment w:val="baseline"/>
        <w:rPr>
          <w:rFonts w:ascii="Arial" w:eastAsia="Times New Roman" w:hAnsi="Arial" w:cs="Arial"/>
          <w:color w:val="000000"/>
          <w:sz w:val="20"/>
          <w:szCs w:val="20"/>
        </w:rPr>
      </w:pPr>
      <w:r w:rsidRPr="00F51945">
        <w:rPr>
          <w:rFonts w:ascii="Calibri" w:eastAsia="Times New Roman" w:hAnsi="Calibri" w:cs="Calibri"/>
          <w:color w:val="000000"/>
        </w:rPr>
        <w:br/>
      </w:r>
      <w:r w:rsidRPr="00F51945">
        <w:rPr>
          <w:rFonts w:ascii="Calibri" w:eastAsia="Times New Roman" w:hAnsi="Calibri" w:cs="Calibri"/>
          <w:color w:val="000000"/>
        </w:rPr>
        <w:br/>
      </w:r>
    </w:p>
    <w:p w14:paraId="3CF73624" w14:textId="77777777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Priemerný počet zamestnancov: 0</w:t>
      </w:r>
    </w:p>
    <w:p w14:paraId="72E4E6A8" w14:textId="77777777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Účtovná jednotka nie je ručiacim spoločníkom v  iných účtovných jednotkách</w:t>
      </w:r>
    </w:p>
    <w:p w14:paraId="5271A43B" w14:textId="77777777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Dôvod zostavenia účtovnej závierky – riadna účtovná závierka ku koncu hospodárskeho roku</w:t>
      </w:r>
    </w:p>
    <w:p w14:paraId="6CB6462B" w14:textId="77560BD1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 xml:space="preserve">Dátum schválenia účtovnej závierky: </w:t>
      </w:r>
    </w:p>
    <w:p w14:paraId="27AEDE8D" w14:textId="77777777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Účtovná jednotka nie je súčasťou konsolidovaného celku</w:t>
      </w:r>
    </w:p>
    <w:p w14:paraId="7A9C95AB" w14:textId="77777777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Spoločnosť zostavila účtovnú závierku za predpokladu nepretržitého pokračovania vo svojej činnosti. Účtovná jednotka nezmenila účtovné metódy ani zásady. Uplatňuje účtovné princípy a postupy účtovania v súlade s právnymi predpismi platnými v SR. V súlade s týmito predpismi je účtovná závierka zostavená na základe účtovníctva vedeného v peňažných jednotkách euro. Účtovníctvo je vedené na základe dodržania časovej a vecnej súvislosti. Za základ sa berú všetky náklady a výnosy, ktoré sa vzťahujúna účtovné obdobie bez ohľadu na dátum ich platenia.</w:t>
      </w:r>
    </w:p>
    <w:p w14:paraId="6426C824" w14:textId="4045A317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 xml:space="preserve">FiczaP s. r. o. vlastní dlhodobý hmotný </w:t>
      </w:r>
      <w:r w:rsidR="00B5694E">
        <w:rPr>
          <w:rFonts w:ascii="Calibri" w:eastAsia="Times New Roman" w:hAnsi="Calibri" w:cs="Calibri"/>
          <w:color w:val="000000"/>
        </w:rPr>
        <w:t>majetok ( v roku 2024 nadobudol osobné auto) a nevlastn</w:t>
      </w:r>
      <w:r w:rsidR="00B5694E">
        <w:rPr>
          <w:rFonts w:ascii="Calibri" w:eastAsia="Times New Roman" w:hAnsi="Calibri" w:cs="Calibri"/>
          <w:color w:val="000000"/>
          <w:lang w:val="sk-SK"/>
        </w:rPr>
        <w:t>í</w:t>
      </w:r>
      <w:r w:rsidRPr="00F51945">
        <w:rPr>
          <w:rFonts w:ascii="Calibri" w:eastAsia="Times New Roman" w:hAnsi="Calibri" w:cs="Calibri"/>
          <w:color w:val="000000"/>
        </w:rPr>
        <w:t xml:space="preserve"> nehmotný majetok.</w:t>
      </w:r>
    </w:p>
    <w:p w14:paraId="3ED8F335" w14:textId="54FBECFC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FiczaP s. r. o. počas hospodárskeho roku 202</w:t>
      </w:r>
      <w:r w:rsidR="00B5694E">
        <w:rPr>
          <w:rFonts w:ascii="Calibri" w:eastAsia="Times New Roman" w:hAnsi="Calibri" w:cs="Calibri"/>
          <w:color w:val="000000"/>
        </w:rPr>
        <w:t>4</w:t>
      </w:r>
      <w:r w:rsidRPr="00F51945">
        <w:rPr>
          <w:rFonts w:ascii="Calibri" w:eastAsia="Times New Roman" w:hAnsi="Calibri" w:cs="Calibri"/>
          <w:color w:val="000000"/>
        </w:rPr>
        <w:t xml:space="preserve"> netvoril zásoby.</w:t>
      </w:r>
    </w:p>
    <w:p w14:paraId="23F701D6" w14:textId="4EBA6FC3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FiczaP s. r. o. počas hospodárskeho roku 202</w:t>
      </w:r>
      <w:r w:rsidR="00B5694E">
        <w:rPr>
          <w:rFonts w:ascii="Calibri" w:eastAsia="Times New Roman" w:hAnsi="Calibri" w:cs="Calibri"/>
          <w:color w:val="000000"/>
        </w:rPr>
        <w:t>4</w:t>
      </w:r>
      <w:r w:rsidRPr="00F51945">
        <w:rPr>
          <w:rFonts w:ascii="Calibri" w:eastAsia="Times New Roman" w:hAnsi="Calibri" w:cs="Calibri"/>
          <w:color w:val="000000"/>
        </w:rPr>
        <w:t>  zákazkovú výrobu, zákazkovú výstavbu nehnuteľnosti neuskutočnil.</w:t>
      </w:r>
    </w:p>
    <w:p w14:paraId="560E3074" w14:textId="7BC908E4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lastRenderedPageBreak/>
        <w:t>K  31.12.202</w:t>
      </w:r>
      <w:r w:rsidR="00B5694E">
        <w:rPr>
          <w:rFonts w:ascii="Calibri" w:eastAsia="Times New Roman" w:hAnsi="Calibri" w:cs="Calibri"/>
          <w:color w:val="000000"/>
        </w:rPr>
        <w:t>4</w:t>
      </w:r>
      <w:r w:rsidRPr="00F51945">
        <w:rPr>
          <w:rFonts w:ascii="Calibri" w:eastAsia="Times New Roman" w:hAnsi="Calibri" w:cs="Calibri"/>
          <w:color w:val="000000"/>
        </w:rPr>
        <w:t xml:space="preserve"> spoločnosť nemá pohľadávky.</w:t>
      </w:r>
    </w:p>
    <w:p w14:paraId="7965B771" w14:textId="205099B9"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 xml:space="preserve">Krátkodobý finančný  majetok spoločnosti je </w:t>
      </w:r>
      <w:r w:rsidR="00B5694E">
        <w:rPr>
          <w:rFonts w:ascii="Calibri" w:eastAsia="Times New Roman" w:hAnsi="Calibri" w:cs="Calibri"/>
          <w:color w:val="000000"/>
        </w:rPr>
        <w:t>5.287</w:t>
      </w:r>
      <w:r w:rsidRPr="00F51945">
        <w:rPr>
          <w:rFonts w:ascii="Calibri" w:eastAsia="Times New Roman" w:hAnsi="Calibri" w:cs="Calibri"/>
          <w:color w:val="000000"/>
        </w:rPr>
        <w:t xml:space="preserve"> EUR</w:t>
      </w:r>
      <w:r w:rsidRPr="00F51945">
        <w:rPr>
          <w:rFonts w:ascii="Calibri" w:eastAsia="Times New Roman" w:hAnsi="Calibri" w:cs="Calibri"/>
          <w:color w:val="FF0000"/>
        </w:rPr>
        <w:t>.</w:t>
      </w:r>
    </w:p>
    <w:p w14:paraId="4E3B5A11" w14:textId="77777777"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Časové rozlíšenie  na strane aktív súvahy nie je.</w:t>
      </w:r>
    </w:p>
    <w:p w14:paraId="55FB2D4B" w14:textId="03826110" w:rsidR="00F51945" w:rsidRDefault="00F51945" w:rsidP="00511C36">
      <w:pPr>
        <w:spacing w:after="0" w:line="360" w:lineRule="auto"/>
        <w:ind w:left="-15"/>
        <w:rPr>
          <w:rFonts w:ascii="Calibri" w:eastAsia="Times New Roman" w:hAnsi="Calibri" w:cs="Calibri"/>
          <w:color w:val="000000"/>
        </w:rPr>
      </w:pPr>
      <w:r w:rsidRPr="00F51945">
        <w:rPr>
          <w:rFonts w:ascii="Calibri" w:eastAsia="Times New Roman" w:hAnsi="Calibri" w:cs="Calibri"/>
          <w:color w:val="000000"/>
        </w:rPr>
        <w:t>FiczaP s. r. o. k  31.12.202</w:t>
      </w:r>
      <w:r w:rsidR="00B5694E">
        <w:rPr>
          <w:rFonts w:ascii="Calibri" w:eastAsia="Times New Roman" w:hAnsi="Calibri" w:cs="Calibri"/>
          <w:color w:val="000000"/>
        </w:rPr>
        <w:t>4</w:t>
      </w:r>
      <w:r w:rsidRPr="00F51945">
        <w:rPr>
          <w:rFonts w:ascii="Calibri" w:eastAsia="Times New Roman" w:hAnsi="Calibri" w:cs="Calibri"/>
          <w:color w:val="000000"/>
        </w:rPr>
        <w:t xml:space="preserve"> má </w:t>
      </w:r>
      <w:r>
        <w:rPr>
          <w:rFonts w:ascii="Calibri" w:eastAsia="Times New Roman" w:hAnsi="Calibri" w:cs="Calibri"/>
          <w:color w:val="000000"/>
        </w:rPr>
        <w:t xml:space="preserve"> nasledujúce :</w:t>
      </w:r>
    </w:p>
    <w:p w14:paraId="0DCED4F7" w14:textId="0DAAFCC3" w:rsidR="00F51945" w:rsidRDefault="00F51945" w:rsidP="00511C36">
      <w:pPr>
        <w:spacing w:after="0" w:line="360" w:lineRule="auto"/>
        <w:ind w:left="-15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 xml:space="preserve">daňové záväzky </w:t>
      </w:r>
      <w:r w:rsidR="00840B2E">
        <w:rPr>
          <w:rFonts w:ascii="Calibri" w:eastAsia="Times New Roman" w:hAnsi="Calibri" w:cs="Calibri"/>
          <w:color w:val="000000"/>
        </w:rPr>
        <w:t>340</w:t>
      </w:r>
      <w:r>
        <w:rPr>
          <w:rFonts w:ascii="Calibri" w:eastAsia="Times New Roman" w:hAnsi="Calibri" w:cs="Calibri"/>
          <w:color w:val="000000"/>
        </w:rPr>
        <w:t xml:space="preserve"> EUR.</w:t>
      </w:r>
    </w:p>
    <w:p w14:paraId="52CCCD43" w14:textId="77777777"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alibri" w:eastAsia="Times New Roman" w:hAnsi="Calibri" w:cs="Calibri"/>
          <w:color w:val="000000"/>
        </w:rPr>
        <w:t>Spoločnosť nemá iné</w:t>
      </w:r>
      <w:r w:rsidRPr="00F51945">
        <w:rPr>
          <w:rFonts w:ascii="Calibri" w:eastAsia="Times New Roman" w:hAnsi="Calibri" w:cs="Calibri"/>
          <w:color w:val="000000"/>
        </w:rPr>
        <w:t xml:space="preserve"> rezervy, pôžičky ani úvery.</w:t>
      </w:r>
    </w:p>
    <w:p w14:paraId="15EB72C3" w14:textId="77777777"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Časové rozlíšenie  na strane pasív súvahy nie je.</w:t>
      </w:r>
    </w:p>
    <w:p w14:paraId="049E5A24" w14:textId="2CEF9560"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FiczaP s. r. o. k  31.12.202</w:t>
      </w:r>
      <w:r w:rsidR="00840B2E">
        <w:rPr>
          <w:rFonts w:ascii="Calibri" w:eastAsia="Times New Roman" w:hAnsi="Calibri" w:cs="Calibri"/>
          <w:color w:val="000000"/>
        </w:rPr>
        <w:t>4</w:t>
      </w:r>
      <w:r w:rsidRPr="00F51945">
        <w:rPr>
          <w:rFonts w:ascii="Calibri" w:eastAsia="Times New Roman" w:hAnsi="Calibri" w:cs="Calibri"/>
          <w:color w:val="000000"/>
        </w:rPr>
        <w:t xml:space="preserve"> nemá deriváty ani majetok a  záväzky zabezpečené derivátmi.</w:t>
      </w:r>
    </w:p>
    <w:p w14:paraId="49F4CC80" w14:textId="524E8FF2"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FiczaP s. r. o. k  31.12.202</w:t>
      </w:r>
      <w:r w:rsidR="00840B2E">
        <w:rPr>
          <w:rFonts w:ascii="Calibri" w:eastAsia="Times New Roman" w:hAnsi="Calibri" w:cs="Calibri"/>
          <w:color w:val="000000"/>
        </w:rPr>
        <w:t>4</w:t>
      </w:r>
      <w:r w:rsidRPr="00F51945">
        <w:rPr>
          <w:rFonts w:ascii="Calibri" w:eastAsia="Times New Roman" w:hAnsi="Calibri" w:cs="Calibri"/>
          <w:color w:val="000000"/>
        </w:rPr>
        <w:t xml:space="preserve"> nemá prenajatý majetok, ani majetok obstaraný na základe zmluvy o  kúpe prenajatej veci.</w:t>
      </w:r>
    </w:p>
    <w:p w14:paraId="4F5637E5" w14:textId="18457A21"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FiczaP s. r. o. k  31.12.202</w:t>
      </w:r>
      <w:r w:rsidR="00840B2E">
        <w:rPr>
          <w:rFonts w:ascii="Calibri" w:eastAsia="Times New Roman" w:hAnsi="Calibri" w:cs="Calibri"/>
          <w:color w:val="000000"/>
        </w:rPr>
        <w:t>4</w:t>
      </w:r>
      <w:r w:rsidRPr="00F51945">
        <w:rPr>
          <w:rFonts w:ascii="Calibri" w:eastAsia="Times New Roman" w:hAnsi="Calibri" w:cs="Calibri"/>
          <w:color w:val="000000"/>
        </w:rPr>
        <w:t xml:space="preserve"> nevlastní majetok obstaraný v  privatizácii.</w:t>
      </w:r>
    </w:p>
    <w:p w14:paraId="39AB2D86" w14:textId="494B3297" w:rsidR="00F51945" w:rsidRPr="00F51945" w:rsidRDefault="00F51945" w:rsidP="00511C36">
      <w:pPr>
        <w:spacing w:after="0" w:line="360" w:lineRule="auto"/>
        <w:ind w:left="-15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Daň z príjmov za hospodársky rok 202</w:t>
      </w:r>
      <w:r w:rsidR="00840B2E">
        <w:rPr>
          <w:rFonts w:ascii="Calibri" w:eastAsia="Times New Roman" w:hAnsi="Calibri" w:cs="Calibri"/>
          <w:color w:val="000000"/>
        </w:rPr>
        <w:t>4</w:t>
      </w:r>
      <w:r w:rsidRPr="00F51945">
        <w:rPr>
          <w:rFonts w:ascii="Calibri" w:eastAsia="Times New Roman" w:hAnsi="Calibri" w:cs="Calibri"/>
          <w:color w:val="000000"/>
        </w:rPr>
        <w:t xml:space="preserve"> je </w:t>
      </w:r>
      <w:r w:rsidR="00840B2E">
        <w:rPr>
          <w:rFonts w:ascii="Calibri" w:eastAsia="Times New Roman" w:hAnsi="Calibri" w:cs="Calibri"/>
          <w:color w:val="000000"/>
        </w:rPr>
        <w:t>340</w:t>
      </w:r>
      <w:r>
        <w:rPr>
          <w:rFonts w:ascii="Calibri" w:eastAsia="Times New Roman" w:hAnsi="Calibri" w:cs="Calibri"/>
          <w:color w:val="000000"/>
        </w:rPr>
        <w:t xml:space="preserve"> EUR</w:t>
      </w:r>
      <w:r w:rsidRPr="00F51945">
        <w:rPr>
          <w:rFonts w:ascii="Calibri" w:eastAsia="Times New Roman" w:hAnsi="Calibri" w:cs="Calibri"/>
          <w:color w:val="000000"/>
        </w:rPr>
        <w:t>.</w:t>
      </w:r>
    </w:p>
    <w:p w14:paraId="76FE45A4" w14:textId="77777777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Údaje vykázané na strane aktív súvahy</w:t>
      </w:r>
      <w:r w:rsidRPr="00F51945">
        <w:rPr>
          <w:rFonts w:ascii="Calibri" w:eastAsia="Times New Roman" w:hAnsi="Calibri" w:cs="Calibri"/>
          <w:color w:val="FF0000"/>
        </w:rPr>
        <w:t> </w:t>
      </w:r>
    </w:p>
    <w:p w14:paraId="13C2AE39" w14:textId="77777777" w:rsidR="00F51945" w:rsidRPr="00F51945" w:rsidRDefault="00F51945" w:rsidP="00511C36">
      <w:pPr>
        <w:spacing w:after="0" w:line="360" w:lineRule="auto"/>
        <w:ind w:left="360" w:hanging="360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obežný majetok – peniaze v hotovosti</w:t>
      </w:r>
    </w:p>
    <w:p w14:paraId="2EA28E1C" w14:textId="77777777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Údaje vykázané na strane pasív</w:t>
      </w:r>
      <w:r w:rsidRPr="00F51945">
        <w:rPr>
          <w:rFonts w:ascii="Calibri" w:eastAsia="Times New Roman" w:hAnsi="Calibri" w:cs="Calibri"/>
          <w:color w:val="000000"/>
        </w:rPr>
        <w:br/>
      </w:r>
      <w:r w:rsidRPr="00F51945">
        <w:rPr>
          <w:rFonts w:ascii="Calibri" w:eastAsia="Times New Roman" w:hAnsi="Calibri" w:cs="Calibri"/>
          <w:color w:val="000000"/>
        </w:rPr>
        <w:tab/>
        <w:t>základné imanie </w:t>
      </w:r>
    </w:p>
    <w:p w14:paraId="2D329400" w14:textId="77777777" w:rsidR="00F51945" w:rsidRPr="00F51945" w:rsidRDefault="00F51945" w:rsidP="00511C36">
      <w:pPr>
        <w:spacing w:after="0" w:line="360" w:lineRule="auto"/>
        <w:ind w:left="360" w:hanging="360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výsledok hospodárenia</w:t>
      </w:r>
    </w:p>
    <w:p w14:paraId="086496F3" w14:textId="6D359038" w:rsidR="00F51945" w:rsidRPr="00F51945" w:rsidRDefault="00F51945" w:rsidP="00511C3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 xml:space="preserve">Výnosy – v  sume </w:t>
      </w:r>
      <w:r w:rsidR="00840B2E">
        <w:rPr>
          <w:rFonts w:ascii="Calibri" w:eastAsia="Times New Roman" w:hAnsi="Calibri" w:cs="Calibri"/>
          <w:color w:val="000000"/>
        </w:rPr>
        <w:t>16.700</w:t>
      </w:r>
      <w:r w:rsidRPr="00F51945">
        <w:rPr>
          <w:rFonts w:ascii="Calibri" w:eastAsia="Times New Roman" w:hAnsi="Calibri" w:cs="Calibri"/>
          <w:color w:val="000000"/>
        </w:rPr>
        <w:t xml:space="preserve"> EUR </w:t>
      </w:r>
      <w:r w:rsidR="009A39F8">
        <w:rPr>
          <w:rFonts w:ascii="Calibri" w:eastAsia="Times New Roman" w:hAnsi="Calibri" w:cs="Calibri"/>
          <w:color w:val="000000"/>
        </w:rPr>
        <w:t xml:space="preserve">za inštalačné </w:t>
      </w:r>
      <w:r w:rsidR="00840B2E">
        <w:rPr>
          <w:rFonts w:ascii="Calibri" w:eastAsia="Times New Roman" w:hAnsi="Calibri" w:cs="Calibri"/>
          <w:color w:val="000000"/>
        </w:rPr>
        <w:t>a drobn</w:t>
      </w:r>
      <w:r w:rsidR="00840B2E">
        <w:rPr>
          <w:rFonts w:ascii="Calibri" w:eastAsia="Times New Roman" w:hAnsi="Calibri" w:cs="Calibri"/>
          <w:color w:val="000000"/>
          <w:lang w:val="sk-SK"/>
        </w:rPr>
        <w:t xml:space="preserve">é stavebné </w:t>
      </w:r>
      <w:r w:rsidR="009A39F8">
        <w:rPr>
          <w:rFonts w:ascii="Calibri" w:eastAsia="Times New Roman" w:hAnsi="Calibri" w:cs="Calibri"/>
          <w:color w:val="000000"/>
        </w:rPr>
        <w:t>práce</w:t>
      </w:r>
    </w:p>
    <w:p w14:paraId="15FF9EAE" w14:textId="791E5F21" w:rsidR="00F51945" w:rsidRPr="00F51945" w:rsidRDefault="00F51945" w:rsidP="00511C36">
      <w:pPr>
        <w:spacing w:after="0" w:line="360" w:lineRule="auto"/>
        <w:ind w:left="30" w:hanging="15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 xml:space="preserve">Náklady v  sume </w:t>
      </w:r>
      <w:r w:rsidR="00840B2E">
        <w:rPr>
          <w:rFonts w:ascii="Calibri" w:eastAsia="Times New Roman" w:hAnsi="Calibri" w:cs="Calibri"/>
          <w:color w:val="000000"/>
        </w:rPr>
        <w:t>14.792</w:t>
      </w:r>
      <w:r w:rsidRPr="00F51945">
        <w:rPr>
          <w:rFonts w:ascii="Calibri" w:eastAsia="Times New Roman" w:hAnsi="Calibri" w:cs="Calibri"/>
          <w:color w:val="000000"/>
        </w:rPr>
        <w:t xml:space="preserve"> EUR</w:t>
      </w:r>
      <w:r w:rsidRPr="00F51945">
        <w:rPr>
          <w:rFonts w:ascii="Calibri" w:eastAsia="Times New Roman" w:hAnsi="Calibri" w:cs="Calibri"/>
          <w:color w:val="FF0000"/>
        </w:rPr>
        <w:t xml:space="preserve"> </w:t>
      </w:r>
      <w:r w:rsidRPr="00F51945">
        <w:rPr>
          <w:rFonts w:ascii="Calibri" w:eastAsia="Times New Roman" w:hAnsi="Calibri" w:cs="Calibri"/>
          <w:color w:val="000000"/>
        </w:rPr>
        <w:t>na</w:t>
      </w:r>
      <w:r w:rsidR="009A39F8">
        <w:rPr>
          <w:rFonts w:ascii="Calibri" w:eastAsia="Times New Roman" w:hAnsi="Calibri" w:cs="Calibri"/>
          <w:color w:val="000000"/>
        </w:rPr>
        <w:t xml:space="preserve"> nákup</w:t>
      </w:r>
      <w:r w:rsidRPr="00F51945">
        <w:rPr>
          <w:rFonts w:ascii="Calibri" w:eastAsia="Times New Roman" w:hAnsi="Calibri" w:cs="Calibri"/>
          <w:color w:val="000000"/>
        </w:rPr>
        <w:t xml:space="preserve"> </w:t>
      </w:r>
      <w:r>
        <w:rPr>
          <w:rFonts w:ascii="Calibri" w:eastAsia="Times New Roman" w:hAnsi="Calibri" w:cs="Calibri"/>
          <w:color w:val="000000"/>
        </w:rPr>
        <w:t>náradia a materiálu.</w:t>
      </w:r>
    </w:p>
    <w:p w14:paraId="0A7727BF" w14:textId="10838D50" w:rsidR="00F51945" w:rsidRPr="00F51945" w:rsidRDefault="00F51945" w:rsidP="00511C36">
      <w:pPr>
        <w:spacing w:after="0" w:line="360" w:lineRule="auto"/>
        <w:ind w:left="30" w:hanging="15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 xml:space="preserve">Daň z  príjmov </w:t>
      </w:r>
      <w:r w:rsidR="00840B2E">
        <w:rPr>
          <w:rFonts w:ascii="Calibri" w:eastAsia="Times New Roman" w:hAnsi="Calibri" w:cs="Calibri"/>
          <w:color w:val="000000"/>
        </w:rPr>
        <w:t>340</w:t>
      </w:r>
      <w:r w:rsidRPr="00F51945">
        <w:rPr>
          <w:rFonts w:ascii="Calibri" w:eastAsia="Times New Roman" w:hAnsi="Calibri" w:cs="Calibri"/>
          <w:color w:val="000000"/>
        </w:rPr>
        <w:t xml:space="preserve"> EUR</w:t>
      </w:r>
    </w:p>
    <w:p w14:paraId="183C7626" w14:textId="77777777" w:rsidR="00F51945" w:rsidRPr="00F51945" w:rsidRDefault="00F51945" w:rsidP="00511C36">
      <w:pPr>
        <w:spacing w:after="0" w:line="360" w:lineRule="auto"/>
        <w:ind w:left="30" w:hanging="15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FiczaP s. r. o. podsúvahové účty v  účtovníctve nevedie</w:t>
      </w:r>
    </w:p>
    <w:p w14:paraId="628D4647" w14:textId="77777777" w:rsidR="00F51945" w:rsidRPr="00F51945" w:rsidRDefault="00F51945" w:rsidP="00511C36">
      <w:pPr>
        <w:spacing w:after="0" w:line="360" w:lineRule="auto"/>
        <w:ind w:left="30" w:hanging="15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Iné aktíva a  pasíve nie sú</w:t>
      </w:r>
    </w:p>
    <w:p w14:paraId="60CDEDA7" w14:textId="77777777" w:rsidR="00F51945" w:rsidRPr="00F51945" w:rsidRDefault="00F51945" w:rsidP="00511C36">
      <w:pPr>
        <w:spacing w:after="0" w:line="360" w:lineRule="auto"/>
        <w:ind w:left="30" w:hanging="15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Nenastali sa žiadne nové skutočnosti medzi dňom, ku ktorému sa zostavuje účtovná závierka a  medzi dňom zostavenia účtovnej závierky</w:t>
      </w:r>
    </w:p>
    <w:p w14:paraId="57231408" w14:textId="77777777"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Prehľad peňažných tokov sa nezostavuje.</w:t>
      </w:r>
    </w:p>
    <w:p w14:paraId="77C4541D" w14:textId="32ECE36D"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 xml:space="preserve">V Nových Zámkoch dňa </w:t>
      </w:r>
      <w:r w:rsidR="009A39F8">
        <w:rPr>
          <w:rFonts w:ascii="Calibri" w:eastAsia="Times New Roman" w:hAnsi="Calibri" w:cs="Calibri"/>
          <w:color w:val="000000"/>
        </w:rPr>
        <w:t>1</w:t>
      </w:r>
      <w:r w:rsidR="00840B2E">
        <w:rPr>
          <w:rFonts w:ascii="Calibri" w:eastAsia="Times New Roman" w:hAnsi="Calibri" w:cs="Calibri"/>
          <w:color w:val="000000"/>
        </w:rPr>
        <w:t>4</w:t>
      </w:r>
      <w:r w:rsidRPr="00F51945">
        <w:rPr>
          <w:rFonts w:ascii="Calibri" w:eastAsia="Times New Roman" w:hAnsi="Calibri" w:cs="Calibri"/>
          <w:color w:val="000000"/>
        </w:rPr>
        <w:t>.3.202</w:t>
      </w:r>
      <w:r w:rsidR="00840B2E">
        <w:rPr>
          <w:rFonts w:ascii="Calibri" w:eastAsia="Times New Roman" w:hAnsi="Calibri" w:cs="Calibri"/>
          <w:color w:val="000000"/>
        </w:rPr>
        <w:t>5</w:t>
      </w:r>
    </w:p>
    <w:p w14:paraId="41DBDB3D" w14:textId="77777777" w:rsidR="00F51945" w:rsidRPr="00F51945" w:rsidRDefault="00F51945" w:rsidP="00511C36">
      <w:pPr>
        <w:spacing w:after="24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A7692FF" w14:textId="77777777"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Mgr. Peter Ficza</w:t>
      </w:r>
    </w:p>
    <w:p w14:paraId="21F20054" w14:textId="77777777" w:rsidR="00F51945" w:rsidRPr="00F51945" w:rsidRDefault="00F51945" w:rsidP="00511C36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51945">
        <w:rPr>
          <w:rFonts w:ascii="Calibri" w:eastAsia="Times New Roman" w:hAnsi="Calibri" w:cs="Calibri"/>
          <w:color w:val="000000"/>
        </w:rPr>
        <w:t>konateľ</w:t>
      </w:r>
    </w:p>
    <w:p w14:paraId="5C035920" w14:textId="77777777" w:rsidR="00E24E3C" w:rsidRDefault="00E24E3C"/>
    <w:sectPr w:rsidR="00E24E3C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95BB5C" w14:textId="77777777" w:rsidR="00CF5E5B" w:rsidRDefault="00CF5E5B" w:rsidP="00F51945">
      <w:pPr>
        <w:spacing w:after="0" w:line="240" w:lineRule="auto"/>
      </w:pPr>
      <w:r>
        <w:separator/>
      </w:r>
    </w:p>
  </w:endnote>
  <w:endnote w:type="continuationSeparator" w:id="0">
    <w:p w14:paraId="09342F79" w14:textId="77777777" w:rsidR="00CF5E5B" w:rsidRDefault="00CF5E5B" w:rsidP="00F519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BD30FD" w14:textId="77777777" w:rsidR="00CF5E5B" w:rsidRDefault="00CF5E5B" w:rsidP="00F51945">
      <w:pPr>
        <w:spacing w:after="0" w:line="240" w:lineRule="auto"/>
      </w:pPr>
      <w:r>
        <w:separator/>
      </w:r>
    </w:p>
  </w:footnote>
  <w:footnote w:type="continuationSeparator" w:id="0">
    <w:p w14:paraId="122610DD" w14:textId="77777777" w:rsidR="00CF5E5B" w:rsidRDefault="00CF5E5B" w:rsidP="00F519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19DBC" w14:textId="77777777" w:rsidR="00F51945" w:rsidRDefault="00F51945">
    <w:pPr>
      <w:pStyle w:val="Header"/>
    </w:pPr>
    <w:r>
      <w:rPr>
        <w:rFonts w:ascii="Arial" w:hAnsi="Arial" w:cs="Arial"/>
        <w:color w:val="212529"/>
      </w:rPr>
      <w:t>Poznámky Úč POD 3-01</w:t>
    </w:r>
  </w:p>
  <w:p w14:paraId="288CF942" w14:textId="77777777" w:rsidR="00F51945" w:rsidRDefault="00F5194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3764D28"/>
    <w:multiLevelType w:val="multilevel"/>
    <w:tmpl w:val="841A38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171143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1945"/>
    <w:rsid w:val="003C4819"/>
    <w:rsid w:val="00511C36"/>
    <w:rsid w:val="006B2545"/>
    <w:rsid w:val="00840B2E"/>
    <w:rsid w:val="009A39F8"/>
    <w:rsid w:val="00B5694E"/>
    <w:rsid w:val="00CF5E5B"/>
    <w:rsid w:val="00E24E3C"/>
    <w:rsid w:val="00F51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FF1787"/>
  <w15:chartTrackingRefBased/>
  <w15:docId w15:val="{1E132E88-AEC7-4A16-AACA-F25290BD8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519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F51945"/>
  </w:style>
  <w:style w:type="paragraph" w:styleId="Header">
    <w:name w:val="header"/>
    <w:basedOn w:val="Normal"/>
    <w:link w:val="HeaderChar"/>
    <w:uiPriority w:val="99"/>
    <w:unhideWhenUsed/>
    <w:rsid w:val="00F5194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51945"/>
  </w:style>
  <w:style w:type="paragraph" w:styleId="Footer">
    <w:name w:val="footer"/>
    <w:basedOn w:val="Normal"/>
    <w:link w:val="FooterChar"/>
    <w:uiPriority w:val="99"/>
    <w:unhideWhenUsed/>
    <w:rsid w:val="00F5194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519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499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f9dda1df-3fca-45c7-91be-5629a3733338}" enabled="1" method="Standard" siteId="{ec1ca250-c234-4d56-a76b-7dfb9eee0c46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2</Pages>
  <Words>421</Words>
  <Characters>2402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Ficza, Ladislav</dc:creator>
  <cp:keywords/>
  <dc:description/>
  <cp:lastModifiedBy>Ladislav Ficza</cp:lastModifiedBy>
  <cp:revision>3</cp:revision>
  <dcterms:created xsi:type="dcterms:W3CDTF">2025-03-14T07:12:00Z</dcterms:created>
  <dcterms:modified xsi:type="dcterms:W3CDTF">2025-03-14T11:47:00Z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9dda1df-3fca-45c7-91be-5629a3733338_Enabled">
    <vt:lpwstr>true</vt:lpwstr>
  </property>
  <property fmtid="{D5CDD505-2E9C-101B-9397-08002B2CF9AE}" pid="3" name="MSIP_Label_f9dda1df-3fca-45c7-91be-5629a3733338_SetDate">
    <vt:lpwstr>2022-03-23T12:04:03Z</vt:lpwstr>
  </property>
  <property fmtid="{D5CDD505-2E9C-101B-9397-08002B2CF9AE}" pid="4" name="MSIP_Label_f9dda1df-3fca-45c7-91be-5629a3733338_Method">
    <vt:lpwstr>Standard</vt:lpwstr>
  </property>
  <property fmtid="{D5CDD505-2E9C-101B-9397-08002B2CF9AE}" pid="5" name="MSIP_Label_f9dda1df-3fca-45c7-91be-5629a3733338_Name">
    <vt:lpwstr>f9dda1df-3fca-45c7-91be-5629a3733338</vt:lpwstr>
  </property>
  <property fmtid="{D5CDD505-2E9C-101B-9397-08002B2CF9AE}" pid="6" name="MSIP_Label_f9dda1df-3fca-45c7-91be-5629a3733338_SiteId">
    <vt:lpwstr>ec1ca250-c234-4d56-a76b-7dfb9eee0c46</vt:lpwstr>
  </property>
  <property fmtid="{D5CDD505-2E9C-101B-9397-08002B2CF9AE}" pid="7" name="MSIP_Label_f9dda1df-3fca-45c7-91be-5629a3733338_ActionId">
    <vt:lpwstr>1cae8571-d9a7-4a45-8526-340c4559bba6</vt:lpwstr>
  </property>
  <property fmtid="{D5CDD505-2E9C-101B-9397-08002B2CF9AE}" pid="8" name="MSIP_Label_f9dda1df-3fca-45c7-91be-5629a3733338_ContentBits">
    <vt:lpwstr>0</vt:lpwstr>
  </property>
</Properties>
</file>