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D8" w:rsidRDefault="004E23D8" w:rsidP="004E23D8"/>
    <w:p w:rsidR="00281488" w:rsidRDefault="004E23D8" w:rsidP="004E23D8">
      <w:pPr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</w:t>
      </w:r>
      <w:r w:rsidRPr="004D5562">
        <w:rPr>
          <w:rFonts w:ascii="Tahoma" w:hAnsi="Tahoma" w:cs="Tahoma"/>
          <w:b/>
        </w:rPr>
        <w:t>VŠEOBECNÉ INFORMÁCIE</w:t>
      </w:r>
    </w:p>
    <w:p w:rsidR="004E23D8" w:rsidRDefault="004E23D8" w:rsidP="004E23D8">
      <w:pPr>
        <w:rPr>
          <w:rFonts w:ascii="Tahoma" w:hAnsi="Tahoma" w:cs="Tahoma"/>
          <w:b/>
        </w:rPr>
      </w:pPr>
    </w:p>
    <w:p w:rsidR="004E23D8" w:rsidRDefault="004E23D8" w:rsidP="004E23D8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Základné informácie o</w:t>
      </w:r>
      <w:r>
        <w:rPr>
          <w:rFonts w:ascii="Tahoma" w:hAnsi="Tahoma" w:cs="Tahoma"/>
          <w:b/>
        </w:rPr>
        <w:t> </w:t>
      </w:r>
      <w:r w:rsidRPr="004D5562">
        <w:rPr>
          <w:rFonts w:ascii="Tahoma" w:hAnsi="Tahoma" w:cs="Tahoma"/>
          <w:b/>
        </w:rPr>
        <w:t>spoločnosti</w:t>
      </w:r>
    </w:p>
    <w:tbl>
      <w:tblPr>
        <w:tblW w:w="4889" w:type="pct"/>
        <w:tblInd w:w="108" w:type="dxa"/>
        <w:tblLayout w:type="fixed"/>
        <w:tblLook w:val="00A0"/>
      </w:tblPr>
      <w:tblGrid>
        <w:gridCol w:w="2419"/>
        <w:gridCol w:w="6663"/>
      </w:tblGrid>
      <w:tr w:rsidR="004E23D8" w:rsidRPr="004D5562" w:rsidTr="00C22ABF">
        <w:trPr>
          <w:trHeight w:val="231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Obchodné meno: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EE1D2D">
            <w:pPr>
              <w:ind w:left="-142"/>
              <w:jc w:val="both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 xml:space="preserve"> </w:t>
            </w:r>
            <w:r w:rsidR="00EE1D2D">
              <w:rPr>
                <w:rFonts w:ascii="Tahoma" w:hAnsi="Tahoma" w:cs="Tahoma"/>
                <w:b/>
              </w:rPr>
              <w:t>PASIO</w:t>
            </w:r>
            <w:r>
              <w:rPr>
                <w:rFonts w:ascii="Tahoma" w:hAnsi="Tahoma" w:cs="Tahoma"/>
                <w:b/>
              </w:rPr>
              <w:t>, s.r.o.</w:t>
            </w:r>
          </w:p>
        </w:tc>
      </w:tr>
      <w:tr w:rsidR="004E23D8" w:rsidRPr="004D5562" w:rsidTr="00C22ABF">
        <w:trPr>
          <w:trHeight w:val="249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Sídlo: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EE1D2D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EE1D2D">
              <w:rPr>
                <w:rFonts w:ascii="Tahoma" w:hAnsi="Tahoma" w:cs="Tahoma"/>
              </w:rPr>
              <w:t>Pionierska 982/11</w:t>
            </w:r>
            <w:r>
              <w:rPr>
                <w:rFonts w:ascii="Tahoma" w:hAnsi="Tahoma" w:cs="Tahoma"/>
              </w:rPr>
              <w:t>, 017 01 Považská Bystrica</w:t>
            </w:r>
          </w:p>
        </w:tc>
      </w:tr>
      <w:tr w:rsidR="004E23D8" w:rsidRPr="004D5562" w:rsidTr="00C22ABF">
        <w:trPr>
          <w:trHeight w:val="125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Právna forma: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Spoločnosť s ručením obmedzeným </w:t>
            </w:r>
          </w:p>
        </w:tc>
      </w:tr>
      <w:tr w:rsidR="004E23D8" w:rsidRPr="004D5562" w:rsidTr="00C22ABF">
        <w:trPr>
          <w:trHeight w:val="531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6D23C4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</w:p>
          <w:p w:rsidR="004E23D8" w:rsidRPr="006D23C4" w:rsidRDefault="00EE1D2D" w:rsidP="00EE1D2D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4E23D8" w:rsidRPr="006D23C4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6D23C4" w:rsidRDefault="004E23D8" w:rsidP="00EE1D2D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</w:p>
        </w:tc>
      </w:tr>
      <w:tr w:rsidR="004E23D8" w:rsidRPr="004D5562" w:rsidTr="00C22ABF">
        <w:trPr>
          <w:trHeight w:val="143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2F70C5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2F70C5">
              <w:rPr>
                <w:rFonts w:ascii="Tahoma" w:hAnsi="Tahoma" w:cs="Tahoma"/>
              </w:rPr>
              <w:t>Dátum vzniku: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2F70C5" w:rsidRDefault="004E23D8" w:rsidP="00EE1D2D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EE1D2D">
              <w:rPr>
                <w:rFonts w:ascii="Tahoma" w:hAnsi="Tahoma" w:cs="Tahoma"/>
              </w:rPr>
              <w:t>23.03.2021</w:t>
            </w:r>
          </w:p>
        </w:tc>
      </w:tr>
      <w:tr w:rsidR="004E23D8" w:rsidRPr="004D5562" w:rsidTr="00C22ABF">
        <w:trPr>
          <w:trHeight w:val="175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Default="004E23D8" w:rsidP="00C22ABF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Hlavný predmet</w:t>
            </w:r>
          </w:p>
          <w:p w:rsidR="004E23D8" w:rsidRDefault="004E23D8" w:rsidP="00C22ABF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podnikania:</w:t>
            </w:r>
          </w:p>
          <w:p w:rsidR="004E23D8" w:rsidRPr="004D5562" w:rsidRDefault="004E23D8" w:rsidP="00C22ABF">
            <w:pPr>
              <w:ind w:left="-142"/>
              <w:rPr>
                <w:rFonts w:ascii="Tahoma" w:hAnsi="Tahoma" w:cs="Tahoma"/>
              </w:rPr>
            </w:pP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EE1D2D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="00EE1D2D">
              <w:t>Maloobchod v  predajniach najmä s potravinami a nápojmi</w:t>
            </w:r>
          </w:p>
        </w:tc>
      </w:tr>
      <w:tr w:rsidR="004E23D8" w:rsidRPr="004D5562" w:rsidTr="00C22ABF">
        <w:trPr>
          <w:trHeight w:val="194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Účtovné obdobie: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Pr="004D5562">
              <w:rPr>
                <w:rFonts w:ascii="Tahoma" w:hAnsi="Tahoma" w:cs="Tahoma"/>
              </w:rPr>
              <w:t xml:space="preserve">1. január </w:t>
            </w:r>
            <w:r w:rsidR="00EE1D2D">
              <w:rPr>
                <w:rFonts w:ascii="Tahoma" w:hAnsi="Tahoma" w:cs="Tahoma"/>
              </w:rPr>
              <w:t>2024</w:t>
            </w:r>
            <w:r w:rsidRPr="004D5562">
              <w:rPr>
                <w:rFonts w:ascii="Tahoma" w:hAnsi="Tahoma" w:cs="Tahoma"/>
              </w:rPr>
              <w:t xml:space="preserve"> – 31.december 20</w:t>
            </w:r>
            <w:r w:rsidR="00B84047">
              <w:rPr>
                <w:rFonts w:ascii="Tahoma" w:hAnsi="Tahoma" w:cs="Tahoma"/>
              </w:rPr>
              <w:t>2</w:t>
            </w:r>
            <w:r w:rsidR="00EE1D2D">
              <w:rPr>
                <w:rFonts w:ascii="Tahoma" w:hAnsi="Tahoma" w:cs="Tahoma"/>
              </w:rPr>
              <w:t>4</w:t>
            </w:r>
          </w:p>
        </w:tc>
      </w:tr>
    </w:tbl>
    <w:p w:rsidR="004E23D8" w:rsidRDefault="004E23D8" w:rsidP="004E23D8"/>
    <w:p w:rsidR="004E23D8" w:rsidRPr="004D5562" w:rsidRDefault="004E23D8" w:rsidP="004E23D8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4E23D8" w:rsidRPr="004D5562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EE1D2D">
        <w:rPr>
          <w:rFonts w:ascii="Tahoma" w:hAnsi="Tahoma" w:cs="Tahoma"/>
          <w:sz w:val="20"/>
        </w:rPr>
        <w:t>24</w:t>
      </w:r>
      <w:r w:rsidRPr="004D5562">
        <w:rPr>
          <w:rFonts w:ascii="Tahoma" w:hAnsi="Tahoma" w:cs="Tahoma"/>
          <w:sz w:val="20"/>
        </w:rPr>
        <w:t xml:space="preserve"> je zostavená ako riadna účtovná závierka podľa     ustanovenia § 17 ods. 6 zákona NR SR č. 431/2002 Z. z. o účtovníctve v znení neskorších predpisov (ďalej len „zákon o účtovníctve“), za úč</w:t>
      </w:r>
      <w:r>
        <w:rPr>
          <w:rFonts w:ascii="Tahoma" w:hAnsi="Tahoma" w:cs="Tahoma"/>
          <w:sz w:val="20"/>
        </w:rPr>
        <w:t>t</w:t>
      </w:r>
      <w:r w:rsidR="00EE1D2D">
        <w:rPr>
          <w:rFonts w:ascii="Tahoma" w:hAnsi="Tahoma" w:cs="Tahoma"/>
          <w:sz w:val="20"/>
        </w:rPr>
        <w:t>ovné obdobie od  1. januára 2024</w:t>
      </w:r>
      <w:r w:rsidRPr="004D5562">
        <w:rPr>
          <w:rFonts w:ascii="Tahoma" w:hAnsi="Tahoma" w:cs="Tahoma"/>
          <w:sz w:val="20"/>
        </w:rPr>
        <w:t xml:space="preserve"> do 31. decembra 20</w:t>
      </w:r>
      <w:r w:rsidR="00EE1D2D">
        <w:rPr>
          <w:rFonts w:ascii="Tahoma" w:hAnsi="Tahoma" w:cs="Tahoma"/>
          <w:sz w:val="20"/>
        </w:rPr>
        <w:t>24</w:t>
      </w:r>
      <w:r>
        <w:rPr>
          <w:rFonts w:ascii="Tahoma" w:hAnsi="Tahoma" w:cs="Tahoma"/>
          <w:sz w:val="20"/>
        </w:rPr>
        <w:t>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4D5562" w:rsidRDefault="004E23D8" w:rsidP="004E23D8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  <w:bookmarkStart w:id="0" w:name="_GoBack"/>
      <w:bookmarkEnd w:id="0"/>
    </w:p>
    <w:p w:rsidR="004E23D8" w:rsidRPr="004D5562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</w:t>
      </w:r>
      <w:r>
        <w:rPr>
          <w:rFonts w:ascii="Tahoma" w:hAnsi="Tahoma" w:cs="Tahoma"/>
          <w:sz w:val="20"/>
        </w:rPr>
        <w:t>a</w:t>
      </w:r>
      <w:r w:rsidR="00EE1D2D">
        <w:rPr>
          <w:rFonts w:ascii="Tahoma" w:hAnsi="Tahoma" w:cs="Tahoma"/>
          <w:sz w:val="20"/>
        </w:rPr>
        <w:t xml:space="preserve"> Spoločnosti k 31. decembru 2023</w:t>
      </w:r>
      <w:r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E60044">
        <w:rPr>
          <w:rFonts w:ascii="Tahoma" w:hAnsi="Tahoma" w:cs="Tahoma"/>
          <w:sz w:val="20"/>
        </w:rPr>
        <w:t>20.02.2024</w:t>
      </w:r>
      <w:r>
        <w:rPr>
          <w:rFonts w:ascii="Tahoma" w:hAnsi="Tahoma" w:cs="Tahoma"/>
          <w:sz w:val="20"/>
        </w:rPr>
        <w:t>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E23D8" w:rsidRDefault="004E23D8" w:rsidP="004E23D8">
      <w:r>
        <w:rPr>
          <w:rFonts w:ascii="Tahoma" w:hAnsi="Tahoma" w:cs="Tahoma"/>
        </w:rPr>
        <w:t xml:space="preserve">Spoločnosť nemá povinnosť zostaviť konsolidovanú účtovnú závierku. Spoločnosť nie je súčasťou inej skupiny. </w:t>
      </w:r>
    </w:p>
    <w:p w:rsidR="004E23D8" w:rsidRDefault="004E23D8" w:rsidP="004E23D8"/>
    <w:p w:rsidR="004E23D8" w:rsidRPr="004D5562" w:rsidRDefault="004E23D8" w:rsidP="004E23D8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26"/>
        <w:gridCol w:w="1245"/>
        <w:gridCol w:w="1803"/>
      </w:tblGrid>
      <w:tr w:rsidR="004E23D8" w:rsidRPr="004D5562" w:rsidTr="00C22ABF">
        <w:trPr>
          <w:trHeight w:val="646"/>
        </w:trPr>
        <w:tc>
          <w:tcPr>
            <w:tcW w:w="6126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 </w:t>
            </w: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4E23D8" w:rsidRPr="004D5562" w:rsidTr="00C22ABF">
        <w:trPr>
          <w:trHeight w:val="84"/>
        </w:trPr>
        <w:tc>
          <w:tcPr>
            <w:tcW w:w="6126" w:type="dxa"/>
          </w:tcPr>
          <w:p w:rsidR="004E23D8" w:rsidRPr="004D5562" w:rsidRDefault="004E23D8" w:rsidP="00C22ABF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Priemerný prepočítaný počet  zamestnancov</w:t>
            </w:r>
          </w:p>
        </w:tc>
        <w:tc>
          <w:tcPr>
            <w:tcW w:w="1245" w:type="dxa"/>
          </w:tcPr>
          <w:p w:rsidR="004E23D8" w:rsidRPr="000432D2" w:rsidRDefault="00E60044" w:rsidP="00C22ABF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>
              <w:rPr>
                <w:rFonts w:ascii="Tahoma" w:hAnsi="Tahoma" w:cs="Tahoma"/>
                <w:sz w:val="20"/>
              </w:rPr>
              <w:t>4</w:t>
            </w:r>
          </w:p>
        </w:tc>
        <w:tc>
          <w:tcPr>
            <w:tcW w:w="1803" w:type="dxa"/>
          </w:tcPr>
          <w:p w:rsidR="004E23D8" w:rsidRPr="000432D2" w:rsidRDefault="00E60044" w:rsidP="00C22ABF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>
              <w:rPr>
                <w:rFonts w:ascii="Tahoma" w:hAnsi="Tahoma" w:cs="Tahoma"/>
                <w:sz w:val="20"/>
              </w:rPr>
              <w:t>4</w:t>
            </w:r>
          </w:p>
        </w:tc>
      </w:tr>
    </w:tbl>
    <w:p w:rsidR="004E23D8" w:rsidRDefault="004E23D8" w:rsidP="004E23D8">
      <w:pPr>
        <w:pStyle w:val="Zkladntext"/>
        <w:ind w:left="0"/>
        <w:rPr>
          <w:b/>
          <w:sz w:val="20"/>
        </w:rPr>
      </w:pPr>
    </w:p>
    <w:p w:rsidR="004E23D8" w:rsidRDefault="004E23D8" w:rsidP="004E23D8">
      <w:pPr>
        <w:pStyle w:val="Zkladntext"/>
        <w:ind w:left="284"/>
        <w:rPr>
          <w:b/>
          <w:sz w:val="20"/>
        </w:rPr>
      </w:pPr>
    </w:p>
    <w:p w:rsidR="004E23D8" w:rsidRPr="004D5562" w:rsidRDefault="004E23D8" w:rsidP="004E23D8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INFORMÁCIE O PRIJATÝCH POSTUPOCH</w:t>
      </w:r>
    </w:p>
    <w:p w:rsidR="004E23D8" w:rsidRPr="004D5562" w:rsidRDefault="004E23D8" w:rsidP="004E23D8">
      <w:pPr>
        <w:rPr>
          <w:rFonts w:ascii="Tahoma" w:hAnsi="Tahoma" w:cs="Tahoma"/>
          <w:b/>
        </w:rPr>
      </w:pPr>
    </w:p>
    <w:p w:rsidR="004E23D8" w:rsidRPr="004D5562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 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Spoločnosť aplikovala konzistentne s predchádzajúcim účtovným obdobím. </w:t>
      </w:r>
      <w:r>
        <w:rPr>
          <w:rFonts w:ascii="Tahoma" w:hAnsi="Tahoma" w:cs="Tahoma"/>
          <w:sz w:val="20"/>
        </w:rPr>
        <w:t xml:space="preserve"> Spoločnosť nevykonala v účtovnom období žiadne významné opravy chýb minulých účtovných období. </w:t>
      </w:r>
    </w:p>
    <w:p w:rsidR="004E23D8" w:rsidRDefault="004E23D8" w:rsidP="004E23D8"/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nehmotný a dlhodobý hmotný majetok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majetok  nakupovaný sa oceňuje obstarávacou cenou, ktorá zahŕňa cenu obstarania a náklady súvisiace s obstaraním.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lastRenderedPageBreak/>
        <w:t xml:space="preserve"> 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Odpisy dlhodobého hmotného a nehmotného majetku sú stanovené vychádzajúc z predpokladanej doby jeho používania a predpokladaného priebehu jeho opotrebenia. Odpisovať sa začína </w:t>
      </w:r>
      <w:r>
        <w:rPr>
          <w:rFonts w:ascii="Tahoma" w:hAnsi="Tahoma" w:cs="Tahoma"/>
          <w:sz w:val="20"/>
        </w:rPr>
        <w:t>v</w:t>
      </w:r>
      <w:r w:rsidRPr="00B56E2F">
        <w:rPr>
          <w:rFonts w:ascii="Tahoma" w:hAnsi="Tahoma" w:cs="Tahoma"/>
          <w:sz w:val="20"/>
        </w:rPr>
        <w:t xml:space="preserve"> mesiaci, v ktorom bol dlhodobý majetok uvedený do používania. Dlhodobý nehmotný majetok, ktorého obstarávacia cena je 2 400 eur a nižšia sa účtuje priamo do nákladov. Priamo do nákladov sa účtuje obstaranie dlhodobého hmotného majetku, ktorého obstarávacia  cena je 1 700 eur a nižšie. Pozemky sa neodpisujú.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Predpokladaná doba používania a metóda odpisovania sú uvedené v nasledujúcej tabuľke.</w:t>
      </w:r>
    </w:p>
    <w:p w:rsidR="004E23D8" w:rsidRDefault="004E23D8" w:rsidP="004E23D8"/>
    <w:tbl>
      <w:tblPr>
        <w:tblW w:w="68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840"/>
        <w:gridCol w:w="2000"/>
        <w:gridCol w:w="2960"/>
      </w:tblGrid>
      <w:tr w:rsidR="004E23D8" w:rsidRPr="004E23D8" w:rsidTr="004E23D8">
        <w:trPr>
          <w:trHeight w:val="300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Odpisová skupina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Doba odpisovania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Metóda odpisovania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40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softwér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</w:tbl>
    <w:p w:rsidR="004E23D8" w:rsidRDefault="004E23D8" w:rsidP="004E23D8"/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sa zaokrúhľujú na celé eurá smerom nahor.</w:t>
      </w:r>
      <w:r w:rsidR="00D909BE">
        <w:rPr>
          <w:rFonts w:ascii="Tahoma" w:hAnsi="Tahoma" w:cs="Tahoma"/>
          <w:sz w:val="20"/>
        </w:rPr>
        <w:t xml:space="preserve"> Spoločnosť zatiaľ nevlastní žiaden dlhodobý nehmotný majetok.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Zásoby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E62F34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Zásoby nakupované </w:t>
      </w:r>
      <w:r w:rsidRPr="00B56E2F">
        <w:rPr>
          <w:rFonts w:ascii="Tahoma" w:hAnsi="Tahoma" w:cs="Tahoma"/>
          <w:sz w:val="20"/>
        </w:rPr>
        <w:t>sa oceňuj</w:t>
      </w:r>
      <w:r>
        <w:rPr>
          <w:rFonts w:ascii="Tahoma" w:hAnsi="Tahoma" w:cs="Tahoma"/>
          <w:sz w:val="20"/>
        </w:rPr>
        <w:t xml:space="preserve">ú obstarávacou cenou, ktorá zahrňuje cenu, za ktorú sa majetok obstaral a </w:t>
      </w:r>
      <w:r w:rsidRPr="00B56E2F">
        <w:rPr>
          <w:rFonts w:ascii="Tahoma" w:hAnsi="Tahoma" w:cs="Tahoma"/>
          <w:sz w:val="20"/>
        </w:rPr>
        <w:t xml:space="preserve"> náklady súvisiace s obstaraním (prepravu, poistné, provízie, skonto a pod.).</w:t>
      </w:r>
      <w:r>
        <w:rPr>
          <w:rFonts w:ascii="Tahoma" w:hAnsi="Tahoma" w:cs="Tahoma"/>
          <w:sz w:val="20"/>
        </w:rPr>
        <w:t xml:space="preserve"> Spoločnosť účtuje o zásobách spôsobom A tak, ako to definujú postupy účtovania</w:t>
      </w:r>
      <w:r w:rsidRPr="009C1C1C">
        <w:rPr>
          <w:rFonts w:ascii="Tahoma" w:hAnsi="Tahoma" w:cs="Tahoma"/>
          <w:color w:val="FF0000"/>
          <w:sz w:val="20"/>
        </w:rPr>
        <w:t xml:space="preserve">. </w:t>
      </w:r>
      <w:r w:rsidRPr="00E62F34">
        <w:rPr>
          <w:rFonts w:ascii="Tahoma" w:hAnsi="Tahoma" w:cs="Tahoma"/>
          <w:sz w:val="20"/>
        </w:rPr>
        <w:t xml:space="preserve">Úbytok zásob sa účtuje v cene zistenej metódou váženého aritmetického priemeru, ktorý sa prepočíta z obstarávacích cien po každom príjme. 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1577BF" w:rsidRDefault="004E23D8" w:rsidP="004E23D8">
      <w:pPr>
        <w:pStyle w:val="odstavec"/>
      </w:pPr>
    </w:p>
    <w:p w:rsidR="004E23D8" w:rsidRPr="002F70C5" w:rsidRDefault="004E23D8" w:rsidP="004E23D8">
      <w:pPr>
        <w:pStyle w:val="odstavec"/>
      </w:pPr>
      <w:r w:rsidRPr="002F70C5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Pohľadávky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D0E6E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D0E6E">
        <w:rPr>
          <w:rFonts w:ascii="Tahoma" w:hAnsi="Tahoma" w:cs="Tahoma"/>
          <w:sz w:val="20"/>
        </w:rPr>
        <w:t xml:space="preserve">Pohľadávky pri ich vzniku sa  oceňujú ich menovitou hodnotou. </w:t>
      </w:r>
    </w:p>
    <w:p w:rsidR="004E23D8" w:rsidRPr="001577BF" w:rsidRDefault="004E23D8" w:rsidP="004E23D8">
      <w:pPr>
        <w:pStyle w:val="odstavec"/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Peňažné prostriedky a ceniny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Pr="00B56E2F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 Spoločnosť tvorí rezervy na nevyčerpané dovolenky a súvisiace odvody do poistných fondo</w:t>
      </w:r>
      <w:r>
        <w:rPr>
          <w:rFonts w:ascii="Tahoma" w:hAnsi="Tahoma" w:cs="Tahoma"/>
          <w:sz w:val="20"/>
        </w:rPr>
        <w:t>v</w:t>
      </w:r>
      <w:r w:rsidRPr="00B56E2F">
        <w:rPr>
          <w:rFonts w:ascii="Tahoma" w:hAnsi="Tahoma" w:cs="Tahoma"/>
          <w:sz w:val="20"/>
        </w:rPr>
        <w:t xml:space="preserve">.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Záväzky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>
        <w:rPr>
          <w:rFonts w:ascii="Tahoma" w:hAnsi="Tahoma" w:cs="Tahoma"/>
          <w:color w:val="000000" w:themeColor="text1"/>
          <w:sz w:val="20"/>
        </w:rPr>
        <w:t xml:space="preserve">Výdavky budúcich období a výnosy budúcich období </w:t>
      </w: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</w:p>
    <w:p w:rsidR="004E23D8" w:rsidRPr="0000335C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  <w:r w:rsidRPr="0000335C">
        <w:rPr>
          <w:rFonts w:ascii="Tahoma" w:hAnsi="Tahoma" w:cs="Tahoma"/>
          <w:b w:val="0"/>
          <w:bCs/>
          <w:color w:val="000000" w:themeColor="text1"/>
          <w:sz w:val="20"/>
        </w:rPr>
        <w:t xml:space="preserve">Výnosy budúcich období a výnosy budúcich období sa vykazujú vo výške, ktorá je potrebná na dodržanie zásady vecnej a časovej súvislosti s účtovným obdobím. </w:t>
      </w:r>
    </w:p>
    <w:p w:rsidR="004E23D8" w:rsidRPr="0000335C" w:rsidRDefault="004E23D8" w:rsidP="004E23D8">
      <w:pPr>
        <w:pStyle w:val="abc"/>
        <w:spacing w:after="0"/>
      </w:pPr>
    </w:p>
    <w:p w:rsidR="004E23D8" w:rsidRPr="0000335C" w:rsidRDefault="004E23D8" w:rsidP="004E23D8">
      <w:pPr>
        <w:pStyle w:val="abc"/>
        <w:spacing w:after="0"/>
      </w:pPr>
    </w:p>
    <w:p w:rsidR="004E23D8" w:rsidRPr="0000335C" w:rsidRDefault="004E23D8" w:rsidP="004E23D8">
      <w:pPr>
        <w:pStyle w:val="abc"/>
        <w:spacing w:after="0"/>
      </w:pPr>
      <w:r w:rsidRPr="0000335C">
        <w:t>Splatná daň z príjmu</w:t>
      </w:r>
    </w:p>
    <w:p w:rsidR="004E23D8" w:rsidRPr="0000335C" w:rsidRDefault="004E23D8" w:rsidP="004E23D8">
      <w:pPr>
        <w:pStyle w:val="odstavec"/>
      </w:pPr>
    </w:p>
    <w:p w:rsidR="004E23D8" w:rsidRPr="001577BF" w:rsidRDefault="004E23D8" w:rsidP="004E23D8">
      <w:pPr>
        <w:pStyle w:val="odstavec"/>
      </w:pPr>
      <w:r w:rsidRPr="0000335C"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základu.</w:t>
      </w:r>
      <w:r w:rsidRPr="001577BF">
        <w:t xml:space="preserve"> </w:t>
      </w:r>
      <w:r>
        <w:t xml:space="preserve">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Výnosy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Tržba na vlastné výkony a tovar neobsahujú daň z pridanej hodnoty a sú znížené o zľavy a zrážky / rabaty, bonusy, skontá, dobropisy a pod./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997202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INFORMÁCIE DOPLŇUJÚCE SÚVAHU  A VÝKAZ ZISKOV A STRÁT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>Informácie o sume a dôvodoch vzniku jednotlivých položiek nákladov a výnosov, ktoré majú výnimočný rozsah alebo výskyt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bCs/>
          <w:sz w:val="20"/>
        </w:rPr>
      </w:pPr>
    </w:p>
    <w:p w:rsidR="004E23D8" w:rsidRPr="00194C27" w:rsidRDefault="004E23D8" w:rsidP="004E23D8">
      <w:pPr>
        <w:pStyle w:val="Zkladntext"/>
        <w:ind w:left="0"/>
        <w:rPr>
          <w:rFonts w:ascii="Tahoma" w:hAnsi="Tahoma" w:cs="Tahoma"/>
          <w:bCs/>
          <w:sz w:val="20"/>
        </w:rPr>
      </w:pPr>
      <w:r w:rsidRPr="00194C27">
        <w:rPr>
          <w:rFonts w:ascii="Tahoma" w:hAnsi="Tahoma" w:cs="Tahoma"/>
          <w:bCs/>
          <w:sz w:val="20"/>
        </w:rPr>
        <w:t>V priebehu účtovného obdobia nevznikli, položky, ktoré by mali výnimočný rozsah alebo výskyt.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E60044" w:rsidRDefault="00E60044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E60044" w:rsidRPr="00B56E2F" w:rsidRDefault="00E60044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INFORMÁCIA O INÝCH AKTÍVACH A INÝCH PASÍVACH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E60044" w:rsidP="00E60044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 </w:t>
      </w:r>
    </w:p>
    <w:p w:rsidR="004E23D8" w:rsidRPr="00B56E2F" w:rsidRDefault="004E23D8" w:rsidP="00E60044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Vzhľadom na to, že viaceré oblasti slovenského daňového práva doteraz nebolo dostatočne overené praxou, existuje neistota v tom, ako i</w:t>
      </w:r>
      <w:r w:rsidR="00E60044">
        <w:rPr>
          <w:rFonts w:ascii="Tahoma" w:hAnsi="Tahoma" w:cs="Tahoma"/>
          <w:sz w:val="20"/>
        </w:rPr>
        <w:t>ch budú daňové orgány aplikovať.</w:t>
      </w:r>
      <w:r w:rsidRPr="00B56E2F">
        <w:rPr>
          <w:rFonts w:ascii="Tahoma" w:hAnsi="Tahoma" w:cs="Tahoma"/>
          <w:sz w:val="20"/>
        </w:rPr>
        <w:t xml:space="preserve"> Mieru tejto neistoty nie je možné kvalifikovať a zanikne až potom, keď budú k dispozícií právne precedensy, prípadne oficiálne interpretácie príslušných orgánov.</w:t>
      </w:r>
      <w:r w:rsidR="00E60044">
        <w:rPr>
          <w:rFonts w:ascii="Tahoma" w:hAnsi="Tahoma" w:cs="Tahoma"/>
          <w:sz w:val="20"/>
        </w:rPr>
        <w:t xml:space="preserve"> Vedenie Spoločnosti si nie je vedomé žiadnych okolností, v dôsledku ktorých by jej vznikol významný náklad.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UDALOSTI ,KTORÉ NASTALI PO DNI,</w:t>
      </w:r>
      <w:r>
        <w:rPr>
          <w:rFonts w:ascii="Tahoma" w:hAnsi="Tahoma" w:cs="Tahoma"/>
          <w:b/>
          <w:sz w:val="20"/>
        </w:rPr>
        <w:t xml:space="preserve"> </w:t>
      </w:r>
      <w:r w:rsidRPr="00B56E2F">
        <w:rPr>
          <w:rFonts w:ascii="Tahoma" w:hAnsi="Tahoma" w:cs="Tahoma"/>
          <w:b/>
          <w:sz w:val="20"/>
        </w:rPr>
        <w:t>KU KTORÉMU SA ZOSTAVUJE ÚČTOVNÁ ZÁVIERKA</w:t>
      </w:r>
    </w:p>
    <w:p w:rsidR="004E23D8" w:rsidRPr="00194C27" w:rsidRDefault="004E23D8" w:rsidP="004E23D8">
      <w:pPr>
        <w:pStyle w:val="Zkladntext"/>
        <w:ind w:left="0"/>
        <w:rPr>
          <w:rFonts w:ascii="Arial" w:hAnsi="Arial" w:cs="Arial"/>
          <w:b/>
          <w:sz w:val="20"/>
        </w:rPr>
      </w:pPr>
    </w:p>
    <w:p w:rsidR="004E23D8" w:rsidRDefault="004E23D8" w:rsidP="004E23D8">
      <w:pPr>
        <w:pStyle w:val="Zkladntext"/>
        <w:ind w:left="-284"/>
      </w:pPr>
    </w:p>
    <w:p w:rsidR="004E23D8" w:rsidRDefault="004E23D8" w:rsidP="004E23D8">
      <w:pPr>
        <w:pStyle w:val="Zkladntext"/>
        <w:ind w:left="-44"/>
        <w:rPr>
          <w:rFonts w:ascii="Tahoma" w:hAnsi="Tahoma" w:cs="Tahoma"/>
          <w:sz w:val="20"/>
        </w:rPr>
      </w:pPr>
    </w:p>
    <w:p w:rsidR="004E23D8" w:rsidRDefault="004E23D8" w:rsidP="004E23D8"/>
    <w:sectPr w:rsidR="004E23D8" w:rsidSect="007020B1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4EFC" w:rsidRDefault="008E4EFC" w:rsidP="00576766">
      <w:r>
        <w:separator/>
      </w:r>
    </w:p>
  </w:endnote>
  <w:endnote w:type="continuationSeparator" w:id="0">
    <w:p w:rsidR="008E4EFC" w:rsidRDefault="008E4EFC" w:rsidP="005767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255323481"/>
      <w:docPartObj>
        <w:docPartGallery w:val="Page Numbers (Bottom of Page)"/>
        <w:docPartUnique/>
      </w:docPartObj>
    </w:sdtPr>
    <w:sdtContent>
      <w:p w:rsidR="00576766" w:rsidRDefault="00C47B77">
        <w:pPr>
          <w:pStyle w:val="Pta"/>
          <w:jc w:val="right"/>
        </w:pPr>
        <w:r>
          <w:fldChar w:fldCharType="begin"/>
        </w:r>
        <w:r w:rsidR="00576766">
          <w:instrText>PAGE   \* MERGEFORMAT</w:instrText>
        </w:r>
        <w:r>
          <w:fldChar w:fldCharType="separate"/>
        </w:r>
        <w:r w:rsidR="00D909BE">
          <w:rPr>
            <w:noProof/>
          </w:rPr>
          <w:t>4</w:t>
        </w:r>
        <w:r>
          <w:fldChar w:fldCharType="end"/>
        </w:r>
      </w:p>
    </w:sdtContent>
  </w:sdt>
  <w:p w:rsidR="00576766" w:rsidRDefault="005767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4EFC" w:rsidRDefault="008E4EFC" w:rsidP="00576766">
      <w:r>
        <w:separator/>
      </w:r>
    </w:p>
  </w:footnote>
  <w:footnote w:type="continuationSeparator" w:id="0">
    <w:p w:rsidR="008E4EFC" w:rsidRDefault="008E4EFC" w:rsidP="005767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766" w:rsidRDefault="00576766">
    <w:pPr>
      <w:pStyle w:val="Hlavika"/>
    </w:pPr>
    <w:r>
      <w:t>Poznámky Uč POD 3-01</w:t>
    </w:r>
  </w:p>
  <w:p w:rsidR="00576766" w:rsidRDefault="00576766">
    <w:pPr>
      <w:pStyle w:val="Hlavika"/>
    </w:pPr>
    <w:r>
      <w:t xml:space="preserve">IČO: </w:t>
    </w:r>
    <w:r w:rsidR="00EE1D2D">
      <w:t>53646061</w:t>
    </w:r>
  </w:p>
  <w:p w:rsidR="00576766" w:rsidRDefault="00576766">
    <w:pPr>
      <w:pStyle w:val="Hlavika"/>
    </w:pPr>
    <w:r>
      <w:t xml:space="preserve">DIČ: </w:t>
    </w:r>
    <w:r w:rsidR="00EE1D2D">
      <w:t>2121451926</w:t>
    </w:r>
  </w:p>
  <w:p w:rsidR="00576766" w:rsidRDefault="0057676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">
    <w:nsid w:val="36BE61C3"/>
    <w:multiLevelType w:val="multilevel"/>
    <w:tmpl w:val="D8E0872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4E23D8"/>
    <w:rsid w:val="000812A4"/>
    <w:rsid w:val="000C4677"/>
    <w:rsid w:val="001F1B7E"/>
    <w:rsid w:val="00411DE4"/>
    <w:rsid w:val="004E23D8"/>
    <w:rsid w:val="00576766"/>
    <w:rsid w:val="0064288A"/>
    <w:rsid w:val="007020B1"/>
    <w:rsid w:val="0088384C"/>
    <w:rsid w:val="008E4EFC"/>
    <w:rsid w:val="00910D72"/>
    <w:rsid w:val="00B84047"/>
    <w:rsid w:val="00C47B77"/>
    <w:rsid w:val="00C77778"/>
    <w:rsid w:val="00D909BE"/>
    <w:rsid w:val="00E60044"/>
    <w:rsid w:val="00EE1D2D"/>
    <w:rsid w:val="00F0624A"/>
    <w:rsid w:val="00F568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qFormat/>
    <w:rsid w:val="004E23D8"/>
    <w:pPr>
      <w:keepNext/>
      <w:numPr>
        <w:numId w:val="1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E23D8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E23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E23D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uiPriority w:val="99"/>
    <w:rsid w:val="004E23D8"/>
    <w:pPr>
      <w:numPr>
        <w:numId w:val="2"/>
      </w:numPr>
      <w:tabs>
        <w:tab w:val="num" w:pos="426"/>
      </w:tabs>
      <w:ind w:left="426" w:hanging="426"/>
    </w:pPr>
    <w:rPr>
      <w:b/>
    </w:rPr>
  </w:style>
  <w:style w:type="paragraph" w:customStyle="1" w:styleId="odstavec">
    <w:name w:val="odstavec"/>
    <w:basedOn w:val="Normlny"/>
    <w:link w:val="odstavecChar"/>
    <w:autoRedefine/>
    <w:rsid w:val="004E23D8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E23D8"/>
    <w:rPr>
      <w:rFonts w:ascii="Arial" w:eastAsia="Times New Roman" w:hAnsi="Arial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4E23D8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7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76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qFormat/>
    <w:rsid w:val="004E23D8"/>
    <w:pPr>
      <w:keepNext/>
      <w:numPr>
        <w:numId w:val="1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E23D8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E23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E23D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uiPriority w:val="99"/>
    <w:rsid w:val="004E23D8"/>
    <w:pPr>
      <w:numPr>
        <w:numId w:val="2"/>
      </w:numPr>
      <w:tabs>
        <w:tab w:val="num" w:pos="426"/>
      </w:tabs>
      <w:ind w:left="426" w:hanging="426"/>
    </w:pPr>
    <w:rPr>
      <w:b/>
    </w:rPr>
  </w:style>
  <w:style w:type="paragraph" w:customStyle="1" w:styleId="odstavec">
    <w:name w:val="odstavec"/>
    <w:basedOn w:val="Normlny"/>
    <w:link w:val="odstavecChar"/>
    <w:autoRedefine/>
    <w:rsid w:val="004E23D8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E23D8"/>
    <w:rPr>
      <w:rFonts w:ascii="Arial" w:eastAsia="Times New Roman" w:hAnsi="Arial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4E23D8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7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76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057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912</Words>
  <Characters>5205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Tomašková</dc:creator>
  <cp:lastModifiedBy>Windows User</cp:lastModifiedBy>
  <cp:revision>12</cp:revision>
  <dcterms:created xsi:type="dcterms:W3CDTF">2023-06-27T12:18:00Z</dcterms:created>
  <dcterms:modified xsi:type="dcterms:W3CDTF">2025-03-13T17:51:00Z</dcterms:modified>
</cp:coreProperties>
</file>