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41"/>
        <w:spacing w:before="120" w:after="60"/>
      </w:pPr>
      <w:r/>
      <w:bookmarkStart w:id="0" w:name="_Toc530739894"/>
      <w:r>
        <w:t xml:space="preserve">Všeobecné </w:t>
      </w:r>
      <w:r>
        <w:t xml:space="preserve">Informácie</w:t>
      </w:r>
      <w:bookmarkEnd w:id="0"/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42"/>
        <w:numPr>
          <w:ilvl w:val="0"/>
          <w:numId w:val="2"/>
        </w:numPr>
      </w:pPr>
      <w:r>
        <w:t xml:space="preserve">Obchodné meno a sídlo </w:t>
      </w:r>
      <w:r>
        <w:t xml:space="preserve">spoločnosti</w:t>
      </w:r>
      <w:r/>
    </w:p>
    <w:p>
      <w:pPr>
        <w:pStyle w:val="1256"/>
      </w:pPr>
      <w:r>
        <w:t xml:space="preserve">BELT </w:t>
      </w:r>
      <w:r>
        <w:t xml:space="preserve">spol.</w:t>
      </w:r>
      <w:r>
        <w:t xml:space="preserve"> s.r.o.</w:t>
      </w:r>
      <w:r/>
    </w:p>
    <w:p>
      <w:pPr>
        <w:pStyle w:val="1256"/>
        <w:ind w:left="0"/>
      </w:pPr>
      <w:r>
        <w:t xml:space="preserve">         </w:t>
      </w:r>
      <w:r>
        <w:t xml:space="preserve">Šamorínska 1</w:t>
      </w:r>
      <w:r/>
    </w:p>
    <w:p>
      <w:pPr>
        <w:pStyle w:val="1256"/>
      </w:pPr>
      <w:r>
        <w:t xml:space="preserve">8</w:t>
      </w:r>
      <w:r>
        <w:t xml:space="preserve">21</w:t>
      </w:r>
      <w:r>
        <w:t xml:space="preserve"> 0</w:t>
      </w:r>
      <w:r>
        <w:t xml:space="preserve">6 </w:t>
      </w:r>
      <w:r>
        <w:t xml:space="preserve"> Bratislava</w:t>
      </w:r>
      <w:r/>
    </w:p>
    <w:p>
      <w:r/>
      <w:r/>
    </w:p>
    <w:p>
      <w:pPr>
        <w:pStyle w:val="1242"/>
        <w:ind w:left="360"/>
      </w:pPr>
      <w:r/>
      <w:bookmarkStart w:id="1" w:name="_Toc530739896"/>
      <w:r>
        <w:t xml:space="preserve">Hlavnými činnosťami Spoločnosti sú:</w:t>
      </w:r>
      <w:bookmarkEnd w:id="1"/>
      <w:r/>
      <w:r/>
    </w:p>
    <w:p>
      <w:r/>
      <w:r/>
    </w:p>
    <w:p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výroba a predaj priemyselného tovaru v rozsahu voľnej živnosti</w:t>
      </w:r>
      <w:r/>
    </w:p>
    <w:p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sprostredkovateľská činnosť v oblasti obchodu a služieb</w:t>
      </w:r>
      <w:r/>
    </w:p>
    <w:p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nákup a predaj nehnuteľnosti </w:t>
      </w:r>
      <w:r/>
    </w:p>
    <w:p>
      <w:pPr>
        <w:numPr>
          <w:ilvl w:val="0"/>
          <w:numId w:val="10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marketing</w:t>
      </w:r>
      <w:r/>
    </w:p>
    <w:p>
      <w:pPr>
        <w:pStyle w:val="1256"/>
      </w:pPr>
      <w:r/>
      <w:r/>
    </w:p>
    <w:p>
      <w:r/>
      <w:r/>
    </w:p>
    <w:p>
      <w:r/>
      <w:r/>
    </w:p>
    <w:p>
      <w:pPr>
        <w:pStyle w:val="1242"/>
        <w:numPr>
          <w:ilvl w:val="0"/>
          <w:numId w:val="2"/>
        </w:numPr>
      </w:pPr>
      <w:r>
        <w:t xml:space="preserve">Dátum schválenia účtovnej závierky za predchádzajúce účtovné obdobie</w:t>
      </w:r>
      <w:r/>
    </w:p>
    <w:p>
      <w:pPr>
        <w:pStyle w:val="1256"/>
        <w:ind w:hanging="426"/>
      </w:pPr>
      <w:r>
        <w:tab/>
        <w:t xml:space="preserve">Účtovná závierka Spoločnosti k 31. decembru 20</w:t>
      </w:r>
      <w:r>
        <w:t xml:space="preserve">2</w:t>
      </w:r>
      <w:r>
        <w:t xml:space="preserve">3</w:t>
      </w:r>
      <w:r>
        <w:t xml:space="preserve">, za predchádzajúce účtovné obdobie, bola schválená valným zhromaždením Spoločnosti </w:t>
      </w:r>
      <w:r>
        <w:t xml:space="preserve">dňa </w:t>
      </w:r>
      <w:r>
        <w:t xml:space="preserve">25</w:t>
      </w:r>
      <w:r>
        <w:t xml:space="preserve">.</w:t>
      </w:r>
      <w:r>
        <w:t xml:space="preserve">0</w:t>
      </w:r>
      <w:r>
        <w:t xml:space="preserve">3</w:t>
      </w:r>
      <w:r>
        <w:t xml:space="preserve">.</w:t>
      </w:r>
      <w:r>
        <w:t xml:space="preserve"> 20</w:t>
      </w:r>
      <w:r>
        <w:t xml:space="preserve">24</w:t>
      </w:r>
      <w:r>
        <w:t xml:space="preserve">.</w:t>
      </w:r>
      <w:r/>
    </w:p>
    <w:p>
      <w:pPr>
        <w:pStyle w:val="1256"/>
      </w:pPr>
      <w:r/>
      <w:r/>
    </w:p>
    <w:p>
      <w:pPr>
        <w:pStyle w:val="1242"/>
        <w:numPr>
          <w:ilvl w:val="0"/>
          <w:numId w:val="2"/>
        </w:numPr>
      </w:pPr>
      <w:r>
        <w:t xml:space="preserve">Právny dôvod na zostavenie účtovnej závierky</w:t>
      </w:r>
      <w:r/>
    </w:p>
    <w:p>
      <w:pPr>
        <w:pStyle w:val="1256"/>
        <w:ind w:hanging="66"/>
      </w:pPr>
      <w:r>
        <w:t xml:space="preserve">Účtovná závierka</w:t>
      </w:r>
      <w:r>
        <w:t xml:space="preserve"> Spoločnosti k 31. decembru 20</w:t>
      </w:r>
      <w:r>
        <w:t xml:space="preserve">24</w:t>
      </w:r>
      <w:r>
        <w:t xml:space="preserve"> je zostavená ako riadna účtovná závierka podľa § 17 ods. 6 zákona </w:t>
      </w:r>
      <w:r>
        <w:t xml:space="preserve">NR</w:t>
      </w:r>
      <w:r>
        <w:t xml:space="preserve"> </w:t>
      </w:r>
      <w:r>
        <w:t xml:space="preserve">SR</w:t>
      </w:r>
      <w:r>
        <w:t xml:space="preserve"> č. 431/2002 Z. z. o účtovníctve za účtovné obdobie od </w:t>
      </w:r>
      <w:r>
        <w:t xml:space="preserve">01. januára</w:t>
      </w:r>
      <w:r>
        <w:t xml:space="preserve"> </w:t>
      </w:r>
      <w:r>
        <w:t xml:space="preserve">20</w:t>
      </w:r>
      <w:r>
        <w:t xml:space="preserve">2</w:t>
      </w:r>
      <w:r>
        <w:t xml:space="preserve">4</w:t>
      </w:r>
      <w:r>
        <w:t xml:space="preserve"> do 31. decembra 20</w:t>
      </w:r>
      <w:r>
        <w:t xml:space="preserve">2</w:t>
      </w:r>
      <w:r>
        <w:t xml:space="preserve">4</w:t>
      </w:r>
      <w:r>
        <w:t xml:space="preserve">.</w:t>
      </w:r>
      <w:r/>
    </w:p>
    <w:p>
      <w:pPr>
        <w:pStyle w:val="1256"/>
        <w:ind w:hanging="66"/>
      </w:pPr>
      <w:r/>
      <w:r/>
    </w:p>
    <w:p>
      <w:pPr>
        <w:pStyle w:val="1256"/>
        <w:ind w:hanging="66"/>
        <w:rPr>
          <w:szCs w:val="18"/>
        </w:rPr>
      </w:pPr>
      <w:r>
        <w:rPr>
          <w:szCs w:val="18"/>
        </w:rPr>
        <w:t xml:space="preserve">Účtovná závierka je určená pre používateľov, ktorí majú primerané znalosti o obchodných a ekonomických činnostiach a účtovníctve a ktorí analyzujú tieto informácie s primeranou pozornosťou. </w:t>
      </w:r>
      <w:r>
        <w:rPr>
          <w:szCs w:val="18"/>
        </w:rPr>
        <w:t xml:space="preserve">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  <w:r/>
    </w:p>
    <w:p>
      <w:pPr>
        <w:pStyle w:val="1256"/>
        <w:ind w:hanging="66"/>
        <w:rPr>
          <w:szCs w:val="18"/>
        </w:rPr>
      </w:pPr>
      <w:r>
        <w:rPr>
          <w:szCs w:val="18"/>
        </w:rPr>
      </w:r>
      <w:r/>
    </w:p>
    <w:p>
      <w:pPr>
        <w:pStyle w:val="124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  <w:r/>
    </w:p>
    <w:p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nespĺňa podmienky uvedené v § 22 ods. 10 zákona o účtovníctve definujúce povinnosť zostavenia konsolidovanej účtovnej závierky, a preto Spoločnosť nezostavuje konsolidov</w:t>
      </w:r>
      <w:r>
        <w:rPr>
          <w:sz w:val="18"/>
          <w:szCs w:val="18"/>
        </w:rPr>
        <w:t xml:space="preserve">anú účtovnú závierku za rok 20</w:t>
      </w:r>
      <w:r>
        <w:rPr>
          <w:sz w:val="18"/>
          <w:szCs w:val="18"/>
        </w:rPr>
        <w:t xml:space="preserve">2</w:t>
      </w:r>
      <w:r>
        <w:rPr>
          <w:sz w:val="18"/>
          <w:szCs w:val="18"/>
        </w:rPr>
        <w:t xml:space="preserve">4 a ani sa nezahŕňa do žiadnej konsolidovanej účtovnej závierky.</w:t>
      </w:r>
      <w:r/>
    </w:p>
    <w:p>
      <w:pPr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1242"/>
        <w:rPr>
          <w:szCs w:val="18"/>
        </w:rPr>
      </w:pPr>
      <w:r>
        <w:rPr>
          <w:szCs w:val="18"/>
        </w:rPr>
      </w:r>
      <w:r/>
    </w:p>
    <w:p>
      <w:pPr>
        <w:pStyle w:val="124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</w:t>
      </w:r>
      <w:r>
        <w:rPr>
          <w:szCs w:val="18"/>
        </w:rPr>
        <w:t xml:space="preserve">očet zamestnancov </w:t>
      </w:r>
      <w:r/>
    </w:p>
    <w:p>
      <w:pPr>
        <w:pStyle w:val="1256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>
        <w:rPr>
          <w:szCs w:val="18"/>
        </w:rPr>
        <w:t xml:space="preserve"> </w:t>
      </w:r>
      <w:r>
        <w:rPr>
          <w:szCs w:val="18"/>
        </w:rPr>
        <w:t xml:space="preserve">v roku 20</w:t>
      </w:r>
      <w:r>
        <w:rPr>
          <w:szCs w:val="18"/>
        </w:rPr>
        <w:t xml:space="preserve">2</w:t>
      </w:r>
      <w:r>
        <w:rPr>
          <w:szCs w:val="18"/>
        </w:rPr>
        <w:t xml:space="preserve"> </w:t>
      </w:r>
      <w:r>
        <w:rPr>
          <w:szCs w:val="18"/>
        </w:rPr>
        <w:t xml:space="preserve">zamestnávala</w:t>
      </w:r>
      <w:r>
        <w:rPr>
          <w:szCs w:val="18"/>
        </w:rPr>
        <w:t xml:space="preserve"> 2 </w:t>
      </w:r>
      <w:r>
        <w:rPr>
          <w:szCs w:val="18"/>
        </w:rPr>
        <w:t xml:space="preserve"> </w:t>
      </w:r>
      <w:r>
        <w:rPr>
          <w:szCs w:val="18"/>
        </w:rPr>
        <w:t xml:space="preserve">zamestnancov</w:t>
      </w:r>
      <w:r>
        <w:rPr>
          <w:szCs w:val="18"/>
        </w:rPr>
        <w:t xml:space="preserve"> na dohodu o pracovnej činnosti</w:t>
      </w:r>
      <w:r>
        <w:rPr>
          <w:szCs w:val="18"/>
        </w:rPr>
        <w:t xml:space="preserve">.</w:t>
      </w:r>
      <w:r/>
    </w:p>
    <w:p>
      <w:pPr>
        <w:pStyle w:val="1256"/>
        <w:ind w:left="0" w:firstLine="360"/>
        <w:rPr>
          <w:szCs w:val="18"/>
        </w:rPr>
      </w:pPr>
      <w:r>
        <w:rPr>
          <w:szCs w:val="18"/>
        </w:rPr>
      </w:r>
      <w:r/>
    </w:p>
    <w:p>
      <w:pPr>
        <w:pStyle w:val="1256"/>
        <w:ind w:left="0" w:firstLine="360"/>
        <w:rPr>
          <w:szCs w:val="18"/>
        </w:rPr>
      </w:pPr>
      <w:r>
        <w:rPr>
          <w:szCs w:val="18"/>
        </w:rPr>
      </w:r>
      <w:r/>
    </w:p>
    <w:p>
      <w:pPr>
        <w:ind w:left="360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1241"/>
        <w:spacing w:before="120" w:after="60"/>
      </w:pPr>
      <w:r>
        <w:t xml:space="preserve">Informácie o</w:t>
      </w:r>
      <w:r>
        <w:t xml:space="preserve"> orgánoch účtovnej jednotky</w:t>
      </w:r>
      <w:r>
        <w:t xml:space="preserve"> </w:t>
      </w:r>
      <w:r/>
    </w:p>
    <w:p>
      <w:pPr>
        <w:pStyle w:val="1256"/>
      </w:pPr>
      <w:r/>
      <w:r/>
    </w:p>
    <w:p>
      <w:pPr>
        <w:pStyle w:val="1256"/>
        <w:ind w:left="360"/>
        <w:rPr>
          <w:szCs w:val="18"/>
        </w:rPr>
      </w:pPr>
      <w:r>
        <w:rPr>
          <w:szCs w:val="18"/>
        </w:rPr>
        <w:t xml:space="preserve">Č</w:t>
      </w:r>
      <w:r>
        <w:rPr>
          <w:szCs w:val="18"/>
        </w:rPr>
        <w:t xml:space="preserve">lenom štatutárne</w:t>
      </w:r>
      <w:r>
        <w:rPr>
          <w:szCs w:val="18"/>
        </w:rPr>
        <w:t xml:space="preserve">ho</w:t>
      </w:r>
      <w:r>
        <w:rPr>
          <w:szCs w:val="18"/>
        </w:rPr>
        <w:t xml:space="preserve"> orgánu, ani členom dozorných orgánov  neboli v roku 20</w:t>
      </w:r>
      <w:r>
        <w:rPr>
          <w:szCs w:val="18"/>
        </w:rPr>
        <w:t xml:space="preserve">24</w:t>
      </w:r>
      <w:r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>
        <w:rPr>
          <w:szCs w:val="18"/>
        </w:rPr>
        <w:t xml:space="preserve">2</w:t>
      </w:r>
      <w:r>
        <w:rPr>
          <w:szCs w:val="18"/>
        </w:rPr>
        <w:t xml:space="preserve">3: žiadne).</w:t>
      </w:r>
      <w:r/>
    </w:p>
    <w:p>
      <w:pPr>
        <w:pStyle w:val="1256"/>
        <w:jc w:val="left"/>
        <w:rPr>
          <w:szCs w:val="18"/>
        </w:rPr>
      </w:pPr>
      <w:r>
        <w:rPr>
          <w:szCs w:val="18"/>
        </w:rPr>
      </w:r>
      <w:r/>
    </w:p>
    <w:p>
      <w:pPr>
        <w:pStyle w:val="1256"/>
        <w:jc w:val="left"/>
        <w:rPr>
          <w:szCs w:val="18"/>
        </w:rPr>
      </w:pPr>
      <w:r>
        <w:rPr>
          <w:szCs w:val="18"/>
        </w:rPr>
      </w:r>
      <w:r/>
    </w:p>
    <w:p>
      <w:pPr>
        <w:pStyle w:val="1256"/>
        <w:jc w:val="left"/>
        <w:rPr>
          <w:szCs w:val="18"/>
        </w:rPr>
      </w:pPr>
      <w:r>
        <w:rPr>
          <w:szCs w:val="18"/>
        </w:rPr>
      </w:r>
      <w:r/>
    </w:p>
    <w:p>
      <w:pPr>
        <w:pStyle w:val="1241"/>
        <w:spacing w:before="120" w:after="60"/>
      </w:pPr>
      <w:r/>
      <w:bookmarkStart w:id="2" w:name="_Toc530739899"/>
      <w:r>
        <w:t xml:space="preserve">Informácie o</w:t>
      </w:r>
      <w:r>
        <w:t xml:space="preserve"> PRIJATÝCH POSTUPOCH</w:t>
      </w:r>
      <w:r>
        <w:t xml:space="preserve">  </w:t>
      </w:r>
      <w:bookmarkEnd w:id="2"/>
      <w:r/>
      <w:r/>
    </w:p>
    <w:p>
      <w:pPr>
        <w:pStyle w:val="1256"/>
      </w:pPr>
      <w:r/>
      <w:r/>
    </w:p>
    <w:p>
      <w:pPr>
        <w:pStyle w:val="1265"/>
        <w:ind w:left="426"/>
      </w:pPr>
      <w:r>
        <w:t xml:space="preserve">Východiská pre zostavenie účtovnej závierky</w:t>
      </w:r>
      <w:r/>
    </w:p>
    <w:p>
      <w:pPr>
        <w:pStyle w:val="1256"/>
        <w:ind w:left="450"/>
      </w:pPr>
      <w:r>
        <w:t xml:space="preserve">Účtovná závierka bola zostavená za predpokladu nepretržitého trvania Spoločnosti .</w:t>
      </w:r>
      <w:r>
        <w:t xml:space="preserve"> </w:t>
      </w:r>
      <w:r>
        <w:t xml:space="preserve">Účtovné metódy a všeobecné účtovné zásady boli účtovnou jednotkou konzistentne aplikované</w:t>
      </w:r>
      <w:r>
        <w:t xml:space="preserve">.</w:t>
      </w:r>
      <w:r>
        <w:t xml:space="preserve"> </w:t>
      </w:r>
      <w:r>
        <w:t xml:space="preserve">V účtovnom období 20</w:t>
      </w:r>
      <w:r>
        <w:t xml:space="preserve">2</w:t>
      </w:r>
      <w:r>
        <w:t xml:space="preserve">4 </w:t>
      </w:r>
      <w:r>
        <w:t xml:space="preserve">s</w:t>
      </w:r>
      <w:r>
        <w:t xml:space="preserve">poločnosť nevykonala žiadne opravy významných chýb minulých účtovných období.</w:t>
      </w:r>
      <w:r>
        <w:t xml:space="preserve"> </w:t>
      </w:r>
      <w:r/>
    </w:p>
    <w:p>
      <w:pPr>
        <w:pStyle w:val="1256"/>
        <w:ind w:left="450"/>
      </w:pPr>
      <w:r/>
      <w:r/>
    </w:p>
    <w:p>
      <w:pPr>
        <w:pStyle w:val="1256"/>
        <w:ind w:left="450"/>
      </w:pPr>
      <w:r/>
      <w:r/>
    </w:p>
    <w:p>
      <w:pPr>
        <w:pStyle w:val="1256"/>
        <w:ind w:left="450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56"/>
        <w:ind w:left="709"/>
      </w:pPr>
      <w:r/>
      <w:r/>
    </w:p>
    <w:p>
      <w:pPr>
        <w:pStyle w:val="1265"/>
        <w:ind w:left="426" w:hanging="426"/>
        <w:tabs>
          <w:tab w:val="clear" w:pos="360" w:leader="none"/>
        </w:tabs>
      </w:pPr>
      <w:r>
        <w:t xml:space="preserve">D</w:t>
      </w:r>
      <w:r>
        <w:t xml:space="preserve">lhodobý nehmotný a dlhodobý hmotný majetok</w:t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Dlhodobý majetok nakupovan</w:t>
      </w:r>
      <w:r>
        <w:rPr>
          <w:b w:val="0"/>
        </w:rPr>
        <w:t xml:space="preserve">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  <w:r/>
    </w:p>
    <w:p>
      <w:pPr>
        <w:pStyle w:val="1265"/>
        <w:numPr>
          <w:ilvl w:val="0"/>
          <w:numId w:val="0"/>
        </w:numPr>
      </w:pPr>
      <w:r>
        <w:t xml:space="preserve"> </w:t>
      </w:r>
      <w:r/>
    </w:p>
    <w:p>
      <w:pPr>
        <w:pStyle w:val="1256"/>
        <w:rPr>
          <w:szCs w:val="18"/>
        </w:rPr>
      </w:pPr>
      <w:r>
        <w:t xml:space="preserve">Odpisy dlhodobého hmotného majetku sú stanovené vychádzajúc z predpokladanej doby jeho  používania</w:t>
      </w:r>
      <w:r>
        <w:t xml:space="preserve">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>
        <w:t xml:space="preserve">  </w:t>
      </w:r>
      <w:r>
        <w:t xml:space="preserve">j</w:t>
      </w:r>
      <w:r>
        <w:t xml:space="preserve">e</w:t>
      </w:r>
      <w:r>
        <w:t xml:space="preserve">dnorázovo</w:t>
      </w:r>
      <w:r>
        <w:t xml:space="preserve"> pri uvedení do používania. </w:t>
      </w:r>
      <w:r>
        <w:rPr>
          <w:szCs w:val="18"/>
        </w:rPr>
        <w:t xml:space="preserve">Predpokladaná doba používania, metóda odpisovania a odpisová sadzba sú uvedené v nasledujúcej tabuľke:</w:t>
      </w:r>
      <w:r/>
    </w:p>
    <w:p>
      <w:pPr>
        <w:pStyle w:val="1256"/>
        <w:rPr>
          <w:szCs w:val="18"/>
        </w:rPr>
      </w:pPr>
      <w:r>
        <w:rPr>
          <w:szCs w:val="18"/>
        </w:rPr>
      </w:r>
      <w:r/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>
        <w:trPr>
          <w:trHeight w:val="11"/>
        </w:trPr>
        <w:tc>
          <w:tcPr>
            <w:gridSpan w:val="2"/>
            <w:tcW w:w="3200" w:type="dxa"/>
            <w:textDirection w:val="lrTb"/>
            <w:noWrap w:val="false"/>
          </w:tcPr>
          <w:p>
            <w:pPr>
              <w:pStyle w:val="1264"/>
            </w:pPr>
            <w:r/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Predpokladaná</w:t>
            </w:r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Metóda</w:t>
            </w:r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Ročná odpisová </w:t>
            </w:r>
            <w:r/>
          </w:p>
        </w:tc>
      </w:tr>
      <w:tr>
        <w:trPr>
          <w:trHeight w:val="11"/>
        </w:trPr>
        <w:tc>
          <w:tcPr>
            <w:tcBorders>
              <w:bottom w:val="single" w:color="auto" w:sz="4" w:space="0"/>
            </w:tcBorders>
            <w:tcW w:w="3053" w:type="dxa"/>
            <w:textDirection w:val="lrTb"/>
            <w:noWrap w:val="false"/>
          </w:tcPr>
          <w:p>
            <w:pPr>
              <w:pStyle w:val="1264"/>
            </w:pPr>
            <w:r>
              <w:t xml:space="preserve">Druh</w:t>
            </w:r>
            <w:r/>
          </w:p>
        </w:tc>
        <w:tc>
          <w:tcPr>
            <w:tcBorders>
              <w:bottom w:val="single" w:color="auto" w:sz="4" w:space="0"/>
            </w:tcBorders>
            <w:tcW w:w="147" w:type="dxa"/>
            <w:textDirection w:val="lrTb"/>
            <w:noWrap w:val="false"/>
          </w:tcPr>
          <w:p>
            <w:pPr>
              <w:pStyle w:val="1264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2036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doba používania v rokoch</w:t>
            </w:r>
            <w:r/>
          </w:p>
        </w:tc>
        <w:tc>
          <w:tcPr>
            <w:tcBorders>
              <w:bottom w:val="single" w:color="auto" w:sz="4" w:space="0"/>
            </w:tcBorders>
            <w:tcW w:w="145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odpisovania</w:t>
            </w:r>
            <w:r/>
          </w:p>
        </w:tc>
        <w:tc>
          <w:tcPr>
            <w:tcBorders>
              <w:bottom w:val="single" w:color="auto" w:sz="4" w:space="0"/>
            </w:tcBorders>
            <w:tcW w:w="146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Borders>
              <w:bottom w:val="single" w:color="auto" w:sz="4" w:space="0"/>
            </w:tcBorders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sadzba v %</w:t>
            </w:r>
            <w:r/>
          </w:p>
        </w:tc>
      </w:tr>
      <w:tr>
        <w:trPr>
          <w:trHeight w:val="11"/>
        </w:trPr>
        <w:tc>
          <w:tcPr>
            <w:gridSpan w:val="2"/>
            <w:tcW w:w="3200" w:type="dxa"/>
            <w:textDirection w:val="lrTb"/>
            <w:noWrap w:val="false"/>
          </w:tcPr>
          <w:p>
            <w:pPr>
              <w:pStyle w:val="1264"/>
            </w:pPr>
            <w:r>
              <w:t xml:space="preserve">Samostatné hnuteľné veci</w:t>
            </w:r>
            <w:r/>
          </w:p>
        </w:tc>
        <w:tc>
          <w:tcPr>
            <w:tcW w:w="2036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4</w:t>
            </w:r>
            <w:r/>
          </w:p>
        </w:tc>
        <w:tc>
          <w:tcPr>
            <w:tcW w:w="145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lineárna</w:t>
            </w:r>
            <w:r/>
          </w:p>
        </w:tc>
        <w:tc>
          <w:tcPr>
            <w:tcW w:w="146" w:type="dxa"/>
            <w:textDirection w:val="lrTb"/>
            <w:noWrap w:val="false"/>
          </w:tcPr>
          <w:p>
            <w:pPr>
              <w:pStyle w:val="1264"/>
              <w:jc w:val="center"/>
            </w:pPr>
            <w:r/>
            <w:r/>
          </w:p>
        </w:tc>
        <w:tc>
          <w:tcPr>
            <w:tcW w:w="1744" w:type="dxa"/>
            <w:textDirection w:val="lrTb"/>
            <w:noWrap w:val="false"/>
          </w:tcPr>
          <w:p>
            <w:pPr>
              <w:pStyle w:val="1264"/>
              <w:jc w:val="center"/>
            </w:pPr>
            <w:r>
              <w:t xml:space="preserve">25</w:t>
            </w:r>
            <w:r/>
          </w:p>
          <w:p>
            <w:pPr>
              <w:pStyle w:val="1264"/>
              <w:jc w:val="center"/>
            </w:pPr>
            <w:r/>
            <w:r/>
          </w:p>
          <w:p>
            <w:pPr>
              <w:pStyle w:val="1264"/>
              <w:jc w:val="center"/>
            </w:pPr>
            <w:r/>
            <w:r/>
          </w:p>
          <w:p>
            <w:pPr>
              <w:pStyle w:val="1264"/>
              <w:jc w:val="center"/>
            </w:pPr>
            <w:r/>
            <w:r/>
          </w:p>
        </w:tc>
      </w:tr>
    </w:tbl>
    <w:p>
      <w:pPr>
        <w:pStyle w:val="1256"/>
        <w:rPr>
          <w:szCs w:val="18"/>
        </w:rPr>
      </w:pPr>
      <w:r>
        <w:rPr>
          <w:szCs w:val="18"/>
        </w:rPr>
        <w:t xml:space="preserve">Metódy odpisovania,</w:t>
      </w:r>
      <w:r>
        <w:rPr>
          <w:szCs w:val="18"/>
        </w:rPr>
        <w:t xml:space="preserve"> doby použiteľnosti a</w:t>
      </w:r>
      <w:r>
        <w:rPr>
          <w:szCs w:val="18"/>
        </w:rPr>
        <w:t xml:space="preserve"> </w:t>
      </w:r>
      <w:r>
        <w:rPr>
          <w:szCs w:val="18"/>
        </w:rPr>
        <w:t xml:space="preserve">z</w:t>
      </w:r>
      <w:r>
        <w:rPr>
          <w:szCs w:val="18"/>
        </w:rPr>
        <w:t xml:space="preserve">o</w:t>
      </w:r>
      <w:r>
        <w:rPr>
          <w:szCs w:val="18"/>
        </w:rPr>
        <w:t xml:space="preserve">st</w:t>
      </w:r>
      <w:r>
        <w:rPr>
          <w:szCs w:val="18"/>
        </w:rPr>
        <w:t xml:space="preserve">atkové </w:t>
      </w:r>
      <w:r>
        <w:rPr>
          <w:szCs w:val="18"/>
        </w:rPr>
        <w:t xml:space="preserve">hodnoty sa prehodnocujú ku dňu, ku ktorému sa zostavuje účtovná závierka, a ak je to potrebné, urobia sa úpravy. </w:t>
      </w:r>
      <w:r/>
    </w:p>
    <w:p>
      <w:pPr>
        <w:pStyle w:val="1256"/>
      </w:pPr>
      <w:r/>
      <w:r/>
    </w:p>
    <w:p>
      <w:pPr>
        <w:pStyle w:val="1256"/>
      </w:pPr>
      <w:r>
        <w:t xml:space="preserve"> </w:t>
      </w:r>
      <w:r/>
    </w:p>
    <w:p>
      <w:pPr>
        <w:pStyle w:val="1256"/>
        <w:rPr>
          <w:szCs w:val="18"/>
        </w:rPr>
      </w:pPr>
      <w:r>
        <w:rPr>
          <w:szCs w:val="18"/>
        </w:rPr>
      </w:r>
      <w:r/>
    </w:p>
    <w:p>
      <w:pPr>
        <w:pStyle w:val="1256"/>
        <w:ind w:left="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pStyle w:val="1265"/>
        <w:ind w:left="426"/>
      </w:pPr>
      <w:r>
        <w:t xml:space="preserve">Pohľadávky</w:t>
      </w:r>
      <w:r/>
    </w:p>
    <w:p>
      <w:pPr>
        <w:pStyle w:val="1256"/>
      </w:pPr>
      <w:r>
        <w:t xml:space="preserve">Pohľadávky pri i</w:t>
      </w:r>
      <w:r>
        <w:t xml:space="preserve">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</w:t>
      </w:r>
      <w:r>
        <w:rPr>
          <w:szCs w:val="18"/>
        </w:rPr>
        <w:t xml:space="preserve">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65"/>
        <w:ind w:left="426"/>
      </w:pPr>
      <w:r>
        <w:t xml:space="preserve">Finančné účty</w:t>
      </w:r>
      <w:r/>
    </w:p>
    <w:p>
      <w:pPr>
        <w:pStyle w:val="1265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Finančné účty tvorí peňažná hotovosť</w:t>
      </w:r>
      <w:r>
        <w:rPr>
          <w:b w:val="0"/>
          <w:szCs w:val="18"/>
        </w:rPr>
        <w:t xml:space="preserve"> a účet v banke</w:t>
      </w:r>
      <w:r>
        <w:rPr>
          <w:b w:val="0"/>
          <w:szCs w:val="18"/>
        </w:rPr>
        <w:t xml:space="preserve"> a oceňujú sa menovitou hodnotou. Zníženie ich hodnoty </w:t>
      </w:r>
      <w:r>
        <w:rPr>
          <w:b w:val="0"/>
          <w:szCs w:val="18"/>
        </w:rPr>
        <w:t xml:space="preserve">sa vyjadruje opravnou položkou.</w:t>
      </w:r>
      <w:r/>
    </w:p>
    <w:p>
      <w:pPr>
        <w:pStyle w:val="1265"/>
        <w:numPr>
          <w:ilvl w:val="0"/>
          <w:numId w:val="0"/>
        </w:numPr>
        <w:ind w:left="360"/>
      </w:pPr>
      <w:r/>
      <w:r/>
    </w:p>
    <w:p>
      <w:pPr>
        <w:pStyle w:val="1265"/>
        <w:numPr>
          <w:ilvl w:val="0"/>
          <w:numId w:val="0"/>
        </w:numPr>
        <w:ind w:left="360"/>
      </w:pPr>
      <w:r/>
      <w:r/>
    </w:p>
    <w:p>
      <w:pPr>
        <w:pStyle w:val="1265"/>
      </w:pPr>
      <w:r>
        <w:t xml:space="preserve">Náklady budúcich období a príjmy budúcich období</w:t>
      </w:r>
      <w:r/>
    </w:p>
    <w:p>
      <w:pPr>
        <w:pStyle w:val="1256"/>
      </w:pPr>
      <w:r>
        <w:t xml:space="preserve">Náklady budúcich období a príjmy budúcich období sa vykazujú vo výške, ktorá je potrebná na dodržanie zásady vecnej a časovej súvislosti s účtovným obdobím.</w:t>
      </w:r>
      <w:r/>
    </w:p>
    <w:p>
      <w:pPr>
        <w:pStyle w:val="1265"/>
        <w:numPr>
          <w:ilvl w:val="0"/>
          <w:numId w:val="0"/>
        </w:numPr>
        <w:ind w:left="426"/>
      </w:pPr>
      <w:r/>
      <w:r/>
    </w:p>
    <w:p>
      <w:pPr>
        <w:pStyle w:val="1265"/>
        <w:numPr>
          <w:ilvl w:val="0"/>
          <w:numId w:val="0"/>
        </w:numPr>
        <w:ind w:left="426"/>
      </w:pPr>
      <w:r/>
      <w:r/>
    </w:p>
    <w:p>
      <w:pPr>
        <w:pStyle w:val="1265"/>
        <w:ind w:left="426"/>
      </w:pPr>
      <w:r>
        <w:t xml:space="preserve">Záväzky</w:t>
      </w:r>
      <w:r/>
    </w:p>
    <w:p>
      <w:pPr>
        <w:pStyle w:val="1256"/>
      </w:pPr>
      <w:r>
        <w:t xml:space="preserve">Záväzky pri ich vz</w:t>
      </w:r>
      <w:r>
        <w:t xml:space="preserve">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/>
    </w:p>
    <w:p>
      <w:pPr>
        <w:pStyle w:val="1256"/>
        <w:ind w:left="0"/>
      </w:pPr>
      <w:r/>
      <w:r/>
    </w:p>
    <w:p>
      <w:pPr>
        <w:pStyle w:val="1256"/>
        <w:ind w:left="0"/>
      </w:pPr>
      <w:r/>
      <w:r/>
    </w:p>
    <w:p>
      <w:pPr>
        <w:pStyle w:val="1265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Rezervy</w:t>
      </w:r>
      <w:r/>
    </w:p>
    <w:p>
      <w:pPr>
        <w:pStyle w:val="1256"/>
      </w:pPr>
      <w:r>
        <w:t xml:space="preserve">Spoločnost</w:t>
      </w:r>
      <w:r>
        <w:t xml:space="preserve"> v roku </w:t>
      </w:r>
      <w:r>
        <w:t xml:space="preserve">202</w:t>
      </w:r>
      <w:r>
        <w:t xml:space="preserve">4 </w:t>
      </w:r>
      <w:r>
        <w:t xml:space="preserve">neučtuje</w:t>
      </w:r>
      <w:r>
        <w:t xml:space="preserve"> o žiadnych rezervách</w:t>
      </w:r>
      <w:r/>
    </w:p>
    <w:p>
      <w:pPr>
        <w:pStyle w:val="1256"/>
      </w:pPr>
      <w:r/>
      <w:r/>
    </w:p>
    <w:p>
      <w:pPr>
        <w:pStyle w:val="1265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Výdavky budúcich období a výnosy budúcich období</w:t>
      </w:r>
      <w:r/>
    </w:p>
    <w:p>
      <w:pPr>
        <w:pStyle w:val="1256"/>
        <w:rPr>
          <w:szCs w:val="18"/>
        </w:rPr>
      </w:pPr>
      <w:r>
        <w:rPr>
          <w:szCs w:val="18"/>
        </w:rPr>
        <w:t xml:space="preserve">Výdavky budúcich období a výnosy budúcich období sa vykazujú vo výške, ktorá je potrebná na dodržanie zásady vecnej a časovej súvislosti s účtovným obdobím.</w:t>
      </w:r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65"/>
        <w:ind w:left="426"/>
      </w:pPr>
      <w:r>
        <w:t xml:space="preserve">Výnosy</w:t>
      </w:r>
      <w:r/>
    </w:p>
    <w:p>
      <w:pPr>
        <w:pStyle w:val="1256"/>
      </w:pPr>
      <w:r>
        <w:t xml:space="preserve"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/>
    </w:p>
    <w:p>
      <w:pPr>
        <w:pStyle w:val="1256"/>
      </w:pPr>
      <w:r/>
      <w:r/>
    </w:p>
    <w:p>
      <w:pPr>
        <w:pStyle w:val="1265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65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služieb sa vykazujú v účtovnom období, v ktorom boli služby poskytnuté.</w:t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>
        <w:rPr>
          <w:b w:val="0"/>
        </w:rPr>
        <w:t xml:space="preserve">rovnomerne v účtovných obdobiach, ktorých sa vecne a časovo týkajú / na základe časového rozlíšenia metódou efektívnej úrokovej miery.</w:t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Výnosy</w:t>
      </w:r>
      <w:r>
        <w:rPr>
          <w:b w:val="0"/>
        </w:rPr>
        <w:t xml:space="preserve"> </w:t>
      </w:r>
      <w:r>
        <w:rPr>
          <w:b w:val="0"/>
        </w:rPr>
        <w:t xml:space="preserve"> z dividend sa zaúčtujú v čase vzniku práva Spoločnosti na prijatie platby. </w:t>
      </w:r>
      <w:r/>
    </w:p>
    <w:p>
      <w:pPr>
        <w:pStyle w:val="1265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</w:r>
      <w:r/>
    </w:p>
    <w:p>
      <w:pPr>
        <w:pStyle w:val="1265"/>
        <w:numPr>
          <w:ilvl w:val="0"/>
          <w:numId w:val="0"/>
        </w:numPr>
        <w:ind w:left="360" w:hanging="360"/>
        <w:rPr>
          <w:b w:val="0"/>
        </w:rPr>
      </w:pPr>
      <w:r>
        <w:rPr>
          <w:b w:val="0"/>
        </w:rPr>
      </w:r>
      <w:r/>
    </w:p>
    <w:p>
      <w:pPr>
        <w:pStyle w:val="1265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Porovnateľné údaje</w:t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/>
    </w:p>
    <w:p>
      <w:pPr>
        <w:pStyle w:val="1265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</w:r>
      <w:r/>
    </w:p>
    <w:p>
      <w:pPr>
        <w:pStyle w:val="1265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</w:r>
      <w:r/>
    </w:p>
    <w:p>
      <w:pPr>
        <w:pStyle w:val="1265"/>
        <w:ind w:left="426" w:hanging="426"/>
        <w:tabs>
          <w:tab w:val="clear" w:pos="360" w:leader="none"/>
        </w:tabs>
        <w:rPr>
          <w:szCs w:val="18"/>
        </w:rPr>
      </w:pPr>
      <w:r>
        <w:rPr>
          <w:szCs w:val="18"/>
        </w:rPr>
        <w:t xml:space="preserve">Oprava chýb minulých období</w:t>
      </w:r>
      <w:r/>
    </w:p>
    <w:p>
      <w:pPr>
        <w:pStyle w:val="1256"/>
        <w:rPr>
          <w:szCs w:val="18"/>
        </w:rPr>
      </w:pPr>
      <w:r/>
      <w:bookmarkStart w:id="3" w:name="_Toc530739900"/>
      <w:r>
        <w:rPr>
          <w:szCs w:val="18"/>
        </w:rPr>
        <w:t xml:space="preserve">Ak Spoločnosť zistí v bežnom účtovnom období významnú chybu týkajúcu sa minulých účtovných období, opraví túto chybu na účtoch 428 - Nerozdelený zisk minulých rokov a</w:t>
      </w:r>
      <w:r>
        <w:rPr>
          <w:szCs w:val="18"/>
        </w:rPr>
        <w:t xml:space="preserve"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 xml:space="preserve"> </w:t>
      </w:r>
      <w:r>
        <w:rPr>
          <w:szCs w:val="18"/>
        </w:rPr>
        <w:t xml:space="preserve">bežnom účtovnom období na príslušný nákladový alebo výnosový účet. </w:t>
      </w:r>
      <w:r/>
    </w:p>
    <w:p>
      <w:r/>
      <w:r/>
    </w:p>
    <w:p>
      <w:r/>
      <w:bookmarkEnd w:id="3"/>
      <w:r/>
    </w:p>
    <w:p>
      <w:pPr>
        <w:pStyle w:val="1241"/>
        <w:tabs>
          <w:tab w:val="num" w:pos="2062" w:leader="none"/>
        </w:tabs>
      </w:pPr>
      <w:r>
        <w:t xml:space="preserve">informáciE K POLOŽKÁM súvahy a VÝKAZU ZISKOV A STRÁT</w:t>
      </w:r>
      <w:r/>
    </w:p>
    <w:p>
      <w:pPr>
        <w:pStyle w:val="1256"/>
        <w:ind w:left="315"/>
      </w:pPr>
      <w:r/>
      <w:r/>
    </w:p>
    <w:p>
      <w:pPr>
        <w:pStyle w:val="1256"/>
        <w:ind w:left="0"/>
      </w:pPr>
      <w:r/>
      <w:bookmarkStart w:id="4" w:name="_Toc530739908"/>
      <w:r/>
      <w:r/>
    </w:p>
    <w:p>
      <w:pPr>
        <w:pStyle w:val="1242"/>
        <w:numPr>
          <w:ilvl w:val="0"/>
          <w:numId w:val="7"/>
        </w:numPr>
        <w:ind w:left="426" w:hanging="426"/>
      </w:pPr>
      <w:r/>
      <w:bookmarkStart w:id="5" w:name="_Toc530739909"/>
      <w:r/>
      <w:bookmarkEnd w:id="4"/>
      <w:r>
        <w:t xml:space="preserve">Záväzky</w:t>
      </w:r>
      <w:bookmarkEnd w:id="5"/>
      <w:r/>
      <w:r/>
    </w:p>
    <w:p>
      <w:pPr>
        <w:pStyle w:val="1256"/>
      </w:pPr>
      <w:r/>
      <w:r/>
    </w:p>
    <w:p>
      <w:pPr>
        <w:pStyle w:val="1256"/>
        <w:rPr>
          <w:szCs w:val="18"/>
          <w:highlight w:val="none"/>
        </w:rPr>
      </w:pPr>
      <w:r>
        <w:rPr>
          <w:szCs w:val="18"/>
        </w:rPr>
        <w:t xml:space="preserve">Štruktúra záväzkov (okrem </w:t>
      </w:r>
      <w:r>
        <w:rPr>
          <w:szCs w:val="18"/>
        </w:rPr>
        <w:t xml:space="preserve">záväzkov zo sociálneho fondu a odloženého daňového záväzku</w:t>
      </w:r>
      <w:r>
        <w:rPr>
          <w:szCs w:val="18"/>
        </w:rPr>
        <w:t xml:space="preserve">) podľa zostatkovej doby splatnosti je uvedená v nasledujúcom prehľade:</w:t>
      </w:r>
      <w:r/>
    </w:p>
    <w:p>
      <w:pPr>
        <w:pStyle w:val="1256"/>
      </w:pPr>
      <w:r>
        <w:t xml:space="preserve">  </w:t>
      </w:r>
      <w:r/>
    </w:p>
    <w:p>
      <w:pPr>
        <w:pStyle w:val="1256"/>
        <w:rPr>
          <w:szCs w:val="18"/>
          <w:highlight w:val="none"/>
        </w:rPr>
      </w:pPr>
      <w:r>
        <w:rPr>
          <w:szCs w:val="18"/>
          <w:highlight w:val="none"/>
        </w:rPr>
        <w:t xml:space="preserve">                                                                                        31.12.2024                               31.12.2023</w:t>
      </w:r>
      <w:r>
        <w:rPr>
          <w:szCs w:val="18"/>
          <w:highlight w:val="none"/>
        </w:rPr>
      </w:r>
    </w:p>
    <w:p>
      <w:pPr>
        <w:pStyle w:val="1256"/>
      </w:pPr>
      <w:r>
        <w:rPr>
          <w:szCs w:val="18"/>
          <w:highlight w:val="none"/>
        </w:rPr>
        <w:t xml:space="preserve"> </w:t>
      </w:r>
      <w:r>
        <w:rPr>
          <w:szCs w:val="18"/>
          <w:highlight w:val="none"/>
        </w:rPr>
      </w:r>
    </w:p>
    <w:p>
      <w:pPr>
        <w:pStyle w:val="1256"/>
        <w:rPr>
          <w:szCs w:val="18"/>
          <w:highlight w:val="none"/>
        </w:rPr>
      </w:pPr>
      <w:r/>
      <w:r>
        <w:rPr>
          <w:szCs w:val="18"/>
        </w:rPr>
        <w:t xml:space="preserve">Záväzky po splatnosti                                                             0                                                    0</w:t>
      </w:r>
      <w:r/>
    </w:p>
    <w:p>
      <w:pPr>
        <w:pStyle w:val="1256"/>
        <w:rPr>
          <w:szCs w:val="18"/>
          <w:highlight w:val="none"/>
        </w:rPr>
      </w:pPr>
      <w:r>
        <w:rPr>
          <w:szCs w:val="18"/>
          <w:highlight w:val="none"/>
        </w:rPr>
        <w:t xml:space="preserve">Záväzky do 1 roka                                                         19 939                                             2 887</w:t>
      </w:r>
      <w:r>
        <w:rPr>
          <w:szCs w:val="18"/>
          <w:highlight w:val="none"/>
        </w:rPr>
      </w:r>
    </w:p>
    <w:p>
      <w:pPr>
        <w:pStyle w:val="1256"/>
      </w:pPr>
      <w:r>
        <w:rPr>
          <w:szCs w:val="18"/>
          <w:highlight w:val="none"/>
        </w:rPr>
        <w:t xml:space="preserve">Záväzky 1 až 5 rokov                                                             0                                             4 167</w:t>
      </w:r>
      <w:r>
        <w:rPr>
          <w:szCs w:val="18"/>
          <w:highlight w:val="none"/>
        </w:rPr>
      </w:r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41"/>
        <w:numPr>
          <w:ilvl w:val="0"/>
          <w:numId w:val="5"/>
        </w:numPr>
        <w:spacing w:before="120" w:after="60"/>
      </w:pPr>
      <w:r/>
      <w:bookmarkStart w:id="7" w:name="_Toc530739924"/>
      <w:r>
        <w:t xml:space="preserve">Informácie o INÝCH AKTÍVACH A PASÍVACH</w:t>
      </w:r>
      <w:r/>
    </w:p>
    <w:p>
      <w:pPr>
        <w:ind w:left="360"/>
      </w:pPr>
      <w:r/>
      <w:r/>
    </w:p>
    <w:p>
      <w:pPr>
        <w:pStyle w:val="1263"/>
        <w:numPr>
          <w:ilvl w:val="0"/>
          <w:numId w:val="8"/>
        </w:numPr>
        <w:ind w:left="709" w:hanging="283"/>
        <w:rPr>
          <w:b/>
          <w:sz w:val="18"/>
        </w:rPr>
      </w:pPr>
      <w:r>
        <w:rPr>
          <w:b/>
          <w:sz w:val="18"/>
        </w:rPr>
        <w:t xml:space="preserve">Podmienen</w:t>
      </w:r>
      <w:r>
        <w:rPr>
          <w:b/>
          <w:sz w:val="18"/>
        </w:rPr>
        <w:t xml:space="preserve">ý</w:t>
      </w:r>
      <w:r>
        <w:rPr>
          <w:b/>
          <w:sz w:val="18"/>
        </w:rPr>
        <w:t xml:space="preserve"> </w:t>
      </w:r>
      <w:r>
        <w:rPr>
          <w:b/>
          <w:sz w:val="18"/>
        </w:rPr>
        <w:t xml:space="preserve">majetok0</w:t>
      </w:r>
      <w:r/>
    </w:p>
    <w:p>
      <w:pPr>
        <w:rPr>
          <w:b/>
          <w:sz w:val="18"/>
        </w:rPr>
      </w:pPr>
      <w:r>
        <w:rPr>
          <w:b/>
          <w:sz w:val="18"/>
        </w:rPr>
      </w:r>
      <w:r/>
    </w:p>
    <w:p>
      <w:pPr>
        <w:ind w:left="360"/>
      </w:pPr>
      <w:r>
        <w:t xml:space="preserve">Spoločnosť nemá obsahovú náplň</w:t>
      </w:r>
      <w:r>
        <w:t xml:space="preserve">.</w:t>
      </w:r>
      <w:r/>
    </w:p>
    <w:p>
      <w:pPr>
        <w:ind w:left="360"/>
      </w:pPr>
      <w:r/>
      <w:r/>
    </w:p>
    <w:p>
      <w:pPr>
        <w:pStyle w:val="1263"/>
        <w:numPr>
          <w:ilvl w:val="0"/>
          <w:numId w:val="8"/>
        </w:numPr>
        <w:ind w:left="709" w:hanging="283"/>
        <w:rPr>
          <w:b/>
          <w:sz w:val="18"/>
        </w:rPr>
      </w:pPr>
      <w:r>
        <w:rPr>
          <w:b/>
          <w:sz w:val="18"/>
        </w:rPr>
        <w:t xml:space="preserve">Podmienené záväzky</w:t>
      </w:r>
      <w:r/>
    </w:p>
    <w:p>
      <w:pPr>
        <w:rPr>
          <w:b/>
          <w:sz w:val="18"/>
        </w:rPr>
      </w:pPr>
      <w:r>
        <w:rPr>
          <w:b/>
          <w:sz w:val="18"/>
        </w:rPr>
      </w:r>
      <w:bookmarkEnd w:id="7"/>
      <w:r/>
    </w:p>
    <w:p>
      <w:pPr>
        <w:pStyle w:val="1256"/>
        <w:rPr>
          <w:szCs w:val="18"/>
        </w:rPr>
      </w:pPr>
      <w:r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</w:t>
      </w:r>
      <w:r>
        <w:rPr>
          <w:szCs w:val="18"/>
        </w:rPr>
        <w:t xml:space="preserve">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  <w:r/>
    </w:p>
    <w:p>
      <w:pPr>
        <w:pStyle w:val="1256"/>
      </w:pPr>
      <w:r/>
      <w:r/>
    </w:p>
    <w:p>
      <w:r/>
      <w:r/>
    </w:p>
    <w:p>
      <w:pPr>
        <w:pStyle w:val="1263"/>
        <w:numPr>
          <w:ilvl w:val="0"/>
          <w:numId w:val="8"/>
        </w:numPr>
        <w:ind w:left="709" w:hanging="283"/>
        <w:rPr>
          <w:b/>
        </w:rPr>
      </w:pPr>
      <w:r>
        <w:rPr>
          <w:b/>
        </w:rPr>
        <w:t xml:space="preserve">Ostatné finančné povinnosti</w:t>
      </w:r>
      <w:r/>
    </w:p>
    <w:p>
      <w:pPr>
        <w:pStyle w:val="1256"/>
        <w:rPr>
          <w:szCs w:val="18"/>
        </w:rPr>
      </w:pPr>
      <w:r>
        <w:rPr>
          <w:szCs w:val="18"/>
        </w:rPr>
      </w:r>
      <w:r/>
    </w:p>
    <w:p>
      <w:pPr>
        <w:pStyle w:val="1256"/>
      </w:pPr>
      <w:r>
        <w:t xml:space="preserve">Spoločnoť</w:t>
      </w:r>
      <w:r>
        <w:t xml:space="preserve"> nemá pre ostatné finančné povinnosti obsahovú náplň</w:t>
      </w:r>
      <w:r/>
    </w:p>
    <w:p>
      <w:pPr>
        <w:pStyle w:val="1256"/>
      </w:pPr>
      <w:r/>
      <w:r/>
    </w:p>
    <w:p>
      <w:pPr>
        <w:pStyle w:val="1242"/>
        <w:numPr>
          <w:ilvl w:val="0"/>
          <w:numId w:val="8"/>
        </w:numPr>
        <w:ind w:left="709" w:hanging="283"/>
        <w:rPr>
          <w:szCs w:val="18"/>
        </w:rPr>
      </w:pPr>
      <w:r>
        <w:rPr>
          <w:szCs w:val="18"/>
        </w:rPr>
        <w:t xml:space="preserve">Prenajatý majetok</w:t>
      </w:r>
      <w:r/>
    </w:p>
    <w:p>
      <w:pPr>
        <w:pStyle w:val="1256"/>
        <w:rPr>
          <w:szCs w:val="18"/>
        </w:rPr>
      </w:pPr>
      <w:r>
        <w:rPr>
          <w:szCs w:val="18"/>
        </w:rPr>
      </w:r>
      <w:r/>
    </w:p>
    <w:p>
      <w:pPr>
        <w:pStyle w:val="1256"/>
        <w:rPr>
          <w:szCs w:val="18"/>
        </w:rPr>
      </w:pPr>
      <w:r>
        <w:rPr>
          <w:szCs w:val="18"/>
        </w:rPr>
        <w:t xml:space="preserve">Spoločnosť </w:t>
      </w:r>
      <w:r>
        <w:rPr>
          <w:szCs w:val="18"/>
        </w:rPr>
        <w:t xml:space="preserve">ne</w:t>
      </w:r>
      <w:r>
        <w:rPr>
          <w:szCs w:val="18"/>
        </w:rPr>
        <w:t xml:space="preserve">prenajíma </w:t>
      </w:r>
      <w:r>
        <w:rPr>
          <w:szCs w:val="18"/>
        </w:rPr>
        <w:t xml:space="preserve">žiadny</w:t>
      </w:r>
      <w:r>
        <w:rPr>
          <w:szCs w:val="18"/>
        </w:rPr>
        <w:t xml:space="preserve"> dlhodobý hmotný majetok. </w:t>
      </w:r>
      <w:r/>
    </w:p>
    <w:p>
      <w:pPr>
        <w:pStyle w:val="1256"/>
      </w:pPr>
      <w:r/>
      <w:r/>
    </w:p>
    <w:p>
      <w:pPr>
        <w:pStyle w:val="1256"/>
        <w:rPr>
          <w:szCs w:val="18"/>
        </w:rPr>
      </w:pPr>
      <w:r>
        <w:rPr>
          <w:szCs w:val="18"/>
        </w:rPr>
      </w:r>
      <w:r/>
    </w:p>
    <w:p>
      <w:pPr>
        <w:pStyle w:val="1256"/>
      </w:pPr>
      <w:r/>
      <w:r/>
    </w:p>
    <w:p>
      <w:pPr>
        <w:pStyle w:val="1241"/>
        <w:numPr>
          <w:ilvl w:val="0"/>
          <w:numId w:val="5"/>
        </w:numPr>
        <w:spacing w:before="120" w:after="60"/>
      </w:pPr>
      <w:r/>
      <w:bookmarkStart w:id="8" w:name="_Toc530739925"/>
      <w:r>
        <w:t xml:space="preserve">Informácie o skutočnostiach, ktoré nastali po dni, ku ktorému sa zostavuje účtovná závierka, do dňa zostavenia účtovnej závierky</w:t>
      </w:r>
      <w:bookmarkEnd w:id="8"/>
      <w:r/>
      <w:r/>
    </w:p>
    <w:p>
      <w:pPr>
        <w:pStyle w:val="1241"/>
        <w:numPr>
          <w:ilvl w:val="0"/>
          <w:numId w:val="0"/>
        </w:numPr>
        <w:ind w:left="360"/>
        <w:spacing w:before="120" w:after="60"/>
      </w:pPr>
      <w:r/>
      <w:r/>
    </w:p>
    <w:p>
      <w:pPr>
        <w:pStyle w:val="1256"/>
      </w:pPr>
      <w:r/>
      <w:bookmarkStart w:id="9" w:name="OLE_LINK1"/>
      <w:r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</w:t>
      </w:r>
      <w:r>
        <w:t xml:space="preserve">s</w:t>
      </w:r>
      <w:r>
        <w:t xml:space="preserve">poločnosti za obdobie od 1. januára </w:t>
      </w:r>
      <w:r>
        <w:t xml:space="preserve">20</w:t>
      </w:r>
      <w:r>
        <w:t xml:space="preserve">24</w:t>
      </w:r>
      <w:r>
        <w:t xml:space="preserve"> </w:t>
      </w:r>
      <w:r>
        <w:t xml:space="preserve">do 31. decembra 20</w:t>
      </w:r>
      <w:r>
        <w:t xml:space="preserve">24</w:t>
      </w:r>
      <w:r/>
    </w:p>
    <w:p>
      <w:pPr>
        <w:pStyle w:val="1256"/>
        <w:ind w:left="0"/>
      </w:pPr>
      <w:r/>
      <w:r/>
    </w:p>
    <w:p>
      <w:pPr>
        <w:pStyle w:val="1256"/>
        <w:ind w:left="0"/>
      </w:pPr>
      <w:r/>
      <w:r/>
    </w:p>
    <w:p>
      <w:pPr>
        <w:pStyle w:val="1256"/>
        <w:ind w:left="0"/>
      </w:pPr>
      <w:r/>
      <w:r/>
    </w:p>
    <w:p>
      <w:pPr>
        <w:pStyle w:val="1256"/>
        <w:ind w:left="142"/>
        <w:tabs>
          <w:tab w:val="left" w:pos="142" w:leader="none"/>
        </w:tabs>
      </w:pPr>
      <w:r/>
      <w:r/>
    </w:p>
    <w:p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</w:r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</w:pPr>
      <w:r/>
      <w:r/>
    </w:p>
    <w:p>
      <w:pPr>
        <w:pStyle w:val="1256"/>
        <w:ind w:left="0"/>
      </w:pPr>
      <w:r/>
      <w:r/>
    </w:p>
    <w:p>
      <w:pPr>
        <w:pStyle w:val="1256"/>
      </w:pPr>
      <w:r/>
      <w:r/>
    </w:p>
    <w:p>
      <w:pPr>
        <w:ind w:left="426"/>
        <w:jc w:val="both"/>
        <w:rPr>
          <w:szCs w:val="18"/>
        </w:rPr>
      </w:pPr>
      <w:r>
        <w:rPr>
          <w:szCs w:val="18"/>
        </w:rPr>
      </w:r>
      <w:r/>
    </w:p>
    <w:p>
      <w:r>
        <w:t xml:space="preserve">   </w:t>
      </w:r>
      <w:r/>
    </w:p>
    <w:p>
      <w:pPr>
        <w:pStyle w:val="1256"/>
        <w:ind w:left="0"/>
        <w:rPr>
          <w:szCs w:val="18"/>
        </w:rPr>
      </w:pPr>
      <w:r>
        <w:rPr>
          <w:szCs w:val="18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993" w:right="1133" w:bottom="1134" w:left="1276" w:header="675" w:footer="408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Univers 45 Light">
    <w:panose1 w:val="02000603000000000000"/>
  </w:font>
  <w:font w:name="Times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06784411"/>
      <w:docPartObj>
        <w:docPartGallery w:val="Page Numbers (Bottom of Page)"/>
        <w:docPartUnique w:val="true"/>
      </w:docPartObj>
      <w:rPr/>
    </w:sdtPr>
    <w:sdtContent>
      <w:p>
        <w:pPr>
          <w:pStyle w:val="125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125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5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03808122"/>
      <w:docPartObj>
        <w:docPartGallery w:val="Page Numbers (Bottom of Page)"/>
        <w:docPartUnique w:val="true"/>
      </w:docPartObj>
      <w:rPr/>
    </w:sdtPr>
    <w:sdtContent>
      <w:p>
        <w:pPr>
          <w:pStyle w:val="1250"/>
          <w:jc w:val="center"/>
        </w:pPr>
        <w:r>
          <w:t xml:space="preserve">1</w:t>
        </w:r>
        <w:r/>
      </w:p>
    </w:sdtContent>
  </w:sdt>
  <w:p>
    <w:pPr>
      <w:pStyle w:val="1250"/>
      <w:tabs>
        <w:tab w:val="clear" w:pos="9072" w:leader="none"/>
        <w:tab w:val="right" w:pos="9214" w:leader="none"/>
      </w:tabs>
      <w:rPr>
        <w:sz w:val="16"/>
        <w:szCs w:val="16"/>
      </w:rPr>
    </w:pPr>
    <w:r>
      <w:rPr>
        <w:sz w:val="16"/>
        <w:szCs w:val="16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97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35" w:type="dxa"/>
          <w:vAlign w:val="center"/>
          <w:textDirection w:val="lrTb"/>
          <w:noWrap w:val="false"/>
        </w:tcPr>
        <w:p>
          <w:pPr>
            <w:pStyle w:val="1248"/>
            <w:ind w:firstLine="2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BELT </w:t>
          </w:r>
          <w:r>
            <w:rPr>
              <w:sz w:val="18"/>
              <w:szCs w:val="18"/>
            </w:rPr>
            <w:t xml:space="preserve">spol</w:t>
          </w:r>
          <w:r>
            <w:rPr>
              <w:sz w:val="18"/>
              <w:szCs w:val="18"/>
            </w:rPr>
            <w:t xml:space="preserve"> s.r.o.</w:t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317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IČO</w: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7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6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9</w:t>
          </w:r>
          <w:r/>
        </w:p>
      </w:tc>
    </w:tr>
    <w:tr>
      <w:trPr>
        <w:trHeight w:val="174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35" w:type="dxa"/>
          <w:vAlign w:val="center"/>
          <w:textDirection w:val="lrTb"/>
          <w:noWrap w:val="false"/>
        </w:tcPr>
        <w:p>
          <w:pPr>
            <w:pStyle w:val="1248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4317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>
            <w:rPr>
              <w:sz w:val="18"/>
              <w:szCs w:val="18"/>
            </w:rPr>
            <w:t xml:space="preserve">DIČ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8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5</w:t>
          </w:r>
          <w:r/>
        </w:p>
      </w:tc>
    </w:tr>
  </w:tbl>
  <w:p>
    <w:pPr>
      <w:pStyle w:val="1248"/>
    </w:pPr>
    <w:r/>
    <w:r/>
  </w:p>
  <w:p>
    <w:pPr>
      <w:pStyle w:val="1248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24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0337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3119" w:type="dxa"/>
          <w:vAlign w:val="center"/>
          <w:textDirection w:val="lrTb"/>
          <w:noWrap w:val="false"/>
        </w:tcPr>
        <w:p>
          <w:pPr>
            <w:pStyle w:val="1248"/>
            <w:ind w:right="-418" w:firstLine="2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</w:t>
          </w:r>
          <w:r>
            <w:rPr>
              <w:sz w:val="18"/>
              <w:szCs w:val="18"/>
            </w:rPr>
            <w:t xml:space="preserve">: BELT </w:t>
          </w:r>
          <w:r>
            <w:rPr>
              <w:sz w:val="18"/>
              <w:szCs w:val="18"/>
            </w:rPr>
            <w:t xml:space="preserve">spol.</w:t>
          </w:r>
          <w:r>
            <w:rPr>
              <w:sz w:val="18"/>
              <w:szCs w:val="18"/>
            </w:rPr>
            <w:t xml:space="preserve"> s.r.o.</w:t>
          </w:r>
          <w:r/>
        </w:p>
      </w:tc>
      <w:tc>
        <w:tcPr>
          <w:shd w:val="clear" w:color="auto" w:fill="auto"/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4394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>
            <w:rPr>
              <w:sz w:val="18"/>
              <w:szCs w:val="18"/>
            </w:rPr>
            <w:t xml:space="preserve">IČO</w: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7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6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9</w:t>
          </w:r>
          <w:r/>
        </w:p>
      </w:tc>
    </w:tr>
    <w:tr>
      <w:trPr>
        <w:trHeight w:val="174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3119" w:type="dxa"/>
          <w:vAlign w:val="center"/>
          <w:textDirection w:val="lrTb"/>
          <w:noWrap w:val="false"/>
        </w:tcPr>
        <w:p>
          <w:pPr>
            <w:pStyle w:val="1248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single" w:color="auto" w:sz="4" w:space="0"/>
          </w:tcBorders>
          <w:tcW w:w="4394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>
            <w:rPr>
              <w:sz w:val="18"/>
              <w:szCs w:val="18"/>
            </w:rPr>
            <w:t xml:space="preserve">DIČ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1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gridSpan w:val="2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8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0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0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3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2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8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1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3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4</w:t>
          </w:r>
          <w:r/>
        </w:p>
      </w:tc>
      <w:tc>
        <w:tcPr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tcW w:w="282" w:type="dxa"/>
          <w:vAlign w:val="center"/>
          <w:textDirection w:val="lrTb"/>
          <w:noWrap w:val="false"/>
        </w:tcPr>
        <w:p>
          <w:pPr>
            <w:pStyle w:val="1248"/>
            <w:jc w:val="center"/>
            <w:spacing w:line="276" w:lineRule="auto"/>
            <w:tabs>
              <w:tab w:val="center" w:pos="4253" w:leader="none"/>
              <w:tab w:val="clear" w:pos="4536" w:leader="none"/>
              <w:tab w:val="right" w:pos="9213" w:leader="none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5</w:t>
          </w:r>
          <w:r/>
        </w:p>
      </w:tc>
    </w:tr>
  </w:tbl>
  <w:p>
    <w:pPr>
      <w:pStyle w:val="1248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  <w:p>
    <w:pPr>
      <w:pStyle w:val="1248"/>
      <w:jc w:val="right"/>
      <w:tabs>
        <w:tab w:val="center" w:pos="4820" w:leader="none"/>
        <w:tab w:val="right" w:pos="9214" w:leader="none"/>
      </w:tabs>
      <w:rPr>
        <w:sz w:val="18"/>
      </w:rPr>
    </w:pPr>
    <w:r>
      <w:rPr>
        <w:sz w:val="18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13" w:hanging="360"/>
        <w:tabs>
          <w:tab w:val="num" w:pos="171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433" w:hanging="360"/>
        <w:tabs>
          <w:tab w:val="num" w:pos="2433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153" w:hanging="360"/>
        <w:tabs>
          <w:tab w:val="num" w:pos="3153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873" w:hanging="360"/>
        <w:tabs>
          <w:tab w:val="num" w:pos="3873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593" w:hanging="360"/>
        <w:tabs>
          <w:tab w:val="num" w:pos="4593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313" w:hanging="360"/>
        <w:tabs>
          <w:tab w:val="num" w:pos="5313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033" w:hanging="360"/>
        <w:tabs>
          <w:tab w:val="num" w:pos="6033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753" w:hanging="360"/>
        <w:tabs>
          <w:tab w:val="num" w:pos="6753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473" w:hanging="360"/>
        <w:tabs>
          <w:tab w:val="num" w:pos="7473" w:leader="none"/>
        </w:tabs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86" w:hanging="360"/>
      </w:pPr>
      <w:rPr>
        <w:rFonts w:ascii="Times New Roman" w:hAnsi="Times New Roman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40" w:hanging="340"/>
        <w:tabs>
          <w:tab w:val="num" w:pos="340" w:leader="none"/>
        </w:tabs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false"/>
        <w:vanish w:val="false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902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upperLetter"/>
      <w:pStyle w:val="1241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lowerLetter"/>
      <w:pStyle w:val="1265"/>
      <w:isLgl w:val="false"/>
      <w:suff w:val="tab"/>
      <w:lvlText w:val="(%1)"/>
      <w:lvlJc w:val="left"/>
      <w:pPr>
        <w:ind w:left="360" w:hanging="360"/>
        <w:tabs>
          <w:tab w:val="num" w:pos="360" w:leader="none"/>
        </w:tabs>
      </w:pPr>
      <w:rPr>
        <w:rFonts w:cs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sk-SK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1245"/>
    <w:link w:val="124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1245"/>
    <w:link w:val="1242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240"/>
    <w:next w:val="124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124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240"/>
    <w:next w:val="124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124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240"/>
    <w:next w:val="124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1245"/>
    <w:link w:val="19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1245"/>
    <w:link w:val="1243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240"/>
    <w:next w:val="124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124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240"/>
    <w:next w:val="124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1245"/>
    <w:link w:val="25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1245"/>
    <w:link w:val="1244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1240"/>
    <w:next w:val="124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1245"/>
    <w:link w:val="32"/>
    <w:uiPriority w:val="10"/>
    <w:rPr>
      <w:sz w:val="48"/>
      <w:szCs w:val="48"/>
    </w:rPr>
  </w:style>
  <w:style w:type="paragraph" w:styleId="34">
    <w:name w:val="Subtitle"/>
    <w:basedOn w:val="1240"/>
    <w:next w:val="124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1245"/>
    <w:link w:val="34"/>
    <w:uiPriority w:val="11"/>
    <w:rPr>
      <w:sz w:val="24"/>
      <w:szCs w:val="24"/>
    </w:rPr>
  </w:style>
  <w:style w:type="paragraph" w:styleId="36">
    <w:name w:val="Quote"/>
    <w:basedOn w:val="1240"/>
    <w:next w:val="124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240"/>
    <w:next w:val="124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1245"/>
    <w:link w:val="1248"/>
    <w:uiPriority w:val="99"/>
  </w:style>
  <w:style w:type="character" w:styleId="43">
    <w:name w:val="Footer Char"/>
    <w:basedOn w:val="1245"/>
    <w:link w:val="1250"/>
    <w:uiPriority w:val="99"/>
  </w:style>
  <w:style w:type="paragraph" w:styleId="44">
    <w:name w:val="Caption"/>
    <w:basedOn w:val="1240"/>
    <w:next w:val="12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1250"/>
    <w:uiPriority w:val="99"/>
  </w:style>
  <w:style w:type="table" w:styleId="47">
    <w:name w:val="Table Grid Light"/>
    <w:basedOn w:val="12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12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12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12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12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12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1240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paragraph" w:styleId="176">
    <w:name w:val="endnote text"/>
    <w:basedOn w:val="124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1245"/>
    <w:uiPriority w:val="99"/>
    <w:semiHidden/>
    <w:unhideWhenUsed/>
    <w:rPr>
      <w:vertAlign w:val="superscript"/>
    </w:rPr>
  </w:style>
  <w:style w:type="paragraph" w:styleId="179">
    <w:name w:val="toc 1"/>
    <w:basedOn w:val="1240"/>
    <w:next w:val="124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1240"/>
    <w:next w:val="124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1240"/>
    <w:next w:val="124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1240"/>
    <w:next w:val="124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1240"/>
    <w:next w:val="124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1240"/>
    <w:next w:val="124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1240"/>
    <w:next w:val="124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1240"/>
    <w:next w:val="124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1240"/>
    <w:next w:val="124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1240"/>
    <w:next w:val="1240"/>
    <w:uiPriority w:val="99"/>
    <w:unhideWhenUsed/>
    <w:pPr>
      <w:spacing w:after="0" w:afterAutospacing="0"/>
    </w:pPr>
  </w:style>
  <w:style w:type="paragraph" w:styleId="1240" w:default="1">
    <w:name w:val="Normal"/>
    <w:qFormat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</w:rPr>
  </w:style>
  <w:style w:type="paragraph" w:styleId="1241">
    <w:name w:val="Heading 1"/>
    <w:basedOn w:val="1240"/>
    <w:next w:val="1240"/>
    <w:link w:val="1253"/>
    <w:qFormat/>
    <w:pPr>
      <w:numPr>
        <w:numId w:val="1"/>
      </w:numPr>
      <w:keepNext/>
      <w:outlineLvl w:val="0"/>
    </w:pPr>
    <w:rPr>
      <w:b/>
      <w:caps/>
      <w:sz w:val="18"/>
    </w:rPr>
  </w:style>
  <w:style w:type="paragraph" w:styleId="1242">
    <w:name w:val="Heading 2"/>
    <w:basedOn w:val="1240"/>
    <w:next w:val="1240"/>
    <w:link w:val="1254"/>
    <w:qFormat/>
    <w:pPr>
      <w:keepNext/>
      <w:outlineLvl w:val="1"/>
    </w:pPr>
    <w:rPr>
      <w:b/>
      <w:sz w:val="18"/>
    </w:rPr>
  </w:style>
  <w:style w:type="paragraph" w:styleId="1243">
    <w:name w:val="Heading 6"/>
    <w:basedOn w:val="1240"/>
    <w:next w:val="1240"/>
    <w:link w:val="1255"/>
    <w:qFormat/>
    <w:pPr>
      <w:keepNext/>
      <w:outlineLvl w:val="5"/>
    </w:pPr>
    <w:rPr>
      <w:b/>
      <w:caps/>
      <w:sz w:val="32"/>
    </w:rPr>
  </w:style>
  <w:style w:type="paragraph" w:styleId="1244">
    <w:name w:val="Heading 9"/>
    <w:basedOn w:val="1240"/>
    <w:next w:val="1240"/>
    <w:link w:val="1266"/>
    <w:uiPriority w:val="9"/>
    <w:semiHidden/>
    <w:unhideWhenUsed/>
    <w:qFormat/>
    <w:pPr>
      <w:keepLines/>
      <w:keepNext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1245" w:default="1">
    <w:name w:val="Default Paragraph Font"/>
    <w:uiPriority w:val="1"/>
    <w:semiHidden/>
    <w:unhideWhenUsed/>
  </w:style>
  <w:style w:type="table" w:styleId="12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47" w:default="1">
    <w:name w:val="No List"/>
    <w:uiPriority w:val="99"/>
    <w:semiHidden/>
    <w:unhideWhenUsed/>
  </w:style>
  <w:style w:type="paragraph" w:styleId="1248">
    <w:name w:val="Header"/>
    <w:basedOn w:val="1240"/>
    <w:link w:val="1249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1249" w:customStyle="1">
    <w:name w:val="Hlavička Char"/>
    <w:basedOn w:val="1245"/>
    <w:link w:val="1248"/>
    <w:uiPriority w:val="99"/>
  </w:style>
  <w:style w:type="paragraph" w:styleId="1250">
    <w:name w:val="Footer"/>
    <w:basedOn w:val="1240"/>
    <w:link w:val="1251"/>
    <w:uiPriority w:val="99"/>
    <w:unhideWhenUsed/>
    <w:pPr>
      <w:tabs>
        <w:tab w:val="center" w:pos="4536" w:leader="none"/>
        <w:tab w:val="right" w:pos="9072" w:leader="none"/>
      </w:tabs>
    </w:pPr>
  </w:style>
  <w:style w:type="character" w:styleId="1251" w:customStyle="1">
    <w:name w:val="Päta Char"/>
    <w:basedOn w:val="1245"/>
    <w:link w:val="1250"/>
    <w:uiPriority w:val="99"/>
  </w:style>
  <w:style w:type="character" w:styleId="1252">
    <w:name w:val="page number"/>
    <w:basedOn w:val="1245"/>
    <w:rPr>
      <w:rFonts w:cs="Times New Roman"/>
    </w:rPr>
  </w:style>
  <w:style w:type="character" w:styleId="1253" w:customStyle="1">
    <w:name w:val="Nadpis 1 Char"/>
    <w:basedOn w:val="1245"/>
    <w:link w:val="1241"/>
    <w:rPr>
      <w:rFonts w:ascii="Times New Roman" w:hAnsi="Times New Roman" w:cs="Times New Roman" w:eastAsia="Times New Roman"/>
      <w:b/>
      <w:caps/>
      <w:sz w:val="18"/>
      <w:szCs w:val="20"/>
    </w:rPr>
  </w:style>
  <w:style w:type="character" w:styleId="1254" w:customStyle="1">
    <w:name w:val="Nadpis 2 Char"/>
    <w:basedOn w:val="1245"/>
    <w:link w:val="1242"/>
    <w:rPr>
      <w:rFonts w:ascii="Times New Roman" w:hAnsi="Times New Roman" w:cs="Times New Roman" w:eastAsia="Times New Roman"/>
      <w:b/>
      <w:sz w:val="18"/>
      <w:szCs w:val="20"/>
    </w:rPr>
  </w:style>
  <w:style w:type="character" w:styleId="1255" w:customStyle="1">
    <w:name w:val="Nadpis 6 Char"/>
    <w:basedOn w:val="1245"/>
    <w:link w:val="1243"/>
    <w:rPr>
      <w:rFonts w:ascii="Times New Roman" w:hAnsi="Times New Roman" w:cs="Times New Roman" w:eastAsia="Times New Roman"/>
      <w:b/>
      <w:caps/>
      <w:sz w:val="32"/>
      <w:szCs w:val="20"/>
    </w:rPr>
  </w:style>
  <w:style w:type="paragraph" w:styleId="1256">
    <w:name w:val="Body Text"/>
    <w:basedOn w:val="1240"/>
    <w:link w:val="1257"/>
    <w:pPr>
      <w:ind w:left="426"/>
      <w:jc w:val="both"/>
    </w:pPr>
    <w:rPr>
      <w:sz w:val="18"/>
    </w:rPr>
  </w:style>
  <w:style w:type="character" w:styleId="1257" w:customStyle="1">
    <w:name w:val="Základný text Char"/>
    <w:basedOn w:val="1245"/>
    <w:link w:val="1256"/>
    <w:rPr>
      <w:rFonts w:ascii="Times New Roman" w:hAnsi="Times New Roman" w:cs="Times New Roman" w:eastAsia="Times New Roman"/>
      <w:sz w:val="18"/>
      <w:szCs w:val="20"/>
    </w:rPr>
  </w:style>
  <w:style w:type="paragraph" w:styleId="1258" w:customStyle="1">
    <w:name w:val="Uvod"/>
    <w:basedOn w:val="1240"/>
    <w:pPr>
      <w:ind w:left="284" w:hanging="284"/>
      <w:jc w:val="both"/>
    </w:pPr>
    <w:rPr>
      <w:sz w:val="22"/>
    </w:rPr>
  </w:style>
  <w:style w:type="character" w:styleId="1259">
    <w:name w:val="footnote reference"/>
    <w:basedOn w:val="1245"/>
    <w:semiHidden/>
    <w:rPr>
      <w:rFonts w:cs="Times New Roman"/>
      <w:position w:val="6"/>
      <w:sz w:val="16"/>
      <w:szCs w:val="16"/>
    </w:rPr>
  </w:style>
  <w:style w:type="paragraph" w:styleId="1260" w:customStyle="1">
    <w:name w:val="lit_a"/>
    <w:basedOn w:val="1240"/>
    <w:pPr>
      <w:ind w:left="624" w:hanging="340"/>
      <w:jc w:val="both"/>
      <w:spacing w:after="20"/>
    </w:pPr>
    <w:rPr>
      <w:rFonts w:ascii="Times" w:hAnsi="Times"/>
      <w:lang w:val="en-US"/>
    </w:rPr>
  </w:style>
  <w:style w:type="paragraph" w:styleId="1261" w:customStyle="1">
    <w:name w:val="zif"/>
    <w:basedOn w:val="1240"/>
    <w:link w:val="1262"/>
    <w:pPr>
      <w:jc w:val="both"/>
      <w:spacing w:after="80"/>
      <w:tabs>
        <w:tab w:val="left" w:pos="620" w:leader="none"/>
      </w:tabs>
    </w:pPr>
    <w:rPr>
      <w:rFonts w:ascii="Times" w:hAnsi="Times"/>
      <w:lang w:val="en-US"/>
    </w:rPr>
  </w:style>
  <w:style w:type="character" w:styleId="1262" w:customStyle="1">
    <w:name w:val="zif Char"/>
    <w:basedOn w:val="1245"/>
    <w:link w:val="1261"/>
    <w:rPr>
      <w:rFonts w:ascii="Times" w:hAnsi="Times" w:cs="Times New Roman" w:eastAsia="Times New Roman"/>
      <w:sz w:val="20"/>
      <w:szCs w:val="20"/>
      <w:lang w:val="en-US"/>
    </w:rPr>
  </w:style>
  <w:style w:type="paragraph" w:styleId="1263">
    <w:name w:val="List Paragraph"/>
    <w:basedOn w:val="1240"/>
    <w:qFormat/>
    <w:pPr>
      <w:ind w:left="708"/>
    </w:pPr>
  </w:style>
  <w:style w:type="paragraph" w:styleId="1264" w:customStyle="1">
    <w:name w:val="Tabulka"/>
    <w:basedOn w:val="1240"/>
    <w:rPr>
      <w:color w:val="000000"/>
      <w:sz w:val="18"/>
    </w:rPr>
  </w:style>
  <w:style w:type="paragraph" w:styleId="1265" w:customStyle="1">
    <w:name w:val="Pismenka"/>
    <w:basedOn w:val="1256"/>
    <w:pPr>
      <w:numPr>
        <w:numId w:val="3"/>
      </w:numPr>
    </w:pPr>
    <w:rPr>
      <w:b/>
    </w:rPr>
  </w:style>
  <w:style w:type="character" w:styleId="1266" w:customStyle="1">
    <w:name w:val="Nadpis 9 Char"/>
    <w:basedOn w:val="1245"/>
    <w:link w:val="1244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1267">
    <w:name w:val="Balloon Text"/>
    <w:basedOn w:val="1240"/>
    <w:link w:val="1268"/>
    <w:uiPriority w:val="99"/>
    <w:semiHidden/>
    <w:unhideWhenUsed/>
    <w:rPr>
      <w:rFonts w:ascii="Tahoma" w:hAnsi="Tahoma" w:cs="Tahoma"/>
      <w:sz w:val="16"/>
      <w:szCs w:val="16"/>
    </w:rPr>
  </w:style>
  <w:style w:type="character" w:styleId="1268" w:customStyle="1">
    <w:name w:val="Text bubliny Char"/>
    <w:basedOn w:val="1245"/>
    <w:link w:val="1267"/>
    <w:uiPriority w:val="99"/>
    <w:semiHidden/>
    <w:rPr>
      <w:rFonts w:ascii="Tahoma" w:hAnsi="Tahoma" w:cs="Tahoma" w:eastAsia="Times New Roman"/>
      <w:sz w:val="16"/>
      <w:szCs w:val="16"/>
    </w:rPr>
  </w:style>
  <w:style w:type="paragraph" w:styleId="1269">
    <w:name w:val="Body Text 2"/>
    <w:basedOn w:val="1240"/>
    <w:link w:val="1270"/>
    <w:uiPriority w:val="99"/>
    <w:semiHidden/>
    <w:unhideWhenUsed/>
    <w:pPr>
      <w:spacing w:after="120" w:line="480" w:lineRule="auto"/>
    </w:pPr>
  </w:style>
  <w:style w:type="character" w:styleId="1270" w:customStyle="1">
    <w:name w:val="Základný text 2 Char"/>
    <w:basedOn w:val="1245"/>
    <w:link w:val="1269"/>
    <w:uiPriority w:val="99"/>
    <w:semiHidden/>
    <w:rPr>
      <w:rFonts w:ascii="Times New Roman" w:hAnsi="Times New Roman" w:cs="Times New Roman" w:eastAsia="Times New Roman"/>
      <w:sz w:val="20"/>
      <w:szCs w:val="20"/>
    </w:rPr>
  </w:style>
  <w:style w:type="table" w:styleId="1271">
    <w:name w:val="Table Grid"/>
    <w:basedOn w:val="1246"/>
    <w:pPr>
      <w:spacing w:after="0" w:line="240" w:lineRule="auto"/>
    </w:pPr>
    <w:rPr>
      <w:rFonts w:ascii="Times New Roman" w:hAnsi="Times New Roman" w:cs="Times New Roman" w:eastAsia="Times New Roman"/>
      <w:sz w:val="20"/>
      <w:szCs w:val="20"/>
      <w:lang w:eastAsia="sk-SK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72" w:customStyle="1">
    <w:name w:val="ra"/>
    <w:basedOn w:val="1245"/>
  </w:style>
  <w:style w:type="paragraph" w:styleId="1273" w:customStyle="1">
    <w:name w:val="Accounting Policy"/>
    <w:basedOn w:val="1240"/>
    <w:link w:val="1274"/>
    <w:uiPriority w:val="99"/>
    <w:pPr>
      <w:spacing w:line="260" w:lineRule="atLeast"/>
      <w:tabs>
        <w:tab w:val="left" w:pos="1531" w:leader="none"/>
        <w:tab w:val="left" w:pos="1871" w:leader="none"/>
      </w:tabs>
    </w:pPr>
    <w:rPr>
      <w:rFonts w:ascii="Univers 45 Light" w:hAnsi="Univers 45 Light" w:cs="Univers 45 Light"/>
      <w:color w:val="000000"/>
      <w:lang w:val="en-NZ" w:eastAsia="en-NZ"/>
    </w:rPr>
  </w:style>
  <w:style w:type="character" w:styleId="1274" w:customStyle="1">
    <w:name w:val="Accounting Policy Char"/>
    <w:basedOn w:val="1245"/>
    <w:link w:val="1273"/>
    <w:uiPriority w:val="99"/>
    <w:rPr>
      <w:rFonts w:ascii="Univers 45 Light" w:hAnsi="Univers 45 Light" w:cs="Univers 45 Light" w:eastAsia="Times New Roman"/>
      <w:color w:val="000000"/>
      <w:sz w:val="20"/>
      <w:szCs w:val="20"/>
      <w:lang w:val="en-NZ" w:eastAsia="en-NZ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35FA84C9-0D8A-4062-95B8-FED32CE71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>KPMG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revision>3</cp:revision>
  <dcterms:created xsi:type="dcterms:W3CDTF">2024-03-28T22:50:00Z</dcterms:created>
  <dcterms:modified xsi:type="dcterms:W3CDTF">2025-03-17T21:28:58Z</dcterms:modified>
</cp:coreProperties>
</file>