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4B98" w:rsidRDefault="00D876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:rsidR="00AD4B98" w:rsidRDefault="00D876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:rsidR="00AD4B98" w:rsidRDefault="00AD4B98">
      <w:pPr>
        <w:rPr>
          <w:rFonts w:cs="Arial"/>
          <w:szCs w:val="22"/>
        </w:rPr>
      </w:pPr>
    </w:p>
    <w:p w:rsidR="00AD4B98" w:rsidRDefault="00D8760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147"/>
        <w:gridCol w:w="7139"/>
      </w:tblGrid>
      <w:tr w:rsidR="00AD4B98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AD4B98" w:rsidRDefault="00D876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AD4B9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4B98" w:rsidRDefault="00D876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4B98" w:rsidRDefault="00D876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Tatraprofit s. r. o.</w:t>
            </w:r>
          </w:p>
        </w:tc>
      </w:tr>
      <w:tr w:rsidR="00AD4B9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4B98" w:rsidRDefault="00D876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4B98" w:rsidRDefault="00D876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4988/17, Ružomberok</w:t>
            </w:r>
          </w:p>
        </w:tc>
      </w:tr>
      <w:tr w:rsidR="00AD4B9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4B98" w:rsidRDefault="00D876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4B98" w:rsidRDefault="00D876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51 703 033          DIČ:  2120768617</w:t>
            </w:r>
          </w:p>
        </w:tc>
      </w:tr>
      <w:tr w:rsidR="0048173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1735" w:rsidRDefault="004817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1735" w:rsidRDefault="00481735" w:rsidP="00D876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11.5.2018</w:t>
            </w:r>
          </w:p>
        </w:tc>
      </w:tr>
      <w:tr w:rsidR="0048173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81735" w:rsidRDefault="004817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81735" w:rsidRDefault="004817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11.5.2018</w:t>
            </w:r>
          </w:p>
        </w:tc>
      </w:tr>
    </w:tbl>
    <w:p w:rsidR="00AD4B98" w:rsidRDefault="00AD4B98">
      <w:pPr>
        <w:jc w:val="both"/>
        <w:rPr>
          <w:rFonts w:cs="Arial"/>
          <w:b/>
          <w:bCs/>
          <w:szCs w:val="22"/>
        </w:rPr>
      </w:pPr>
    </w:p>
    <w:p w:rsidR="00AD4B98" w:rsidRDefault="00D876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 w:rsidR="00481735">
        <w:rPr>
          <w:rFonts w:cs="Arial"/>
          <w:szCs w:val="22"/>
        </w:rPr>
        <w:t xml:space="preserve"> ostatné peňažné sprostredkovanie</w:t>
      </w:r>
    </w:p>
    <w:p w:rsidR="00AD4B98" w:rsidRDefault="00AD4B98">
      <w:pPr>
        <w:jc w:val="both"/>
        <w:rPr>
          <w:rFonts w:cs="Arial"/>
          <w:szCs w:val="22"/>
        </w:rPr>
      </w:pPr>
    </w:p>
    <w:p w:rsidR="00AD4B98" w:rsidRDefault="00D8760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AD4B98" w:rsidRDefault="00D87609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AD4B9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spacing w:before="0" w:beforeAutospacing="0" w:after="0"/>
        <w:jc w:val="left"/>
        <w:rPr>
          <w:szCs w:val="22"/>
        </w:rPr>
      </w:pPr>
    </w:p>
    <w:p w:rsidR="00AD4B98" w:rsidRDefault="00AD4B98">
      <w:pPr>
        <w:jc w:val="both"/>
        <w:rPr>
          <w:rFonts w:cs="Arial"/>
          <w:szCs w:val="22"/>
        </w:rPr>
      </w:pP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AD4B98" w:rsidRDefault="00AD4B98">
      <w:pPr>
        <w:ind w:right="-468"/>
        <w:jc w:val="both"/>
        <w:rPr>
          <w:rFonts w:cs="Arial"/>
          <w:szCs w:val="22"/>
        </w:rPr>
      </w:pP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AD4B98" w:rsidRDefault="00AD4B98">
      <w:pPr>
        <w:ind w:right="-468"/>
        <w:jc w:val="both"/>
        <w:rPr>
          <w:rFonts w:cs="Arial"/>
          <w:b/>
          <w:szCs w:val="22"/>
        </w:rPr>
      </w:pPr>
    </w:p>
    <w:p w:rsidR="00AD4B98" w:rsidRDefault="00D8760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D4B9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AD4B98" w:rsidRDefault="00D8760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AD4B98" w:rsidRDefault="00D8760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AD4B98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AD4B98" w:rsidRDefault="00AD4B98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AD4B98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</w:tr>
      <w:tr w:rsidR="00AD4B98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B98" w:rsidRDefault="00AD4B9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B98" w:rsidRDefault="00AD4B9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</w:tr>
      <w:tr w:rsidR="00AD4B98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B98" w:rsidRDefault="00D876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B98" w:rsidRDefault="00D876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4B98" w:rsidRDefault="00D876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4B98" w:rsidRDefault="00D876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D4B98" w:rsidRDefault="00D876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D4B98" w:rsidRDefault="00D876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</w:tr>
      <w:tr w:rsidR="00AD4B98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D876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Ing.Marián Gerba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D876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D876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D876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</w:tr>
      <w:tr w:rsidR="00AD4B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</w:tr>
      <w:tr w:rsidR="00AD4B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</w:tr>
      <w:tr w:rsidR="00AD4B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4B98" w:rsidRDefault="00AD4B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</w:tr>
      <w:tr w:rsidR="00AD4B9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D4B98" w:rsidRDefault="00D8760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4B98" w:rsidRDefault="00D876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D4B98" w:rsidRDefault="00AD4B98">
            <w:pPr>
              <w:rPr>
                <w:sz w:val="20"/>
                <w:szCs w:val="20"/>
              </w:rPr>
            </w:pPr>
          </w:p>
        </w:tc>
      </w:tr>
    </w:tbl>
    <w:p w:rsidR="00AD4B98" w:rsidRDefault="00AD4B98">
      <w:pPr>
        <w:ind w:right="-468"/>
        <w:jc w:val="both"/>
        <w:rPr>
          <w:rFonts w:cs="Arial"/>
          <w:szCs w:val="22"/>
        </w:rPr>
      </w:pPr>
    </w:p>
    <w:p w:rsidR="00AD4B98" w:rsidRDefault="00D876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AD4B98" w:rsidRDefault="00D876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AD4B98" w:rsidRDefault="00D876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AD4B98" w:rsidRDefault="00D876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AD4B98" w:rsidRDefault="00D876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AD4B98" w:rsidRDefault="00D876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AD4B98" w:rsidRDefault="00D876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AD4B98" w:rsidRDefault="00AD4B98">
      <w:pPr>
        <w:ind w:right="-468"/>
        <w:jc w:val="both"/>
        <w:rPr>
          <w:rFonts w:cs="Arial"/>
          <w:b/>
          <w:bCs/>
          <w:szCs w:val="22"/>
        </w:rPr>
      </w:pPr>
    </w:p>
    <w:p w:rsidR="00AD4B98" w:rsidRDefault="00D876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AD4B98" w:rsidRDefault="00AD4B98">
      <w:pPr>
        <w:jc w:val="both"/>
        <w:rPr>
          <w:rFonts w:cs="Arial"/>
          <w:szCs w:val="22"/>
        </w:rPr>
      </w:pPr>
    </w:p>
    <w:p w:rsidR="00AD4B98" w:rsidRDefault="00D876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AD4B98" w:rsidRDefault="00D876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AD4B98" w:rsidRDefault="00D876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AD4B98" w:rsidRDefault="00D876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AD4B98" w:rsidRDefault="00D876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AD4B98" w:rsidRDefault="00D876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AD4B98" w:rsidRDefault="00D876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AD4B98" w:rsidRDefault="00D876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AD4B98" w:rsidRDefault="00AD4B98">
      <w:pPr>
        <w:jc w:val="both"/>
        <w:rPr>
          <w:rFonts w:cs="Arial"/>
          <w:szCs w:val="22"/>
        </w:rPr>
      </w:pPr>
    </w:p>
    <w:p w:rsidR="00AD4B98" w:rsidRDefault="00D87609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D4B98" w:rsidRDefault="00D87609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AD4B98" w:rsidRDefault="00D8760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AD4B98" w:rsidRDefault="00D8760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AD4B98" w:rsidRDefault="00D8760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AD4B98" w:rsidRDefault="00D8760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AD4B98" w:rsidRDefault="00D8760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AD4B98" w:rsidRDefault="00D8760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AD4B98" w:rsidRDefault="00D87609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D4B98" w:rsidRDefault="00AD4B98"/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AD4B9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AD4B9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D4B9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AD4B9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D4B9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D4B9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D4B9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AD4B9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D4B98" w:rsidRDefault="00D87609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D4B9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D4B9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D4B9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AD4B98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D4B9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D4B9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D4B9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AD4B9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AD4B98" w:rsidRDefault="00AD4B98"/>
    <w:p w:rsidR="00AD4B98" w:rsidRDefault="00D87609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AD4B9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Hodnota za bežné účtovné obdobie</w:t>
            </w:r>
          </w:p>
        </w:tc>
      </w:tr>
      <w:tr w:rsidR="00AD4B9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/>
    <w:p w:rsidR="00AD4B98" w:rsidRDefault="00AD4B98"/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D4B9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D4B9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D4B9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AD4B9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D4B9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D4B9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D4B9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AD4B9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D4B9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D4B9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D4B9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AD4B9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D4B9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D4B9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D4B9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AD4B9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AD4B9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Hodnota za bežné účtovné obdobie</w:t>
            </w:r>
          </w:p>
        </w:tc>
      </w:tr>
      <w:tr w:rsidR="00AD4B9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AD4B98" w:rsidRDefault="00AD4B98">
      <w:pPr>
        <w:spacing w:after="0"/>
      </w:pPr>
    </w:p>
    <w:p w:rsidR="00AD4B98" w:rsidRDefault="00D87609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D4B98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4B98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Poskyt-nuté pred-davky na </w:t>
            </w:r>
          </w:p>
          <w:p w:rsidR="00AD4B98" w:rsidRDefault="00D87609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Spolu</w:t>
            </w:r>
          </w:p>
        </w:tc>
      </w:tr>
      <w:tr w:rsidR="00AD4B98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AD4B9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D4B9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D4B9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AD4B9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D4B98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4B98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Poskyt-nuté pred-davky na </w:t>
            </w:r>
          </w:p>
          <w:p w:rsidR="00AD4B98" w:rsidRDefault="00D87609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Spolu</w:t>
            </w:r>
          </w:p>
        </w:tc>
      </w:tr>
      <w:tr w:rsidR="00AD4B98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AD4B9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D4B9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D4B9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AD4B9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AD4B9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AD4B9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AD4B98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Bežné účtovné obdobie </w:t>
            </w:r>
          </w:p>
        </w:tc>
      </w:tr>
      <w:tr w:rsidR="00AD4B98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Podiel ÚJ na ZI</w:t>
            </w:r>
          </w:p>
          <w:p w:rsidR="00AD4B98" w:rsidRDefault="00D87609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Podiel ÚJ na hlasovacích právach </w:t>
            </w:r>
          </w:p>
          <w:p w:rsidR="00AD4B98" w:rsidRDefault="00D87609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AD4B98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D4B9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AD4B98" w:rsidRDefault="00AD4B98"/>
    <w:p w:rsidR="00AD4B98" w:rsidRDefault="00AD4B98"/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AD4B98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lastRenderedPageBreak/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Vyradenie dlhového CP z účtovníctva </w:t>
            </w:r>
          </w:p>
          <w:p w:rsidR="00AD4B98" w:rsidRDefault="00D87609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AD4B98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AD4B98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4B98" w:rsidRDefault="00AD4B98">
      <w:pPr>
        <w:spacing w:after="120" w:line="240" w:lineRule="auto"/>
        <w:rPr>
          <w:szCs w:val="22"/>
        </w:rPr>
      </w:pPr>
    </w:p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AD4B98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AD4B98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D4B98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4B98" w:rsidRDefault="00AD4B9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AD4B98" w:rsidRDefault="00D87609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AD4B9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</w:tr>
      <w:tr w:rsidR="00AD4B98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Tvorba </w:t>
            </w:r>
          </w:p>
          <w:p w:rsidR="00AD4B98" w:rsidRDefault="00D87609">
            <w:pPr>
              <w:pStyle w:val="TopHeader"/>
            </w:pPr>
            <w:r>
              <w:t>OP</w:t>
            </w:r>
          </w:p>
          <w:p w:rsidR="00AD4B98" w:rsidRDefault="00AD4B9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Stav OP na konci účtovného obdobia</w:t>
            </w:r>
          </w:p>
        </w:tc>
      </w:tr>
      <w:tr w:rsidR="00AD4B9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D4B98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AD4B9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Hodnota</w:t>
            </w:r>
          </w:p>
        </w:tc>
      </w:tr>
      <w:tr w:rsidR="00AD4B9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spacing w:before="0" w:beforeAutospacing="0" w:after="0"/>
        <w:jc w:val="both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AD4B9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Hodnota za bežné účtovné obdobie</w:t>
            </w:r>
          </w:p>
        </w:tc>
      </w:tr>
      <w:tr w:rsidR="00AD4B9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spacing w:before="0" w:beforeAutospacing="0" w:after="0"/>
        <w:jc w:val="left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AD4B98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D4B98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AD4B98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AD4B98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AD4B98" w:rsidRDefault="00AD4B9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D4B98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AD4B98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AD4B9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D4B98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AD4B9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AD4B98" w:rsidRDefault="00D87609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AD4B9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D4B98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AD4B9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AD4B98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</w:tr>
      <w:tr w:rsidR="00AD4B98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Tvorba</w:t>
            </w:r>
          </w:p>
          <w:p w:rsidR="00AD4B98" w:rsidRDefault="00D87609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Stav OP na konci účtovného obdobia</w:t>
            </w:r>
          </w:p>
        </w:tc>
      </w:tr>
      <w:tr w:rsidR="00AD4B9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D4B9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4B98" w:rsidRDefault="00AD4B9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AD4B9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Pohľadávky spolu</w:t>
            </w:r>
          </w:p>
        </w:tc>
      </w:tr>
      <w:tr w:rsidR="00AD4B9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AD4B9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1843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</w:tr>
      <w:tr w:rsidR="00AD4B9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3546</w:t>
            </w:r>
          </w:p>
        </w:tc>
      </w:tr>
    </w:tbl>
    <w:p w:rsidR="00AD4B98" w:rsidRDefault="00AD4B98">
      <w:pPr>
        <w:spacing w:after="0" w:line="240" w:lineRule="auto"/>
        <w:jc w:val="both"/>
        <w:rPr>
          <w:szCs w:val="22"/>
        </w:rPr>
      </w:pPr>
    </w:p>
    <w:p w:rsidR="00AD4B98" w:rsidRDefault="00AD4B98">
      <w:pPr>
        <w:spacing w:after="0" w:line="240" w:lineRule="auto"/>
        <w:jc w:val="both"/>
        <w:rPr>
          <w:szCs w:val="22"/>
        </w:rPr>
      </w:pPr>
    </w:p>
    <w:p w:rsidR="00AD4B98" w:rsidRDefault="00D87609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AD4B98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</w:tr>
      <w:tr w:rsidR="00AD4B98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AD4B9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spacing w:before="0" w:beforeAutospacing="0" w:after="0"/>
        <w:jc w:val="left"/>
        <w:rPr>
          <w:szCs w:val="22"/>
        </w:rPr>
      </w:pPr>
    </w:p>
    <w:p w:rsidR="00AD4B98" w:rsidRDefault="00AD4B98"/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AD4B98" w:rsidRDefault="00D876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AD4B9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Look w:val="04A0" w:firstRow="1" w:lastRow="0" w:firstColumn="1" w:lastColumn="0" w:noHBand="0" w:noVBand="1"/>
            </w:tblPr>
            <w:tblGrid>
              <w:gridCol w:w="2169"/>
            </w:tblGrid>
            <w:tr w:rsidR="00D87609" w:rsidTr="00D87609">
              <w:trPr>
                <w:trHeight w:val="397"/>
                <w:jc w:val="center"/>
              </w:trPr>
              <w:tc>
                <w:tcPr>
                  <w:tcW w:w="2581" w:type="dxa"/>
                  <w:tcBorders>
                    <w:top w:val="single" w:sz="12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D87609" w:rsidRDefault="00D87609">
                  <w:pPr>
                    <w:widowControl w:val="0"/>
                    <w:suppressAutoHyphens/>
                    <w:spacing w:after="0" w:line="240" w:lineRule="auto"/>
                    <w:jc w:val="center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398</w:t>
                  </w:r>
                </w:p>
              </w:tc>
            </w:tr>
            <w:tr w:rsidR="00D87609" w:rsidTr="00D87609">
              <w:trPr>
                <w:trHeight w:val="526"/>
                <w:jc w:val="center"/>
              </w:trPr>
              <w:tc>
                <w:tcPr>
                  <w:tcW w:w="258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D87609" w:rsidRDefault="00D87609">
                  <w:pPr>
                    <w:widowControl w:val="0"/>
                    <w:suppressAutoHyphens/>
                    <w:spacing w:after="0" w:line="240" w:lineRule="auto"/>
                    <w:jc w:val="center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682</w:t>
                  </w:r>
                </w:p>
              </w:tc>
            </w:tr>
            <w:tr w:rsidR="00D87609" w:rsidTr="00D87609">
              <w:trPr>
                <w:trHeight w:val="576"/>
                <w:jc w:val="center"/>
              </w:trPr>
              <w:tc>
                <w:tcPr>
                  <w:tcW w:w="258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D87609" w:rsidRDefault="00D87609">
                  <w:pPr>
                    <w:widowControl w:val="0"/>
                    <w:suppressAutoHyphens/>
                    <w:spacing w:after="0" w:line="240" w:lineRule="auto"/>
                    <w:jc w:val="center"/>
                    <w:rPr>
                      <w:bCs/>
                      <w:szCs w:val="22"/>
                    </w:rPr>
                  </w:pPr>
                </w:p>
              </w:tc>
            </w:tr>
            <w:tr w:rsidR="00D87609" w:rsidTr="00D87609">
              <w:trPr>
                <w:trHeight w:val="397"/>
                <w:jc w:val="center"/>
              </w:trPr>
              <w:tc>
                <w:tcPr>
                  <w:tcW w:w="258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D87609" w:rsidRDefault="00D87609">
                  <w:pPr>
                    <w:widowControl w:val="0"/>
                    <w:suppressAutoHyphens/>
                    <w:spacing w:after="0" w:line="240" w:lineRule="auto"/>
                    <w:jc w:val="center"/>
                    <w:rPr>
                      <w:bCs/>
                      <w:szCs w:val="22"/>
                    </w:rPr>
                  </w:pPr>
                </w:p>
              </w:tc>
            </w:tr>
            <w:tr w:rsidR="00D87609" w:rsidTr="00D87609">
              <w:trPr>
                <w:trHeight w:val="397"/>
                <w:jc w:val="center"/>
              </w:trPr>
              <w:tc>
                <w:tcPr>
                  <w:tcW w:w="2581" w:type="dxa"/>
                  <w:tcBorders>
                    <w:top w:val="single" w:sz="4" w:space="0" w:color="000000"/>
                    <w:left w:val="single" w:sz="12" w:space="0" w:color="000000"/>
                    <w:bottom w:val="single" w:sz="12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D87609" w:rsidRDefault="00D87609">
                  <w:pPr>
                    <w:widowControl w:val="0"/>
                    <w:suppressAutoHyphens/>
                    <w:spacing w:after="0" w:line="240" w:lineRule="auto"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  <w:szCs w:val="22"/>
                    </w:rPr>
                    <w:t>1080</w:t>
                  </w:r>
                </w:p>
              </w:tc>
            </w:tr>
          </w:tbl>
          <w:p w:rsidR="00AD4B98" w:rsidRDefault="00AD4B9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D4B9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1639</w:t>
            </w:r>
          </w:p>
        </w:tc>
        <w:tc>
          <w:tcPr>
            <w:tcW w:w="2405" w:type="dxa"/>
            <w:vAlign w:val="center"/>
          </w:tcPr>
          <w:p w:rsidR="00AD4B98" w:rsidRDefault="006459E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</w:t>
            </w:r>
          </w:p>
        </w:tc>
      </w:tr>
      <w:tr w:rsidR="00AD4B9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D4B9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D4B9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Pr="006459E1" w:rsidRDefault="00D8760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459E1">
              <w:rPr>
                <w:b/>
                <w:bCs/>
                <w:szCs w:val="22"/>
              </w:rPr>
              <w:t>1986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D4B98" w:rsidRDefault="006459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1080</w:t>
            </w:r>
          </w:p>
        </w:tc>
      </w:tr>
    </w:tbl>
    <w:p w:rsidR="00AD4B98" w:rsidRDefault="00AD4B9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D4B98" w:rsidRDefault="00D87609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AD4B98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</w:tr>
      <w:tr w:rsidR="00AD4B98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Prírastky</w:t>
            </w:r>
          </w:p>
          <w:p w:rsidR="00AD4B98" w:rsidRDefault="00AD4B98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Úbytky</w:t>
            </w:r>
          </w:p>
          <w:p w:rsidR="00AD4B98" w:rsidRDefault="00AD4B98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Presuny</w:t>
            </w:r>
          </w:p>
          <w:p w:rsidR="00AD4B98" w:rsidRDefault="00AD4B98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Stav na konci účtovného obdobia</w:t>
            </w:r>
          </w:p>
        </w:tc>
      </w:tr>
      <w:tr w:rsidR="00AD4B98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D4B98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4B98" w:rsidRDefault="00AD4B98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AD4B9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Stav OP</w:t>
            </w:r>
          </w:p>
          <w:p w:rsidR="00AD4B98" w:rsidRDefault="00D87609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AD4B98" w:rsidRDefault="00AD4B98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Zúčtovanie OP z dôvodu zániku opodstatne-nosti</w:t>
            </w:r>
          </w:p>
          <w:p w:rsidR="00AD4B98" w:rsidRDefault="00AD4B98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Zúčtovanie OP z dôvodu vyradenia majetku z účtovníctva</w:t>
            </w:r>
          </w:p>
          <w:p w:rsidR="00AD4B98" w:rsidRDefault="00AD4B98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Stav  OP na konci účtovného obdobia</w:t>
            </w:r>
          </w:p>
        </w:tc>
      </w:tr>
      <w:tr w:rsidR="00AD4B9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D4B9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4B98" w:rsidRDefault="00AD4B98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AD4B9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Hodnota za bežné účtovné obdobie</w:t>
            </w:r>
          </w:p>
        </w:tc>
      </w:tr>
      <w:tr w:rsidR="00AD4B9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AD4B98" w:rsidRDefault="00AD4B98">
      <w:pPr>
        <w:spacing w:after="0"/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AD4B98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Zvýšenie/ zníženie hodnoty</w:t>
            </w:r>
          </w:p>
          <w:p w:rsidR="00AD4B98" w:rsidRDefault="00D87609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Vplyv </w:t>
            </w:r>
          </w:p>
          <w:p w:rsidR="00AD4B98" w:rsidRDefault="00D87609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AD4B98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AD4B98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D4B98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Splatnosť</w:t>
            </w:r>
          </w:p>
        </w:tc>
      </w:tr>
      <w:tr w:rsidR="00AD4B98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viac ako päť rokov</w:t>
            </w:r>
          </w:p>
        </w:tc>
      </w:tr>
      <w:tr w:rsidR="00AD4B9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D4B98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D4B98" w:rsidRDefault="00AD4B98">
      <w:pPr>
        <w:pStyle w:val="Nzov"/>
        <w:spacing w:before="0" w:beforeAutospacing="0" w:after="0"/>
        <w:jc w:val="both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AD4B9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6459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</w:t>
            </w:r>
          </w:p>
        </w:tc>
      </w:tr>
      <w:tr w:rsidR="00AD4B9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6459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6459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</w:t>
            </w: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AD4B98">
      <w:pPr>
        <w:spacing w:after="0" w:line="240" w:lineRule="auto"/>
        <w:rPr>
          <w:szCs w:val="22"/>
        </w:rPr>
      </w:pPr>
    </w:p>
    <w:p w:rsidR="00AD4B98" w:rsidRDefault="00AD4B98">
      <w:pPr>
        <w:spacing w:after="0" w:line="240" w:lineRule="auto"/>
        <w:rPr>
          <w:szCs w:val="22"/>
        </w:rPr>
      </w:pPr>
    </w:p>
    <w:p w:rsidR="00AD4B98" w:rsidRDefault="00AD4B98">
      <w:pPr>
        <w:spacing w:after="0" w:line="240" w:lineRule="auto"/>
        <w:rPr>
          <w:szCs w:val="22"/>
        </w:rPr>
      </w:pPr>
    </w:p>
    <w:p w:rsidR="00AD4B98" w:rsidRDefault="00AD4B98">
      <w:pPr>
        <w:spacing w:after="0" w:line="240" w:lineRule="auto"/>
        <w:rPr>
          <w:szCs w:val="22"/>
        </w:rPr>
      </w:pPr>
    </w:p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AD4B9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AD4B9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spacing w:before="0" w:beforeAutospacing="0" w:after="0"/>
        <w:jc w:val="left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AD4B9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</w:tr>
      <w:tr w:rsidR="00AD4B9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AD4B9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AD4B9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4B98" w:rsidRDefault="00D8760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AD4B9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AD4B9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AD4B9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4B98" w:rsidRDefault="00AD4B98">
      <w:pPr>
        <w:pStyle w:val="Nzov"/>
        <w:spacing w:before="0" w:beforeAutospacing="0" w:after="0"/>
        <w:jc w:val="left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AD4B9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D4B9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Pr="006459E1" w:rsidRDefault="006459E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459E1">
              <w:rPr>
                <w:b/>
                <w:szCs w:val="22"/>
              </w:rPr>
              <w:t>23</w:t>
            </w:r>
          </w:p>
        </w:tc>
      </w:tr>
      <w:tr w:rsidR="00AD4B9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D4B98" w:rsidRPr="006459E1" w:rsidRDefault="006459E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459E1">
              <w:rPr>
                <w:bCs/>
                <w:szCs w:val="22"/>
              </w:rPr>
              <w:t>23</w:t>
            </w:r>
          </w:p>
        </w:tc>
      </w:tr>
      <w:tr w:rsidR="00AD4B9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AD4B98" w:rsidRDefault="00AD4B9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AD4B9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spacing w:before="0" w:beforeAutospacing="0" w:after="0"/>
        <w:jc w:val="left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AD4B9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AD4B9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Splatnosť</w:t>
            </w:r>
          </w:p>
        </w:tc>
      </w:tr>
      <w:tr w:rsidR="00AD4B98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D4B98" w:rsidRDefault="00AD4B9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AD4B9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AD4B98" w:rsidRDefault="00D87609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4B98" w:rsidRDefault="00D87609">
            <w:pPr>
              <w:pStyle w:val="TopHeader"/>
            </w:pPr>
            <w:r>
              <w:t>Suma istiny v eurách</w:t>
            </w:r>
          </w:p>
          <w:p w:rsidR="00AD4B98" w:rsidRDefault="00D87609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AD4B9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D4B9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AD4B9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AD4B98" w:rsidRDefault="00D87609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4B98" w:rsidRDefault="00D87609">
            <w:pPr>
              <w:pStyle w:val="TopHeader"/>
            </w:pPr>
            <w:r>
              <w:t>Suma istiny v eurách</w:t>
            </w:r>
          </w:p>
          <w:p w:rsidR="00AD4B98" w:rsidRDefault="00D87609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4B98" w:rsidRDefault="00D87609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AD4B9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D4B9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AD4B98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Dohodnutá cena podkladového nástroja</w:t>
            </w:r>
          </w:p>
        </w:tc>
      </w:tr>
      <w:tr w:rsidR="00AD4B98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AD4B9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AD4B9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AD4B98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Zmena reálnej hodnoty (+/-) s vplyvom na</w:t>
            </w:r>
          </w:p>
        </w:tc>
      </w:tr>
      <w:tr w:rsidR="00AD4B98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vlastné imanie</w:t>
            </w:r>
          </w:p>
        </w:tc>
      </w:tr>
      <w:tr w:rsidR="00AD4B98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AD4B9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AD4B9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Reálna hodnota</w:t>
            </w:r>
          </w:p>
        </w:tc>
      </w:tr>
      <w:tr w:rsidR="00AD4B98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AD4B9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D4B98" w:rsidRDefault="00AD4B98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AD4B98" w:rsidRDefault="00AD4B98"/>
    <w:p w:rsidR="00AD4B98" w:rsidRDefault="00AD4B98"/>
    <w:p w:rsidR="00AD4B98" w:rsidRDefault="00AD4B98"/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AD4B9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Splatnosť</w:t>
            </w:r>
          </w:p>
        </w:tc>
      </w:tr>
      <w:tr w:rsidR="00AD4B98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viac ako päť rokov</w:t>
            </w:r>
          </w:p>
        </w:tc>
      </w:tr>
      <w:tr w:rsidR="00AD4B98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D4B98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AD4B98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 xml:space="preserve">Zmena stavu vnútroorganizačných </w:t>
            </w:r>
          </w:p>
          <w:p w:rsidR="00AD4B98" w:rsidRDefault="00D87609">
            <w:pPr>
              <w:pStyle w:val="TopHeader"/>
            </w:pPr>
            <w:r>
              <w:t xml:space="preserve">zásob </w:t>
            </w:r>
          </w:p>
        </w:tc>
      </w:tr>
      <w:tr w:rsidR="00AD4B9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AD4B9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D4B98" w:rsidRDefault="00AD4B98">
      <w:pPr>
        <w:spacing w:after="0" w:line="240" w:lineRule="auto"/>
        <w:rPr>
          <w:kern w:val="28"/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AD4B9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6459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</w:t>
            </w:r>
          </w:p>
        </w:tc>
      </w:tr>
      <w:tr w:rsidR="00AD4B9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6459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6016</w:t>
            </w:r>
          </w:p>
        </w:tc>
      </w:tr>
    </w:tbl>
    <w:p w:rsidR="00AD4B98" w:rsidRDefault="00AD4B98">
      <w:pPr>
        <w:pStyle w:val="Nzov"/>
        <w:spacing w:before="0" w:beforeAutospacing="0" w:after="0"/>
        <w:jc w:val="left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AD4B9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D4B98" w:rsidRDefault="00AD4B98">
      <w:pPr>
        <w:pStyle w:val="Nzov"/>
        <w:spacing w:before="0" w:beforeAutospacing="0" w:after="0"/>
        <w:jc w:val="left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AD4B98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D4B98" w:rsidRDefault="00AD4B98">
      <w:pPr>
        <w:pStyle w:val="Nzov"/>
        <w:spacing w:before="0" w:beforeAutospacing="0" w:after="0"/>
        <w:jc w:val="left"/>
        <w:rPr>
          <w:szCs w:val="22"/>
        </w:rPr>
      </w:pPr>
    </w:p>
    <w:p w:rsidR="00AD4B98" w:rsidRDefault="00D8760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D4B9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</w:t>
            </w:r>
          </w:p>
          <w:p w:rsidR="00AD4B98" w:rsidRDefault="00D87609">
            <w:pPr>
              <w:pStyle w:val="TopHeader"/>
            </w:pPr>
            <w:r>
              <w:t xml:space="preserve"> účtovné obdobie</w:t>
            </w:r>
          </w:p>
        </w:tc>
      </w:tr>
      <w:tr w:rsidR="00AD4B9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Daň v %</w:t>
            </w:r>
          </w:p>
        </w:tc>
      </w:tr>
      <w:tr w:rsidR="00AD4B9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594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594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D4B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366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</w:tr>
    </w:tbl>
    <w:p w:rsidR="00AD4B98" w:rsidRDefault="00AD4B98">
      <w:pPr>
        <w:spacing w:after="0" w:line="240" w:lineRule="auto"/>
        <w:rPr>
          <w:szCs w:val="22"/>
        </w:rPr>
      </w:pPr>
    </w:p>
    <w:p w:rsidR="00AD4B98" w:rsidRDefault="00D876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AD4B98" w:rsidRDefault="00D876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AD4B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Bežné účtovné obdobie</w:t>
            </w:r>
          </w:p>
        </w:tc>
      </w:tr>
      <w:tr w:rsidR="00AD4B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Stav na konci účtovného obdobia</w:t>
            </w: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D4B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AD4B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</w:t>
            </w: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4B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D4B98" w:rsidRDefault="00AD4B98">
      <w:pPr>
        <w:tabs>
          <w:tab w:val="left" w:pos="1276"/>
        </w:tabs>
        <w:spacing w:after="0" w:line="240" w:lineRule="auto"/>
        <w:rPr>
          <w:szCs w:val="22"/>
        </w:rPr>
      </w:pPr>
    </w:p>
    <w:p w:rsidR="00AD4B98" w:rsidRDefault="00D8760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AD4B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Bezprostredne predchádzajúce účtovné obdobie</w:t>
            </w:r>
          </w:p>
        </w:tc>
      </w:tr>
      <w:tr w:rsidR="00AD4B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AD4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</w:pPr>
            <w:r>
              <w:t>Stav na konci účtovného obdobia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D4B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36632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366320">
              <w:rPr>
                <w:szCs w:val="22"/>
              </w:rPr>
              <w:t>5000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AD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366320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295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29586C">
              <w:rPr>
                <w:szCs w:val="22"/>
              </w:rPr>
              <w:t>1632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29586C"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29586C">
              <w:rPr>
                <w:szCs w:val="22"/>
              </w:rPr>
              <w:t>1133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29586C">
              <w:rPr>
                <w:szCs w:val="22"/>
              </w:rPr>
              <w:t>1350</w:t>
            </w:r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29586C"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29586C">
              <w:rPr>
                <w:szCs w:val="22"/>
              </w:rPr>
              <w:t>152</w:t>
            </w:r>
            <w:bookmarkStart w:id="0" w:name="_GoBack"/>
            <w:bookmarkEnd w:id="0"/>
          </w:p>
        </w:tc>
      </w:tr>
      <w:tr w:rsidR="00AD4B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D4B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B98" w:rsidRDefault="00D8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D4B98" w:rsidRDefault="00AD4B98">
      <w:pPr>
        <w:tabs>
          <w:tab w:val="left" w:pos="1525"/>
        </w:tabs>
        <w:spacing w:after="0" w:line="240" w:lineRule="auto"/>
        <w:rPr>
          <w:b/>
          <w:szCs w:val="22"/>
        </w:rPr>
        <w:sectPr w:rsidR="00AD4B98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AD4B98" w:rsidRDefault="00AD4B98">
      <w:pPr>
        <w:spacing w:after="0" w:line="240" w:lineRule="auto"/>
        <w:rPr>
          <w:szCs w:val="22"/>
        </w:rPr>
      </w:pPr>
    </w:p>
    <w:sectPr w:rsidR="00AD4B9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7609" w:rsidRDefault="00D87609">
      <w:pPr>
        <w:spacing w:line="240" w:lineRule="auto"/>
      </w:pPr>
      <w:r>
        <w:separator/>
      </w:r>
    </w:p>
  </w:endnote>
  <w:endnote w:type="continuationSeparator" w:id="0">
    <w:p w:rsidR="00D87609" w:rsidRDefault="00D876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7609" w:rsidRDefault="00D8760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9586C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7609" w:rsidRDefault="00D87609">
      <w:pPr>
        <w:spacing w:after="0"/>
      </w:pPr>
      <w:r>
        <w:separator/>
      </w:r>
    </w:p>
  </w:footnote>
  <w:footnote w:type="continuationSeparator" w:id="0">
    <w:p w:rsidR="00D87609" w:rsidRDefault="00D87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87609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87609" w:rsidRDefault="00D8760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87609" w:rsidRDefault="00D8760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51 703 033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2120768617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87609" w:rsidRDefault="00D8760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7609" w:rsidRDefault="00D876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multilevel"/>
    <w:tmpl w:val="05874C7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86C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320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173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67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59E1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B9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609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DBB4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header" w:unhideWhenUsed="1"/>
    <w:lsdException w:name="footer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Mriekatabuky">
    <w:name w:val="Table Grid"/>
    <w:basedOn w:val="Normlnatabuka"/>
    <w:uiPriority w:val="99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header" w:unhideWhenUsed="1"/>
    <w:lsdException w:name="footer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Mriekatabuky">
    <w:name w:val="Table Grid"/>
    <w:basedOn w:val="Normlnatabuka"/>
    <w:uiPriority w:val="99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4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7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2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2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9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87F34C-8BB9-45DF-ACC5-8C0CC8A51C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4158</Words>
  <Characters>26881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2025-03-18T08:48:00Z</dcterms:created>
  <dcterms:modified xsi:type="dcterms:W3CDTF">2025-03-18T08:48:00Z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7DB0524251CA48B9B5FBDF187909FBD2_13</vt:lpwstr>
  </property>
</Properties>
</file>