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25E8F" w14:textId="77777777" w:rsidR="00114A9E" w:rsidRPr="00114A9E" w:rsidRDefault="00114A9E" w:rsidP="00114A9E">
      <w:pPr>
        <w:spacing w:after="200" w:line="276" w:lineRule="auto"/>
        <w:rPr>
          <w:rFonts w:ascii="Calibri" w:eastAsia="Calibri" w:hAnsi="Calibri" w:cs="Times New Roman"/>
          <w:b/>
          <w:sz w:val="28"/>
          <w:szCs w:val="28"/>
        </w:rPr>
      </w:pPr>
    </w:p>
    <w:p w14:paraId="0392567D" w14:textId="77777777" w:rsidR="00114A9E" w:rsidRPr="00114A9E" w:rsidRDefault="00114A9E" w:rsidP="00114A9E">
      <w:pPr>
        <w:numPr>
          <w:ilvl w:val="0"/>
          <w:numId w:val="1"/>
        </w:numPr>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07.Informácie o účtovnej jednotke:</w:t>
      </w:r>
    </w:p>
    <w:p w14:paraId="200CB847" w14:textId="77777777" w:rsidR="00114A9E" w:rsidRPr="00114A9E" w:rsidRDefault="00114A9E" w:rsidP="00114A9E">
      <w:pPr>
        <w:spacing w:after="200" w:line="276" w:lineRule="auto"/>
        <w:ind w:left="720"/>
        <w:contextualSpacing/>
        <w:rPr>
          <w:rFonts w:ascii="Calibri" w:eastAsia="Calibri" w:hAnsi="Calibri" w:cs="Times New Roman"/>
          <w:b/>
          <w:sz w:val="28"/>
          <w:szCs w:val="28"/>
        </w:rPr>
      </w:pPr>
    </w:p>
    <w:p w14:paraId="3560F42B" w14:textId="22059437" w:rsidR="00D30FBD"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Spoločnosť </w:t>
      </w:r>
      <w:r w:rsidR="004718E0">
        <w:rPr>
          <w:rFonts w:ascii="Calibri" w:eastAsia="Calibri" w:hAnsi="Calibri" w:cs="Times New Roman"/>
          <w:sz w:val="24"/>
          <w:szCs w:val="24"/>
        </w:rPr>
        <w:t>ARCA</w:t>
      </w:r>
      <w:r w:rsidR="003637A3">
        <w:rPr>
          <w:rFonts w:ascii="Calibri" w:eastAsia="Calibri" w:hAnsi="Calibri" w:cs="Times New Roman"/>
          <w:sz w:val="24"/>
          <w:szCs w:val="24"/>
        </w:rPr>
        <w:t>4 s.r.o.</w:t>
      </w:r>
      <w:r w:rsidRPr="00114A9E">
        <w:rPr>
          <w:rFonts w:ascii="Calibri" w:eastAsia="Calibri" w:hAnsi="Calibri" w:cs="Times New Roman"/>
          <w:sz w:val="24"/>
          <w:szCs w:val="24"/>
        </w:rPr>
        <w:t>,</w:t>
      </w:r>
      <w:r w:rsidR="003637A3">
        <w:rPr>
          <w:rFonts w:ascii="Calibri" w:eastAsia="Calibri" w:hAnsi="Calibri" w:cs="Times New Roman"/>
          <w:sz w:val="24"/>
          <w:szCs w:val="24"/>
        </w:rPr>
        <w:t xml:space="preserve"> Pod Turíčkou 1051/4, 97401 Banská Bystrica</w:t>
      </w:r>
      <w:r w:rsidRPr="00114A9E">
        <w:rPr>
          <w:rFonts w:ascii="Calibri" w:eastAsia="Calibri" w:hAnsi="Calibri" w:cs="Times New Roman"/>
          <w:sz w:val="24"/>
          <w:szCs w:val="24"/>
        </w:rPr>
        <w:t xml:space="preserve"> bola založená v obchodnom registri zakladateľskou listinou</w:t>
      </w:r>
      <w:r w:rsidR="009F62B6">
        <w:rPr>
          <w:rFonts w:ascii="Calibri" w:eastAsia="Calibri" w:hAnsi="Calibri" w:cs="Times New Roman"/>
          <w:sz w:val="24"/>
          <w:szCs w:val="24"/>
        </w:rPr>
        <w:t>.</w:t>
      </w:r>
    </w:p>
    <w:p w14:paraId="23063E7B" w14:textId="7D4CC2D2"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Je zapísaná v obchodnom registri Okresného súdu Banská Bystrica, oddiel s.r.o., vložka </w:t>
      </w:r>
      <w:r w:rsidR="00D30FBD">
        <w:rPr>
          <w:rFonts w:ascii="Calibri" w:eastAsia="Calibri" w:hAnsi="Calibri" w:cs="Times New Roman"/>
          <w:sz w:val="24"/>
          <w:szCs w:val="24"/>
        </w:rPr>
        <w:t>20250/S</w:t>
      </w:r>
      <w:r w:rsidRPr="00114A9E">
        <w:rPr>
          <w:rFonts w:ascii="Calibri" w:eastAsia="Calibri" w:hAnsi="Calibri" w:cs="Times New Roman"/>
          <w:sz w:val="24"/>
          <w:szCs w:val="24"/>
        </w:rPr>
        <w:t xml:space="preserve">. Deň zápisu </w:t>
      </w:r>
      <w:r w:rsidR="00D30FBD">
        <w:rPr>
          <w:rFonts w:ascii="Calibri" w:eastAsia="Calibri" w:hAnsi="Calibri" w:cs="Times New Roman"/>
          <w:sz w:val="24"/>
          <w:szCs w:val="24"/>
        </w:rPr>
        <w:t>21.5.2011.</w:t>
      </w:r>
    </w:p>
    <w:p w14:paraId="4197C17C"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Hlavné činnosti spoločnosti sú: </w:t>
      </w:r>
    </w:p>
    <w:p w14:paraId="75E692DA" w14:textId="28EC062B" w:rsidR="00114A9E" w:rsidRPr="00171D34" w:rsidRDefault="00114A9E" w:rsidP="00114A9E">
      <w:pPr>
        <w:spacing w:after="200" w:line="276" w:lineRule="auto"/>
        <w:ind w:left="1080"/>
        <w:contextualSpacing/>
        <w:rPr>
          <w:rFonts w:ascii="Calibri" w:eastAsia="Calibri" w:hAnsi="Calibri" w:cs="Times New Roman"/>
          <w:b/>
          <w:bCs/>
          <w:sz w:val="24"/>
          <w:szCs w:val="24"/>
        </w:rPr>
      </w:pPr>
      <w:r w:rsidRPr="00114A9E">
        <w:rPr>
          <w:rFonts w:ascii="Calibri" w:eastAsia="Calibri" w:hAnsi="Calibri" w:cs="Times New Roman"/>
          <w:sz w:val="24"/>
          <w:szCs w:val="24"/>
        </w:rPr>
        <w:t xml:space="preserve">Predaj </w:t>
      </w:r>
      <w:r w:rsidR="00B25FD8">
        <w:rPr>
          <w:rFonts w:ascii="Calibri" w:eastAsia="Calibri" w:hAnsi="Calibri" w:cs="Times New Roman"/>
          <w:sz w:val="24"/>
          <w:szCs w:val="24"/>
        </w:rPr>
        <w:t>tovaru na účely jeho predaja konečnému spotrebiteľovi/maloobchod/ alebo iným prevádzkovateľom živnosti/veľkoobchod/</w:t>
      </w:r>
      <w:r w:rsidRPr="00114A9E">
        <w:rPr>
          <w:rFonts w:ascii="Calibri" w:eastAsia="Calibri" w:hAnsi="Calibri" w:cs="Times New Roman"/>
          <w:sz w:val="24"/>
          <w:szCs w:val="24"/>
        </w:rPr>
        <w:t>.</w:t>
      </w:r>
      <w:r w:rsidR="009F62B6">
        <w:rPr>
          <w:rFonts w:ascii="Calibri" w:eastAsia="Calibri" w:hAnsi="Calibri" w:cs="Times New Roman"/>
          <w:sz w:val="24"/>
          <w:szCs w:val="24"/>
        </w:rPr>
        <w:t xml:space="preserve"> </w:t>
      </w:r>
      <w:r w:rsidR="009F62B6" w:rsidRPr="00171D34">
        <w:rPr>
          <w:rFonts w:ascii="Calibri" w:eastAsia="Calibri" w:hAnsi="Calibri" w:cs="Times New Roman"/>
          <w:b/>
          <w:bCs/>
          <w:sz w:val="24"/>
          <w:szCs w:val="24"/>
        </w:rPr>
        <w:t xml:space="preserve">Prenájom </w:t>
      </w:r>
      <w:r w:rsidR="00171D34" w:rsidRPr="00171D34">
        <w:rPr>
          <w:rFonts w:ascii="Calibri" w:eastAsia="Calibri" w:hAnsi="Calibri" w:cs="Times New Roman"/>
          <w:b/>
          <w:bCs/>
          <w:sz w:val="24"/>
          <w:szCs w:val="24"/>
        </w:rPr>
        <w:t>nehnuteľností.</w:t>
      </w:r>
    </w:p>
    <w:p w14:paraId="299CA91C" w14:textId="78D97C5F"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K dátumu zostavenia účtovnej uzávierky mala spoločnosť </w:t>
      </w:r>
      <w:r w:rsidR="00D07411">
        <w:rPr>
          <w:rFonts w:ascii="Calibri" w:eastAsia="Calibri" w:hAnsi="Calibri" w:cs="Times New Roman"/>
          <w:sz w:val="24"/>
          <w:szCs w:val="24"/>
        </w:rPr>
        <w:t>0</w:t>
      </w:r>
      <w:r w:rsidRPr="00114A9E">
        <w:rPr>
          <w:rFonts w:ascii="Calibri" w:eastAsia="Calibri" w:hAnsi="Calibri" w:cs="Times New Roman"/>
          <w:sz w:val="24"/>
          <w:szCs w:val="24"/>
        </w:rPr>
        <w:t xml:space="preserve"> zamestnancov</w:t>
      </w:r>
      <w:r w:rsidR="00D07411">
        <w:rPr>
          <w:rFonts w:ascii="Calibri" w:eastAsia="Calibri" w:hAnsi="Calibri" w:cs="Times New Roman"/>
          <w:sz w:val="24"/>
          <w:szCs w:val="24"/>
        </w:rPr>
        <w:t>.</w:t>
      </w:r>
    </w:p>
    <w:p w14:paraId="7A107102"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Obchodná spoločnosť nie je obmedzene ručiacim spoločníkom v žiadnej spoločnosti.</w:t>
      </w:r>
    </w:p>
    <w:p w14:paraId="63CC51C3" w14:textId="75073473"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Účtovná uzávier</w:t>
      </w:r>
      <w:r w:rsidR="00F90D50">
        <w:rPr>
          <w:rFonts w:ascii="Calibri" w:eastAsia="Calibri" w:hAnsi="Calibri" w:cs="Times New Roman"/>
          <w:sz w:val="24"/>
          <w:szCs w:val="24"/>
        </w:rPr>
        <w:t>ka spoločnosti bola k 31.12.20</w:t>
      </w:r>
      <w:r w:rsidR="002818A7">
        <w:rPr>
          <w:rFonts w:ascii="Calibri" w:eastAsia="Calibri" w:hAnsi="Calibri" w:cs="Times New Roman"/>
          <w:sz w:val="24"/>
          <w:szCs w:val="24"/>
        </w:rPr>
        <w:t>2</w:t>
      </w:r>
      <w:r w:rsidR="00D07411">
        <w:rPr>
          <w:rFonts w:ascii="Calibri" w:eastAsia="Calibri" w:hAnsi="Calibri" w:cs="Times New Roman"/>
          <w:sz w:val="24"/>
          <w:szCs w:val="24"/>
        </w:rPr>
        <w:t>3</w:t>
      </w:r>
      <w:r w:rsidRPr="00114A9E">
        <w:rPr>
          <w:rFonts w:ascii="Calibri" w:eastAsia="Calibri" w:hAnsi="Calibri" w:cs="Times New Roman"/>
          <w:sz w:val="24"/>
          <w:szCs w:val="24"/>
        </w:rPr>
        <w:t xml:space="preserve"> zostavená ako riadna účtovná uzávierka podľa § 17ods. 6 zákona č. 431/2002 Z.z. o účtovníctve v znení neskorších predpisov.</w:t>
      </w:r>
    </w:p>
    <w:p w14:paraId="30697F61" w14:textId="03FEE338" w:rsidR="00114A9E" w:rsidRPr="00114A9E" w:rsidRDefault="00F90D50" w:rsidP="00114A9E">
      <w:pPr>
        <w:numPr>
          <w:ilvl w:val="0"/>
          <w:numId w:val="2"/>
        </w:numPr>
        <w:spacing w:after="200" w:line="276" w:lineRule="auto"/>
        <w:contextualSpacing/>
        <w:rPr>
          <w:rFonts w:ascii="Calibri" w:eastAsia="Calibri" w:hAnsi="Calibri" w:cs="Times New Roman"/>
          <w:sz w:val="24"/>
          <w:szCs w:val="24"/>
        </w:rPr>
      </w:pPr>
      <w:r>
        <w:rPr>
          <w:rFonts w:ascii="Calibri" w:eastAsia="Calibri" w:hAnsi="Calibri" w:cs="Times New Roman"/>
          <w:sz w:val="24"/>
          <w:szCs w:val="24"/>
        </w:rPr>
        <w:t>Účtovná uzávierka za rok 20</w:t>
      </w:r>
      <w:r w:rsidR="002818A7">
        <w:rPr>
          <w:rFonts w:ascii="Calibri" w:eastAsia="Calibri" w:hAnsi="Calibri" w:cs="Times New Roman"/>
          <w:sz w:val="24"/>
          <w:szCs w:val="24"/>
        </w:rPr>
        <w:t>2</w:t>
      </w:r>
      <w:r w:rsidR="00D07411">
        <w:rPr>
          <w:rFonts w:ascii="Calibri" w:eastAsia="Calibri" w:hAnsi="Calibri" w:cs="Times New Roman"/>
          <w:sz w:val="24"/>
          <w:szCs w:val="24"/>
        </w:rPr>
        <w:t>3</w:t>
      </w:r>
      <w:r>
        <w:rPr>
          <w:rFonts w:ascii="Calibri" w:eastAsia="Calibri" w:hAnsi="Calibri" w:cs="Times New Roman"/>
          <w:sz w:val="24"/>
          <w:szCs w:val="24"/>
        </w:rPr>
        <w:t xml:space="preserve"> </w:t>
      </w:r>
      <w:r w:rsidR="00114A9E" w:rsidRPr="00114A9E">
        <w:rPr>
          <w:rFonts w:ascii="Calibri" w:eastAsia="Calibri" w:hAnsi="Calibri" w:cs="Times New Roman"/>
          <w:sz w:val="24"/>
          <w:szCs w:val="24"/>
        </w:rPr>
        <w:t xml:space="preserve">bola uložená do registra účtovných uzávierok </w:t>
      </w:r>
      <w:r w:rsidR="002818A7">
        <w:rPr>
          <w:rFonts w:ascii="Calibri" w:eastAsia="Calibri" w:hAnsi="Calibri" w:cs="Times New Roman"/>
          <w:sz w:val="24"/>
          <w:szCs w:val="24"/>
        </w:rPr>
        <w:t>2</w:t>
      </w:r>
      <w:r w:rsidR="00D07411">
        <w:rPr>
          <w:rFonts w:ascii="Calibri" w:eastAsia="Calibri" w:hAnsi="Calibri" w:cs="Times New Roman"/>
          <w:sz w:val="24"/>
          <w:szCs w:val="24"/>
        </w:rPr>
        <w:t>0</w:t>
      </w:r>
      <w:r w:rsidR="00114A9E" w:rsidRPr="00114A9E">
        <w:rPr>
          <w:rFonts w:ascii="Calibri" w:eastAsia="Calibri" w:hAnsi="Calibri" w:cs="Times New Roman"/>
          <w:sz w:val="24"/>
          <w:szCs w:val="24"/>
        </w:rPr>
        <w:t>.</w:t>
      </w:r>
      <w:r w:rsidR="00BB21E6">
        <w:rPr>
          <w:rFonts w:ascii="Calibri" w:eastAsia="Calibri" w:hAnsi="Calibri" w:cs="Times New Roman"/>
          <w:sz w:val="24"/>
          <w:szCs w:val="24"/>
        </w:rPr>
        <w:t>6</w:t>
      </w:r>
      <w:r>
        <w:rPr>
          <w:rFonts w:ascii="Calibri" w:eastAsia="Calibri" w:hAnsi="Calibri" w:cs="Times New Roman"/>
          <w:sz w:val="24"/>
          <w:szCs w:val="24"/>
        </w:rPr>
        <w:t>.20</w:t>
      </w:r>
      <w:r w:rsidR="002818A7">
        <w:rPr>
          <w:rFonts w:ascii="Calibri" w:eastAsia="Calibri" w:hAnsi="Calibri" w:cs="Times New Roman"/>
          <w:sz w:val="24"/>
          <w:szCs w:val="24"/>
        </w:rPr>
        <w:t>2</w:t>
      </w:r>
      <w:r w:rsidR="00D07411">
        <w:rPr>
          <w:rFonts w:ascii="Calibri" w:eastAsia="Calibri" w:hAnsi="Calibri" w:cs="Times New Roman"/>
          <w:sz w:val="24"/>
          <w:szCs w:val="24"/>
        </w:rPr>
        <w:t>4</w:t>
      </w:r>
      <w:r>
        <w:rPr>
          <w:rFonts w:ascii="Calibri" w:eastAsia="Calibri" w:hAnsi="Calibri" w:cs="Times New Roman"/>
          <w:sz w:val="24"/>
          <w:szCs w:val="24"/>
        </w:rPr>
        <w:t xml:space="preserve"> schválená dňa </w:t>
      </w:r>
      <w:r w:rsidR="002818A7">
        <w:rPr>
          <w:rFonts w:ascii="Calibri" w:eastAsia="Calibri" w:hAnsi="Calibri" w:cs="Times New Roman"/>
          <w:sz w:val="24"/>
          <w:szCs w:val="24"/>
        </w:rPr>
        <w:t>2</w:t>
      </w:r>
      <w:r w:rsidR="00D07411">
        <w:rPr>
          <w:rFonts w:ascii="Calibri" w:eastAsia="Calibri" w:hAnsi="Calibri" w:cs="Times New Roman"/>
          <w:sz w:val="24"/>
          <w:szCs w:val="24"/>
        </w:rPr>
        <w:t>0</w:t>
      </w:r>
      <w:r w:rsidR="002818A7">
        <w:rPr>
          <w:rFonts w:ascii="Calibri" w:eastAsia="Calibri" w:hAnsi="Calibri" w:cs="Times New Roman"/>
          <w:sz w:val="24"/>
          <w:szCs w:val="24"/>
        </w:rPr>
        <w:t>.06.202</w:t>
      </w:r>
      <w:r w:rsidR="00D07411">
        <w:rPr>
          <w:rFonts w:ascii="Calibri" w:eastAsia="Calibri" w:hAnsi="Calibri" w:cs="Times New Roman"/>
          <w:sz w:val="24"/>
          <w:szCs w:val="24"/>
        </w:rPr>
        <w:t>4</w:t>
      </w:r>
      <w:r>
        <w:rPr>
          <w:rFonts w:ascii="Calibri" w:eastAsia="Calibri" w:hAnsi="Calibri" w:cs="Times New Roman"/>
          <w:sz w:val="24"/>
          <w:szCs w:val="24"/>
        </w:rPr>
        <w:t xml:space="preserve"> </w:t>
      </w:r>
      <w:r w:rsidR="00114A9E" w:rsidRPr="00114A9E">
        <w:rPr>
          <w:rFonts w:ascii="Calibri" w:eastAsia="Calibri" w:hAnsi="Calibri" w:cs="Times New Roman"/>
          <w:sz w:val="24"/>
          <w:szCs w:val="24"/>
        </w:rPr>
        <w:t>.</w:t>
      </w:r>
    </w:p>
    <w:p w14:paraId="5A488866" w14:textId="77777777" w:rsidR="00114A9E" w:rsidRPr="00114A9E" w:rsidRDefault="00114A9E" w:rsidP="00114A9E">
      <w:pPr>
        <w:spacing w:after="200" w:line="276" w:lineRule="auto"/>
        <w:rPr>
          <w:rFonts w:ascii="Calibri" w:eastAsia="Calibri" w:hAnsi="Calibri" w:cs="Times New Roman"/>
          <w:sz w:val="24"/>
          <w:szCs w:val="24"/>
        </w:rPr>
      </w:pPr>
    </w:p>
    <w:p w14:paraId="2BA59AEE" w14:textId="77777777" w:rsidR="00114A9E" w:rsidRPr="00114A9E" w:rsidRDefault="00114A9E" w:rsidP="00114A9E">
      <w:pPr>
        <w:numPr>
          <w:ilvl w:val="0"/>
          <w:numId w:val="3"/>
        </w:numPr>
        <w:spacing w:after="200" w:line="276" w:lineRule="auto"/>
        <w:contextualSpacing/>
        <w:rPr>
          <w:rFonts w:ascii="Calibri" w:eastAsia="Calibri" w:hAnsi="Calibri" w:cs="Times New Roman"/>
          <w:b/>
        </w:rPr>
      </w:pPr>
      <w:r w:rsidRPr="00114A9E">
        <w:rPr>
          <w:rFonts w:ascii="Calibri" w:eastAsia="Calibri" w:hAnsi="Calibri" w:cs="Times New Roman"/>
          <w:b/>
          <w:sz w:val="24"/>
          <w:szCs w:val="24"/>
        </w:rPr>
        <w:t>Informácie o počte zamestnancov</w:t>
      </w:r>
    </w:p>
    <w:tbl>
      <w:tblPr>
        <w:tblStyle w:val="Mriekatabuky1"/>
        <w:tblW w:w="9782" w:type="dxa"/>
        <w:tblInd w:w="-318" w:type="dxa"/>
        <w:tblLook w:val="04A0" w:firstRow="1" w:lastRow="0" w:firstColumn="1" w:lastColumn="0" w:noHBand="0" w:noVBand="1"/>
      </w:tblPr>
      <w:tblGrid>
        <w:gridCol w:w="3085"/>
        <w:gridCol w:w="2778"/>
        <w:gridCol w:w="3919"/>
      </w:tblGrid>
      <w:tr w:rsidR="00114A9E" w:rsidRPr="00114A9E" w14:paraId="782C2988" w14:textId="77777777" w:rsidTr="002D2998">
        <w:tc>
          <w:tcPr>
            <w:tcW w:w="3085" w:type="dxa"/>
          </w:tcPr>
          <w:p w14:paraId="0B356931"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p w14:paraId="1B113047" w14:textId="77777777" w:rsidR="00114A9E" w:rsidRPr="00114A9E" w:rsidRDefault="00114A9E" w:rsidP="00114A9E">
            <w:pPr>
              <w:rPr>
                <w:rFonts w:ascii="Calibri" w:eastAsia="Calibri" w:hAnsi="Calibri" w:cs="Times New Roman"/>
                <w:b/>
                <w:sz w:val="28"/>
                <w:szCs w:val="28"/>
              </w:rPr>
            </w:pPr>
          </w:p>
        </w:tc>
        <w:tc>
          <w:tcPr>
            <w:tcW w:w="2778" w:type="dxa"/>
          </w:tcPr>
          <w:p w14:paraId="7D75E576"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Bežné účtovné obdobie</w:t>
            </w:r>
          </w:p>
        </w:tc>
        <w:tc>
          <w:tcPr>
            <w:tcW w:w="3919" w:type="dxa"/>
          </w:tcPr>
          <w:p w14:paraId="2EF0DF9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p w14:paraId="69BFA50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0CF1B607" w14:textId="77777777" w:rsidTr="002D2998">
        <w:tc>
          <w:tcPr>
            <w:tcW w:w="3085" w:type="dxa"/>
          </w:tcPr>
          <w:p w14:paraId="514234A0"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 xml:space="preserve">Priemerný prepočítaný počet zamestnancov </w:t>
            </w:r>
          </w:p>
        </w:tc>
        <w:tc>
          <w:tcPr>
            <w:tcW w:w="2778" w:type="dxa"/>
          </w:tcPr>
          <w:p w14:paraId="73E9BF74" w14:textId="41D43601" w:rsidR="00114A9E" w:rsidRPr="00114A9E" w:rsidRDefault="00D07411" w:rsidP="00114A9E">
            <w:pPr>
              <w:rPr>
                <w:rFonts w:ascii="Calibri" w:eastAsia="Calibri" w:hAnsi="Calibri" w:cs="Times New Roman"/>
                <w:b/>
              </w:rPr>
            </w:pPr>
            <w:r>
              <w:rPr>
                <w:rFonts w:ascii="Calibri" w:eastAsia="Calibri" w:hAnsi="Calibri" w:cs="Times New Roman"/>
                <w:b/>
              </w:rPr>
              <w:t>0</w:t>
            </w:r>
          </w:p>
        </w:tc>
        <w:tc>
          <w:tcPr>
            <w:tcW w:w="3919" w:type="dxa"/>
          </w:tcPr>
          <w:p w14:paraId="6962C378" w14:textId="334E41AB" w:rsidR="00114A9E" w:rsidRPr="00114A9E" w:rsidRDefault="00D07411" w:rsidP="00114A9E">
            <w:pPr>
              <w:rPr>
                <w:rFonts w:ascii="Calibri" w:eastAsia="Calibri" w:hAnsi="Calibri" w:cs="Times New Roman"/>
                <w:b/>
              </w:rPr>
            </w:pPr>
            <w:r>
              <w:rPr>
                <w:rFonts w:ascii="Calibri" w:eastAsia="Calibri" w:hAnsi="Calibri" w:cs="Times New Roman"/>
                <w:b/>
              </w:rPr>
              <w:t>0</w:t>
            </w:r>
          </w:p>
        </w:tc>
      </w:tr>
      <w:tr w:rsidR="00114A9E" w:rsidRPr="00114A9E" w14:paraId="6BCE6D8C" w14:textId="77777777" w:rsidTr="002D2998">
        <w:tc>
          <w:tcPr>
            <w:tcW w:w="3085" w:type="dxa"/>
          </w:tcPr>
          <w:p w14:paraId="2FE0DF72"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Stav zamestnancov ku dňu, ku ktorému sa zostavuje účtovná závierka , z toho:</w:t>
            </w:r>
          </w:p>
        </w:tc>
        <w:tc>
          <w:tcPr>
            <w:tcW w:w="2778" w:type="dxa"/>
          </w:tcPr>
          <w:p w14:paraId="60E8D508" w14:textId="00A93552" w:rsidR="00114A9E" w:rsidRPr="00114A9E" w:rsidRDefault="00D07411" w:rsidP="00114A9E">
            <w:pPr>
              <w:rPr>
                <w:rFonts w:ascii="Calibri" w:eastAsia="Calibri" w:hAnsi="Calibri" w:cs="Times New Roman"/>
                <w:b/>
              </w:rPr>
            </w:pPr>
            <w:r>
              <w:rPr>
                <w:rFonts w:ascii="Calibri" w:eastAsia="Calibri" w:hAnsi="Calibri" w:cs="Times New Roman"/>
                <w:b/>
              </w:rPr>
              <w:t>0</w:t>
            </w:r>
          </w:p>
        </w:tc>
        <w:tc>
          <w:tcPr>
            <w:tcW w:w="3919" w:type="dxa"/>
          </w:tcPr>
          <w:p w14:paraId="5F416BB8" w14:textId="386AD140" w:rsidR="00114A9E" w:rsidRPr="00114A9E" w:rsidRDefault="00D07411" w:rsidP="00114A9E">
            <w:pPr>
              <w:rPr>
                <w:rFonts w:ascii="Calibri" w:eastAsia="Calibri" w:hAnsi="Calibri" w:cs="Times New Roman"/>
                <w:b/>
              </w:rPr>
            </w:pPr>
            <w:r>
              <w:rPr>
                <w:rFonts w:ascii="Calibri" w:eastAsia="Calibri" w:hAnsi="Calibri" w:cs="Times New Roman"/>
                <w:b/>
              </w:rPr>
              <w:t>0</w:t>
            </w:r>
          </w:p>
        </w:tc>
      </w:tr>
      <w:tr w:rsidR="00114A9E" w:rsidRPr="00114A9E" w14:paraId="6A1C9822" w14:textId="77777777" w:rsidTr="002D2998">
        <w:tc>
          <w:tcPr>
            <w:tcW w:w="3085" w:type="dxa"/>
          </w:tcPr>
          <w:p w14:paraId="694D8FCA" w14:textId="77777777" w:rsidR="00114A9E" w:rsidRPr="00114A9E" w:rsidRDefault="00114A9E" w:rsidP="00114A9E">
            <w:pPr>
              <w:rPr>
                <w:rFonts w:ascii="Calibri" w:eastAsia="Calibri" w:hAnsi="Calibri" w:cs="Times New Roman"/>
              </w:rPr>
            </w:pPr>
            <w:r w:rsidRPr="00114A9E">
              <w:rPr>
                <w:rFonts w:ascii="Calibri" w:eastAsia="Calibri" w:hAnsi="Calibri" w:cs="Times New Roman"/>
              </w:rPr>
              <w:t>Počet vedúcich zamestnancov</w:t>
            </w:r>
          </w:p>
        </w:tc>
        <w:tc>
          <w:tcPr>
            <w:tcW w:w="2778" w:type="dxa"/>
          </w:tcPr>
          <w:p w14:paraId="5F922301" w14:textId="22338538" w:rsidR="00114A9E" w:rsidRPr="00114A9E" w:rsidRDefault="00D07411" w:rsidP="00114A9E">
            <w:pPr>
              <w:rPr>
                <w:rFonts w:ascii="Calibri" w:eastAsia="Calibri" w:hAnsi="Calibri" w:cs="Times New Roman"/>
                <w:b/>
              </w:rPr>
            </w:pPr>
            <w:r>
              <w:rPr>
                <w:rFonts w:ascii="Calibri" w:eastAsia="Calibri" w:hAnsi="Calibri" w:cs="Times New Roman"/>
                <w:b/>
              </w:rPr>
              <w:t>0</w:t>
            </w:r>
          </w:p>
        </w:tc>
        <w:tc>
          <w:tcPr>
            <w:tcW w:w="3919" w:type="dxa"/>
          </w:tcPr>
          <w:p w14:paraId="0455C96A" w14:textId="5E8A25A1" w:rsidR="00114A9E" w:rsidRPr="00114A9E" w:rsidRDefault="00D07411" w:rsidP="00114A9E">
            <w:pPr>
              <w:rPr>
                <w:rFonts w:ascii="Calibri" w:eastAsia="Calibri" w:hAnsi="Calibri" w:cs="Times New Roman"/>
                <w:b/>
              </w:rPr>
            </w:pPr>
            <w:r>
              <w:rPr>
                <w:rFonts w:ascii="Calibri" w:eastAsia="Calibri" w:hAnsi="Calibri" w:cs="Times New Roman"/>
                <w:b/>
              </w:rPr>
              <w:t>0</w:t>
            </w:r>
          </w:p>
        </w:tc>
      </w:tr>
    </w:tbl>
    <w:p w14:paraId="66054C22" w14:textId="77777777" w:rsidR="00114A9E" w:rsidRPr="00114A9E" w:rsidRDefault="00114A9E" w:rsidP="00114A9E">
      <w:pPr>
        <w:spacing w:after="200" w:line="276" w:lineRule="auto"/>
        <w:rPr>
          <w:rFonts w:ascii="Calibri" w:eastAsia="Calibri" w:hAnsi="Calibri" w:cs="Times New Roman"/>
          <w:b/>
        </w:rPr>
      </w:pPr>
    </w:p>
    <w:p w14:paraId="744690E3" w14:textId="77777777" w:rsidR="00114A9E" w:rsidRPr="00114A9E" w:rsidRDefault="00114A9E" w:rsidP="00114A9E">
      <w:pPr>
        <w:spacing w:after="200" w:line="276" w:lineRule="auto"/>
        <w:rPr>
          <w:rFonts w:ascii="Calibri" w:eastAsia="Calibri" w:hAnsi="Calibri" w:cs="Times New Roman"/>
          <w:b/>
        </w:rPr>
      </w:pPr>
    </w:p>
    <w:p w14:paraId="52313AD1" w14:textId="77777777" w:rsidR="00114A9E" w:rsidRPr="00114A9E" w:rsidRDefault="00114A9E" w:rsidP="00114A9E">
      <w:pPr>
        <w:spacing w:after="200" w:line="276" w:lineRule="auto"/>
        <w:rPr>
          <w:rFonts w:ascii="Calibri" w:eastAsia="Calibri" w:hAnsi="Calibri" w:cs="Times New Roman"/>
          <w:b/>
        </w:rPr>
      </w:pPr>
      <w:r w:rsidRPr="00114A9E">
        <w:rPr>
          <w:rFonts w:ascii="Calibri" w:eastAsia="Calibri" w:hAnsi="Calibri" w:cs="Times New Roman"/>
          <w:b/>
        </w:rPr>
        <w:t xml:space="preserve">                 Informácie o konsolidovanom celku :</w:t>
      </w:r>
    </w:p>
    <w:p w14:paraId="45AA428F" w14:textId="77777777" w:rsidR="00114A9E" w:rsidRPr="00114A9E" w:rsidRDefault="00114A9E" w:rsidP="00114A9E">
      <w:pPr>
        <w:tabs>
          <w:tab w:val="left" w:pos="1365"/>
        </w:tabs>
        <w:spacing w:after="200" w:line="276" w:lineRule="auto"/>
        <w:rPr>
          <w:rFonts w:ascii="Calibri" w:eastAsia="Calibri" w:hAnsi="Calibri" w:cs="Times New Roman"/>
        </w:rPr>
      </w:pPr>
      <w:r w:rsidRPr="00114A9E">
        <w:rPr>
          <w:rFonts w:ascii="Calibri" w:eastAsia="Calibri" w:hAnsi="Calibri" w:cs="Times New Roman"/>
          <w:b/>
        </w:rPr>
        <w:t xml:space="preserve">                 </w:t>
      </w:r>
      <w:r w:rsidRPr="00114A9E">
        <w:rPr>
          <w:rFonts w:ascii="Calibri" w:eastAsia="Calibri" w:hAnsi="Calibri" w:cs="Times New Roman"/>
        </w:rPr>
        <w:t>Spoločnosť nie je súčasťou konsolidovaného celku.</w:t>
      </w:r>
    </w:p>
    <w:p w14:paraId="2FC85199" w14:textId="77777777" w:rsidR="00114A9E" w:rsidRPr="00114A9E" w:rsidRDefault="00114A9E" w:rsidP="00114A9E">
      <w:pPr>
        <w:tabs>
          <w:tab w:val="left" w:pos="1365"/>
        </w:tabs>
        <w:spacing w:after="200" w:line="276" w:lineRule="auto"/>
        <w:rPr>
          <w:rFonts w:ascii="Calibri" w:eastAsia="Calibri" w:hAnsi="Calibri" w:cs="Times New Roman"/>
        </w:rPr>
      </w:pPr>
    </w:p>
    <w:p w14:paraId="32EF38C5" w14:textId="77777777" w:rsidR="00114A9E" w:rsidRPr="00114A9E" w:rsidRDefault="00114A9E" w:rsidP="00114A9E">
      <w:pPr>
        <w:tabs>
          <w:tab w:val="left" w:pos="1365"/>
        </w:tabs>
        <w:spacing w:after="200" w:line="276" w:lineRule="auto"/>
        <w:rPr>
          <w:rFonts w:ascii="Calibri" w:eastAsia="Calibri" w:hAnsi="Calibri" w:cs="Times New Roman"/>
          <w:b/>
        </w:rPr>
      </w:pPr>
    </w:p>
    <w:p w14:paraId="1E619D68"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orgánoch účtovnej jednotky</w:t>
      </w:r>
    </w:p>
    <w:p w14:paraId="21E06F55"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b/>
          <w:sz w:val="28"/>
          <w:szCs w:val="28"/>
        </w:rPr>
      </w:pPr>
    </w:p>
    <w:p w14:paraId="3A1BCD78" w14:textId="32BFC916" w:rsidR="00114A9E" w:rsidRPr="00114A9E" w:rsidRDefault="00830C34"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t>Konatel</w:t>
      </w:r>
      <w:r w:rsidR="001F5B90">
        <w:rPr>
          <w:rFonts w:ascii="Calibri" w:eastAsia="Calibri" w:hAnsi="Calibri" w:cs="Times New Roman"/>
          <w:sz w:val="24"/>
          <w:szCs w:val="24"/>
        </w:rPr>
        <w:t>ia</w:t>
      </w:r>
      <w:r w:rsidR="00114A9E" w:rsidRPr="00114A9E">
        <w:rPr>
          <w:rFonts w:ascii="Calibri" w:eastAsia="Calibri" w:hAnsi="Calibri" w:cs="Times New Roman"/>
          <w:sz w:val="24"/>
          <w:szCs w:val="24"/>
        </w:rPr>
        <w:t xml:space="preserve">: </w:t>
      </w:r>
      <w:r w:rsidR="00A360E7">
        <w:rPr>
          <w:rFonts w:ascii="Calibri" w:eastAsia="Calibri" w:hAnsi="Calibri" w:cs="Times New Roman"/>
          <w:sz w:val="24"/>
          <w:szCs w:val="24"/>
        </w:rPr>
        <w:t>Ing. Martina Viktorová</w:t>
      </w:r>
      <w:r w:rsidR="00B04106">
        <w:rPr>
          <w:rFonts w:ascii="Calibri" w:eastAsia="Calibri" w:hAnsi="Calibri" w:cs="Times New Roman"/>
          <w:sz w:val="24"/>
          <w:szCs w:val="24"/>
        </w:rPr>
        <w:t>, Ing. Peter Ďuríček</w:t>
      </w:r>
    </w:p>
    <w:p w14:paraId="57A65A45" w14:textId="3686201B" w:rsidR="00114A9E" w:rsidRPr="00114A9E" w:rsidRDefault="00BA7AAC"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lastRenderedPageBreak/>
        <w:t>Konateľom</w:t>
      </w:r>
      <w:r w:rsidR="00F90D50">
        <w:rPr>
          <w:rFonts w:ascii="Calibri" w:eastAsia="Calibri" w:hAnsi="Calibri" w:cs="Times New Roman"/>
          <w:sz w:val="24"/>
          <w:szCs w:val="24"/>
        </w:rPr>
        <w:t xml:space="preserve"> neboli v roku 20</w:t>
      </w:r>
      <w:r w:rsidR="002818A7">
        <w:rPr>
          <w:rFonts w:ascii="Calibri" w:eastAsia="Calibri" w:hAnsi="Calibri" w:cs="Times New Roman"/>
          <w:sz w:val="24"/>
          <w:szCs w:val="24"/>
        </w:rPr>
        <w:t>2</w:t>
      </w:r>
      <w:r w:rsidR="00A360E7">
        <w:rPr>
          <w:rFonts w:ascii="Calibri" w:eastAsia="Calibri" w:hAnsi="Calibri" w:cs="Times New Roman"/>
          <w:sz w:val="24"/>
          <w:szCs w:val="24"/>
        </w:rPr>
        <w:t>4</w:t>
      </w:r>
      <w:r w:rsidR="00114A9E" w:rsidRPr="00114A9E">
        <w:rPr>
          <w:rFonts w:ascii="Calibri" w:eastAsia="Calibri" w:hAnsi="Calibri" w:cs="Times New Roman"/>
          <w:sz w:val="24"/>
          <w:szCs w:val="24"/>
        </w:rPr>
        <w:t xml:space="preserve"> poskytnuté pôžičky, záruky alebo iné formy zabezpečenia, ani finančné prostriedky alebo iné plnenia na súkromné účely.</w:t>
      </w:r>
    </w:p>
    <w:p w14:paraId="2E966FC1"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5C49FBCE"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1D4DEC9F"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Informácie o použitých účtovných zásadách a účtovných metódach :  </w:t>
      </w:r>
    </w:p>
    <w:p w14:paraId="517B60FC"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Základné účtovné metódy použité pri zostavovaní tejto individuálnej účtovnej závierky sú opísané nižšie . Tieto metódy sa uplatňujú konzistentne počas všetkých účtovných období, ak nie je uvedené inak.</w:t>
      </w:r>
    </w:p>
    <w:p w14:paraId="0544797E"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Spoločnosť zostavila účtovnú závierku za predpokladu nepretržitého pokračovania vo svojej činnosti.</w:t>
      </w:r>
    </w:p>
    <w:p w14:paraId="2EF5975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1EBC94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Spôsob oceňovania jednotlivých zložiek majetku a záväzkov :</w:t>
      </w:r>
    </w:p>
    <w:p w14:paraId="4391BBF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r w:rsidRPr="00114A9E">
        <w:rPr>
          <w:rFonts w:ascii="Calibri" w:eastAsia="Calibri" w:hAnsi="Calibri" w:cs="Times New Roman"/>
          <w:b/>
          <w:sz w:val="24"/>
          <w:szCs w:val="24"/>
        </w:rPr>
        <w:t>Dlhodobý nehmotný majetok</w:t>
      </w:r>
    </w:p>
    <w:p w14:paraId="48E5C25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nakupovaný sa oceňuje obstarávacou cenou, ktorá zahŕňa cenu obstarania a náklady súvisiace s obstaraním ( clo, prepravu, montáž, poistné a pod.) Súčasťou obstarávacej ceny dlhodobého nehmotného majetku nie sú úroky z úverov súvisiacich s obstaraním majetku, ktoré vznikli do momentu zaradenia majetku do užívania.</w:t>
      </w:r>
    </w:p>
    <w:p w14:paraId="315D268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vytvorený vlastnou činnosťou sa oceňuje vlastnými nákladmi. Vlastnými nákladmi sú všetky priame náklady vynaložené na výrobu alebo na inú činnosť a nepriame náklady, ktoré sa vzťahujú na výrobu a činnosť.</w:t>
      </w:r>
    </w:p>
    <w:p w14:paraId="5D9BAEE1" w14:textId="77777777" w:rsidR="00114A9E" w:rsidRPr="00114A9E" w:rsidRDefault="00114A9E" w:rsidP="00114A9E">
      <w:pPr>
        <w:tabs>
          <w:tab w:val="left" w:pos="1365"/>
        </w:tabs>
        <w:spacing w:after="200" w:line="276" w:lineRule="auto"/>
        <w:ind w:left="644"/>
        <w:rPr>
          <w:rFonts w:ascii="Calibri" w:eastAsia="Calibri" w:hAnsi="Calibri" w:cs="Times New Roman"/>
          <w:sz w:val="24"/>
          <w:szCs w:val="24"/>
        </w:rPr>
      </w:pPr>
      <w:r w:rsidRPr="00114A9E">
        <w:rPr>
          <w:rFonts w:ascii="Calibri" w:eastAsia="Calibri" w:hAnsi="Calibri" w:cs="Times New Roman"/>
          <w:b/>
          <w:sz w:val="24"/>
          <w:szCs w:val="24"/>
        </w:rPr>
        <w:t>Dlhodobý hmotný majetok</w:t>
      </w:r>
    </w:p>
    <w:p w14:paraId="3890E387"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hmotný majetok nakupovaný sa oceňuje obstarávacou cenou, ktorá zahŕňa cenu obstarania a náklady súvisiace s obstaraním (clo, prepravu, montáž, poistné a pod.) Súčasťou obstarávacej ceny dlhodobého hmotného majetku nie sú úroku z úverov súvisiacich s obstaraním majetku, ktoré vznikli do momentu zaradenia majetku do užívania.</w:t>
      </w:r>
    </w:p>
    <w:p w14:paraId="29757A33"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dlhodobého hmotného majetku patrí majetok, ku ktorému má účtovná jednotka vlastnícke právo. Súčasťou dlhodobého hmot. majetku je aj majetok, ktorý spoločnosť obstarala na základe zmluvy o finančnom prenájme.</w:t>
      </w:r>
    </w:p>
    <w:p w14:paraId="1ADDCD4C"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Odpisy dlhodobého hmot. majetku sú stanovené podľa predpokladanej doby jeho používania a predpokladaného priebehu jeho opotrebenia. Pozemky sa neodpisujú.</w:t>
      </w:r>
    </w:p>
    <w:p w14:paraId="4A199D1F"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Vypracuje sa odpisový plán pre jednotlivé druhy majetku so stanovenou metódou odpisovania a ročnou odpisovou sadzbou.</w:t>
      </w:r>
    </w:p>
    <w:p w14:paraId="53AD9729"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Technické zhodnotenie dlhodobého hmotného majetku nie je technickým zhodnotením, ak neprevyšuje úhrnne za účtovné obdobie sumu 1700 eur.</w:t>
      </w:r>
    </w:p>
    <w:p w14:paraId="458CE51F"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493EBF50"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073E2CDE"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774BFB17"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lastRenderedPageBreak/>
        <w:t>Cenné papiere a podiely</w:t>
      </w:r>
    </w:p>
    <w:p w14:paraId="38EC9545"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Cenné papiere a podiely sa oceňujú pri nadobudnutí obstarávacou cenou, vrátane nákladov súvisiacich s obstaraním.</w:t>
      </w:r>
    </w:p>
    <w:p w14:paraId="672751E7"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Ku dňu, ku ktorému sa zostavuje účtovná závierka spoločnosť nevlastnila cenné papiere a podiely</w:t>
      </w:r>
    </w:p>
    <w:p w14:paraId="6A7E02F3"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Zásoby</w:t>
      </w:r>
    </w:p>
    <w:p w14:paraId="7F442407"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zásob patrí skladovaný materiál a skladovaný tovar a priame náklady na neukončené servisné opravy.</w:t>
      </w:r>
    </w:p>
    <w:p w14:paraId="74271521"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Materiál a tovar sa prvotne oceňujú obstarávacou cenou, ktorú tvorí cena obstarania a náklady súvisiace s obstaraním (prepravné, poistné, provízie, skonto). Úroky z úverov nie sú súčasťou obstarávacej ceny.</w:t>
      </w:r>
    </w:p>
    <w:p w14:paraId="1A62851B"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Nakupované zásoby sa:</w:t>
      </w:r>
    </w:p>
    <w:p w14:paraId="509928DC"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Vyskladňujú váženým aritmetickým priemerom z obstarávaných cien</w:t>
      </w:r>
    </w:p>
    <w:p w14:paraId="1EC167C6"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Úbytok vedľajších nákladov, pripadajúcich na spotrebované zásoby sa určí – úbytok zásob za mesiac*priemerné percento /100</w:t>
      </w:r>
    </w:p>
    <w:p w14:paraId="7CB6E753" w14:textId="77777777" w:rsidR="00114A9E" w:rsidRPr="00114A9E" w:rsidRDefault="00114A9E" w:rsidP="00114A9E">
      <w:pPr>
        <w:tabs>
          <w:tab w:val="left" w:pos="1365"/>
        </w:tabs>
        <w:spacing w:after="200" w:line="276" w:lineRule="auto"/>
        <w:ind w:left="1080"/>
        <w:contextualSpacing/>
        <w:rPr>
          <w:rFonts w:ascii="Calibri" w:eastAsia="Calibri" w:hAnsi="Calibri" w:cs="Times New Roman"/>
          <w:sz w:val="24"/>
          <w:szCs w:val="24"/>
        </w:rPr>
      </w:pPr>
    </w:p>
    <w:p w14:paraId="0FD55789"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Pohľadávky</w:t>
      </w:r>
    </w:p>
    <w:p w14:paraId="068BEA54"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40A95DE6"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s dobou splatnosti od dňa, ktorému sa zostavuje účtovná závierka menej ako 12 mesiacov sú dlhodobé a pohľadávky s dobou splatnosti odo dňa ku ktorému sa zostavuje účtovná závierka menej ako 12 mesiacov sa vykazujú ako krátkodobé.</w:t>
      </w:r>
    </w:p>
    <w:p w14:paraId="3C842209"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Ak je zostatková doba splatnosti pohľadávky dlhšia ako jeden rok, vytvára sa opravná položka, ktorá predstavuje rozdiel medzi menovitou a súčasnou hodnotou pohľadávky.</w:t>
      </w:r>
    </w:p>
    <w:p w14:paraId="341A992C"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7B73080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7079C42"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4A024DF1"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5574F8B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3760FA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Peňažné prostriedky, ekvivalenty peňažných prostriedkov a peňažné ekvivalenty</w:t>
      </w:r>
    </w:p>
    <w:p w14:paraId="6343094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Peňažné prostriedky a ceniny sa oceňujú ich menovitou hodnotou. Zníženie ich hodnoty sa vyjadruje opravnou položkou. 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14:paraId="1DC6D41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6FC22E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Náklady budúcich období a príjmy budúcich období</w:t>
      </w:r>
    </w:p>
    <w:p w14:paraId="0776F4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Náklady budúcich období a príjmy budúcich období sa vykazujú vo výške, ktorá je potrebná na dodržanie zásady vecnej a časovej súvislosti s účtovným obdobím.</w:t>
      </w:r>
    </w:p>
    <w:p w14:paraId="7983133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Rezervy</w:t>
      </w:r>
    </w:p>
    <w:p w14:paraId="34859BF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Rezervy sa vytvárajú, ak má obchodná spoločnosť súčasný zákonný, zmluvný alebo mimozmluvný záväzok, ktorý je dôsledkom minulých udalostí a na základe ktorého pravdepodobne dôjde k úbytku ekonomických úžitkov, a zároveň je možné vykonať spoľahlivý odhad výšky týchto záväzkov. Rezervy sú záväzky s neurčitým časovým vymedzením alebo výškou, tvoria sa na krytie známych rizík alebo strát z podnikania. Oceňujú sa v očakávanej výške záväzku. Rezervy sa oceňujú odhadom v sume dostatočnej na splnenie existujúcej povinnosti ku dňu , ku ktorému sa zostavuje účtovná závierka pri zohľadnení rizík a neistôt.</w:t>
      </w:r>
    </w:p>
    <w:p w14:paraId="04BC60C5"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Záväzky </w:t>
      </w:r>
    </w:p>
    <w:p w14:paraId="49D90E7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70D3E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Odložené dane</w:t>
      </w:r>
    </w:p>
    <w:p w14:paraId="423302ED"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Odložené dane sa vzťahujú na :</w:t>
      </w:r>
    </w:p>
    <w:p w14:paraId="3A04243A"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Dočasné rozdiely medzi účtovnou hodnotou majetku a účtovnou hodnotou záväzkov vykázanou v súvahe a ich daňovou základňou,</w:t>
      </w:r>
    </w:p>
    <w:p w14:paraId="4BEE8EA6"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Možnosť umorovať daňovú stratu v budúcnosti, ktorou sa rozumie možnosť odpočítať daňovú stratu od základu dane v budúcnosti,</w:t>
      </w:r>
    </w:p>
    <w:p w14:paraId="19E35E62"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Možnosť previesť nevyužité daňové odpočty a iné daňové nároky do budúcich období. Odložená daň z príjmov sa účtuje použitím záväzkovej metódy. O odloženej dani z príjmov sa neúčtuje , ak vzniká pri prvotnom zaúčtovaní majetku alebo záväzku v účtovníctve , ak v čase prvotného zaúčtovania nemá </w:t>
      </w:r>
      <w:r w:rsidRPr="00114A9E">
        <w:rPr>
          <w:rFonts w:ascii="Calibri" w:eastAsia="Calibri" w:hAnsi="Calibri" w:cs="Times New Roman"/>
          <w:sz w:val="24"/>
          <w:szCs w:val="24"/>
        </w:rPr>
        <w:lastRenderedPageBreak/>
        <w:t>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 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 Odložené daňové pohľadávky sa účtujú, ak je pravdepodobné, že v budúcnosti bude generovaný zisk, voči ktorému sa budú môcť dočasné rozdiely zrealizovať.</w:t>
      </w:r>
    </w:p>
    <w:p w14:paraId="42A8948B"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p>
    <w:p w14:paraId="5857622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Výdavky budúcich období a výnosy budúcich období</w:t>
      </w:r>
    </w:p>
    <w:p w14:paraId="2B5D3AD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Výdavky budúcich období a výnosy budúcich období sa vykazujú vo výške, ktorá je potrebná na dodržanie zásady vecnej a časovej súvislosti s účtovným obdobím.</w:t>
      </w:r>
    </w:p>
    <w:p w14:paraId="32A778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Cudzia mena</w:t>
      </w:r>
    </w:p>
    <w:p w14:paraId="5DB3FB7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sa ku dňu uskutočnenia účtovného prípadu prepočítavajú a menu euro referenčným výmenným kurzom určeným a vyhláseným Európskou centrálnou bankou alebo Národnou bankou Slovenskej republiky v deň predchádzajúci dňu uskutočnenia účtovného prípadu.</w:t>
      </w:r>
    </w:p>
    <w:p w14:paraId="5CC389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(okrem prijatých a poskytnutých preddavkov)sa ku dňu, ku ktorému sa zostavuje účtovná závierka, prepočítavajú na menu euro referenčným výmenným kurzom určeným a vyhláseným Európskou centrálnou bankou alebo Národnou bankou Slovenska v deň, ku ktorému sa zostavuje účtovná závierka a účtujú sa vplyvom na výsledok hospodárenia.</w:t>
      </w:r>
    </w:p>
    <w:p w14:paraId="547382D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Prijaté a poskytnuté preddavky v cudzej mene sa prepočítavajú a menu euro referenčným výmenným kurzom určeným a vyhláseným Európskou centrálnou bankou alebo Národnou </w:t>
      </w:r>
    </w:p>
    <w:p w14:paraId="6E6EF147"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312B311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bankou Slovenska v deň predchádzajúci dňu uskutočnenia účtovného prípadu. Ku dňu,ku ktorému sa zostavuje účtovná závierka sa na menu euro neprepočítavajú.</w:t>
      </w:r>
    </w:p>
    <w:p w14:paraId="6106582D"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Výnosy </w:t>
      </w:r>
    </w:p>
    <w:p w14:paraId="4B71B1F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Tržba za vlastné výkony a tovar neobsahuje daň z pridanej hodnoty. Sú tiež znížené o zľavy a zrážky (rabaty, bonusy, skontá, dobropisy a pod.)bez ohľadu na to, či zákazník mal vopred nárok, alebo či ide o dodatočne uznanú zľavu.</w:t>
      </w:r>
    </w:p>
    <w:p w14:paraId="63C5B8C8"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Oprava chýb minulých účtovných období</w:t>
      </w:r>
    </w:p>
    <w:p w14:paraId="2E24E40E" w14:textId="2D35F463" w:rsidR="00114A9E" w:rsidRPr="00F0542B" w:rsidRDefault="00F90D5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V roku 20</w:t>
      </w:r>
      <w:r w:rsidR="00887CCA">
        <w:rPr>
          <w:rFonts w:ascii="Calibri" w:eastAsia="Calibri" w:hAnsi="Calibri" w:cs="Times New Roman"/>
          <w:sz w:val="24"/>
          <w:szCs w:val="24"/>
        </w:rPr>
        <w:t>2</w:t>
      </w:r>
      <w:r w:rsidR="00803880">
        <w:rPr>
          <w:rFonts w:ascii="Calibri" w:eastAsia="Calibri" w:hAnsi="Calibri" w:cs="Times New Roman"/>
          <w:sz w:val="24"/>
          <w:szCs w:val="24"/>
        </w:rPr>
        <w:t>4</w:t>
      </w:r>
      <w:r w:rsidR="00114A9E" w:rsidRPr="00114A9E">
        <w:rPr>
          <w:rFonts w:ascii="Calibri" w:eastAsia="Calibri" w:hAnsi="Calibri" w:cs="Times New Roman"/>
          <w:sz w:val="24"/>
          <w:szCs w:val="24"/>
        </w:rPr>
        <w:t xml:space="preserve"> spoločnosť neúčtovala o oprave chýb minulých účtovných období</w:t>
      </w:r>
      <w:r w:rsidR="00F0542B">
        <w:rPr>
          <w:rFonts w:ascii="Calibri" w:eastAsia="Calibri" w:hAnsi="Calibri" w:cs="Times New Roman"/>
          <w:sz w:val="24"/>
          <w:szCs w:val="24"/>
        </w:rPr>
        <w:t>.</w:t>
      </w:r>
    </w:p>
    <w:p w14:paraId="0F71B037"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1781DA6A" w14:textId="0B29DFF5" w:rsidR="00114A9E" w:rsidRPr="00D04594" w:rsidRDefault="00114A9E" w:rsidP="00D04594">
      <w:pPr>
        <w:pStyle w:val="Odsekzoznamu"/>
        <w:numPr>
          <w:ilvl w:val="0"/>
          <w:numId w:val="7"/>
        </w:numPr>
        <w:tabs>
          <w:tab w:val="left" w:pos="1365"/>
        </w:tabs>
        <w:spacing w:after="200" w:line="276" w:lineRule="auto"/>
        <w:rPr>
          <w:rFonts w:ascii="Calibri" w:eastAsia="Calibri" w:hAnsi="Calibri" w:cs="Times New Roman"/>
          <w:b/>
          <w:sz w:val="28"/>
          <w:szCs w:val="28"/>
        </w:rPr>
      </w:pPr>
      <w:r w:rsidRPr="00D04594">
        <w:rPr>
          <w:rFonts w:ascii="Calibri" w:eastAsia="Calibri" w:hAnsi="Calibri" w:cs="Times New Roman"/>
          <w:b/>
          <w:sz w:val="28"/>
          <w:szCs w:val="28"/>
        </w:rPr>
        <w:t>Informácie</w:t>
      </w:r>
      <w:r w:rsidR="00D04594">
        <w:rPr>
          <w:rFonts w:ascii="Calibri" w:eastAsia="Calibri" w:hAnsi="Calibri" w:cs="Times New Roman"/>
          <w:b/>
          <w:sz w:val="28"/>
          <w:szCs w:val="28"/>
        </w:rPr>
        <w:t>, ktoré vysvetľujú a dopĺňajú súvahu a výkaz ziskov a strát.</w:t>
      </w:r>
    </w:p>
    <w:p w14:paraId="6BA4E354" w14:textId="3E10C289" w:rsidR="00114A9E" w:rsidRDefault="00D04594"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Záväzky</w:t>
      </w:r>
    </w:p>
    <w:p w14:paraId="42ED22C4" w14:textId="520B3672" w:rsidR="00D04594" w:rsidRDefault="00D04594"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Spoločnosť eviduje záväzky.</w:t>
      </w:r>
    </w:p>
    <w:p w14:paraId="668BA617" w14:textId="0CEC96C4" w:rsidR="00BE10D0" w:rsidRDefault="00BE10D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K záväzkom Spoločnosť uvádza nasledujúce informácie.</w:t>
      </w:r>
    </w:p>
    <w:p w14:paraId="759212BD" w14:textId="767C6F67" w:rsidR="00BE10D0" w:rsidRDefault="00BE10D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 xml:space="preserve">Krátkodobé záväzky </w:t>
      </w:r>
      <w:r w:rsidR="00565F32">
        <w:rPr>
          <w:rFonts w:ascii="Calibri" w:eastAsia="Calibri" w:hAnsi="Calibri" w:cs="Times New Roman"/>
          <w:sz w:val="24"/>
          <w:szCs w:val="24"/>
        </w:rPr>
        <w:t xml:space="preserve">(v EUR): </w:t>
      </w:r>
      <w:r w:rsidR="006465E1">
        <w:rPr>
          <w:rFonts w:ascii="Calibri" w:eastAsia="Calibri" w:hAnsi="Calibri" w:cs="Times New Roman"/>
          <w:sz w:val="24"/>
          <w:szCs w:val="24"/>
        </w:rPr>
        <w:t>6333</w:t>
      </w:r>
    </w:p>
    <w:p w14:paraId="0BDF2B8A" w14:textId="6B83C560" w:rsidR="00050CB5" w:rsidRDefault="0087746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Pohľadávky</w:t>
      </w:r>
    </w:p>
    <w:p w14:paraId="3137050D" w14:textId="18FD7D8B" w:rsidR="00877460" w:rsidRDefault="0087746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Spoločnosť eviduje pohľadávky.</w:t>
      </w:r>
    </w:p>
    <w:p w14:paraId="799A5C87" w14:textId="0A661C7D" w:rsidR="00877460" w:rsidRDefault="0087746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K pohľadávkam Spoločnosť uvádza nasledujúce informácie.</w:t>
      </w:r>
    </w:p>
    <w:p w14:paraId="1024CF62" w14:textId="1F76C00B" w:rsidR="00877460" w:rsidRDefault="0087746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Krátkodobé pohľadávky (v EUR)</w:t>
      </w:r>
      <w:r w:rsidR="002C0B0E">
        <w:rPr>
          <w:rFonts w:ascii="Calibri" w:eastAsia="Calibri" w:hAnsi="Calibri" w:cs="Times New Roman"/>
          <w:sz w:val="24"/>
          <w:szCs w:val="24"/>
        </w:rPr>
        <w:t xml:space="preserve">: </w:t>
      </w:r>
      <w:r w:rsidR="00FA5D94">
        <w:rPr>
          <w:rFonts w:ascii="Calibri" w:eastAsia="Calibri" w:hAnsi="Calibri" w:cs="Times New Roman"/>
          <w:sz w:val="24"/>
          <w:szCs w:val="24"/>
        </w:rPr>
        <w:t>627</w:t>
      </w:r>
    </w:p>
    <w:p w14:paraId="74E7259D" w14:textId="77777777" w:rsidR="002C0B0E" w:rsidRPr="00114A9E" w:rsidRDefault="002C0B0E" w:rsidP="00114A9E">
      <w:pPr>
        <w:tabs>
          <w:tab w:val="left" w:pos="1365"/>
        </w:tabs>
        <w:spacing w:after="200" w:line="276" w:lineRule="auto"/>
        <w:rPr>
          <w:rFonts w:ascii="Calibri" w:eastAsia="Calibri" w:hAnsi="Calibri" w:cs="Times New Roman"/>
          <w:sz w:val="24"/>
          <w:szCs w:val="24"/>
        </w:rPr>
      </w:pPr>
    </w:p>
    <w:p w14:paraId="2FB211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Najatý majetok </w:t>
      </w:r>
    </w:p>
    <w:p w14:paraId="05273D68" w14:textId="0969A1CD"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p>
    <w:p w14:paraId="4D6B7301" w14:textId="77777777" w:rsidR="00114A9E" w:rsidRPr="00114A9E" w:rsidRDefault="00114A9E" w:rsidP="00D04594">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b/>
          <w:sz w:val="28"/>
          <w:szCs w:val="28"/>
        </w:rPr>
        <w:t>Informácie o skutočnostiach, ktoré nastali po dni, ku ktorému sa zostavuje účtovná závierka do dňa zostavenia účtovnej závierky</w:t>
      </w:r>
    </w:p>
    <w:p w14:paraId="2E27DE5B" w14:textId="77777777" w:rsidR="00114A9E" w:rsidRPr="00114A9E" w:rsidRDefault="00114A9E" w:rsidP="00114A9E">
      <w:pPr>
        <w:tabs>
          <w:tab w:val="left" w:pos="1365"/>
        </w:tabs>
        <w:spacing w:after="200" w:line="276" w:lineRule="auto"/>
        <w:ind w:left="284"/>
        <w:rPr>
          <w:rFonts w:ascii="Calibri" w:eastAsia="Calibri" w:hAnsi="Calibri" w:cs="Times New Roman"/>
          <w:sz w:val="24"/>
          <w:szCs w:val="24"/>
        </w:rPr>
      </w:pPr>
      <w:r w:rsidRPr="00114A9E">
        <w:rPr>
          <w:rFonts w:ascii="Calibri" w:eastAsia="Calibri" w:hAnsi="Calibri" w:cs="Times New Roman"/>
          <w:sz w:val="24"/>
          <w:szCs w:val="24"/>
        </w:rPr>
        <w:t>Do dňa zostavenia účtovnej závierky nevnikli žiadne skutočnosti, ktoré by mali vplyv na finančnú situáciu spoločnosti.</w:t>
      </w:r>
    </w:p>
    <w:p w14:paraId="4A8A1F9A"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2FEB28E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6B8D8E4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3097D12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B40523C"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7D9FAC0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19849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A584BB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285E27E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3F2E13E6"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b/>
          <w:sz w:val="24"/>
          <w:szCs w:val="24"/>
        </w:rPr>
      </w:pPr>
    </w:p>
    <w:p w14:paraId="65BE3ADD"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4DE52818"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p>
    <w:p w14:paraId="6B400B90" w14:textId="77777777" w:rsidR="007414D2" w:rsidRDefault="007414D2"/>
    <w:sectPr w:rsidR="007414D2" w:rsidSect="002C1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59C2"/>
    <w:multiLevelType w:val="hybridMultilevel"/>
    <w:tmpl w:val="00A62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003950"/>
    <w:multiLevelType w:val="hybridMultilevel"/>
    <w:tmpl w:val="2D8010BE"/>
    <w:lvl w:ilvl="0" w:tplc="28628B44">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286E3F17"/>
    <w:multiLevelType w:val="hybridMultilevel"/>
    <w:tmpl w:val="DC2AF69A"/>
    <w:lvl w:ilvl="0" w:tplc="0214FE5C">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3" w15:restartNumberingAfterBreak="0">
    <w:nsid w:val="29AA1533"/>
    <w:multiLevelType w:val="hybridMultilevel"/>
    <w:tmpl w:val="CB94A022"/>
    <w:lvl w:ilvl="0" w:tplc="47864D02">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4" w15:restartNumberingAfterBreak="0">
    <w:nsid w:val="2B575710"/>
    <w:multiLevelType w:val="hybridMultilevel"/>
    <w:tmpl w:val="4D5AEDC6"/>
    <w:lvl w:ilvl="0" w:tplc="65A28D26">
      <w:start w:val="1"/>
      <w:numFmt w:val="decimal"/>
      <w:lvlText w:val="%1."/>
      <w:lvlJc w:val="left"/>
      <w:pPr>
        <w:ind w:left="1275" w:hanging="360"/>
      </w:pPr>
      <w:rPr>
        <w:rFonts w:hint="default"/>
      </w:r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5" w15:restartNumberingAfterBreak="0">
    <w:nsid w:val="2D2A5DEA"/>
    <w:multiLevelType w:val="hybridMultilevel"/>
    <w:tmpl w:val="B2D08094"/>
    <w:lvl w:ilvl="0" w:tplc="981A9AF2">
      <w:start w:val="1"/>
      <w:numFmt w:val="decimal"/>
      <w:lvlText w:val="%1."/>
      <w:lvlJc w:val="left"/>
      <w:pPr>
        <w:ind w:left="1110" w:hanging="360"/>
      </w:pPr>
      <w:rPr>
        <w:rFonts w:hint="default"/>
      </w:rPr>
    </w:lvl>
    <w:lvl w:ilvl="1" w:tplc="041B0019" w:tentative="1">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6" w15:restartNumberingAfterBreak="0">
    <w:nsid w:val="42684F7C"/>
    <w:multiLevelType w:val="hybridMultilevel"/>
    <w:tmpl w:val="1A84C490"/>
    <w:lvl w:ilvl="0" w:tplc="E050DF40">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51D81E5E"/>
    <w:multiLevelType w:val="hybridMultilevel"/>
    <w:tmpl w:val="899CA760"/>
    <w:lvl w:ilvl="0" w:tplc="A148BB2E">
      <w:start w:val="1"/>
      <w:numFmt w:val="upp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C7B6FD5"/>
    <w:multiLevelType w:val="hybridMultilevel"/>
    <w:tmpl w:val="6A0A69C4"/>
    <w:lvl w:ilvl="0" w:tplc="BB82133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4A3744C"/>
    <w:multiLevelType w:val="hybridMultilevel"/>
    <w:tmpl w:val="41B2CF60"/>
    <w:lvl w:ilvl="0" w:tplc="92D454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339960801">
    <w:abstractNumId w:val="7"/>
  </w:num>
  <w:num w:numId="2" w16cid:durableId="1476950736">
    <w:abstractNumId w:val="9"/>
  </w:num>
  <w:num w:numId="3" w16cid:durableId="129714353">
    <w:abstractNumId w:val="4"/>
  </w:num>
  <w:num w:numId="4" w16cid:durableId="853029829">
    <w:abstractNumId w:val="1"/>
  </w:num>
  <w:num w:numId="5" w16cid:durableId="2079358297">
    <w:abstractNumId w:val="6"/>
  </w:num>
  <w:num w:numId="6" w16cid:durableId="1205370739">
    <w:abstractNumId w:val="5"/>
  </w:num>
  <w:num w:numId="7" w16cid:durableId="1085686234">
    <w:abstractNumId w:val="0"/>
  </w:num>
  <w:num w:numId="8" w16cid:durableId="90661933">
    <w:abstractNumId w:val="8"/>
  </w:num>
  <w:num w:numId="9" w16cid:durableId="1466268927">
    <w:abstractNumId w:val="2"/>
  </w:num>
  <w:num w:numId="10" w16cid:durableId="1540437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9E"/>
    <w:rsid w:val="00012B1C"/>
    <w:rsid w:val="000427D8"/>
    <w:rsid w:val="00050CB5"/>
    <w:rsid w:val="00080D90"/>
    <w:rsid w:val="000963C6"/>
    <w:rsid w:val="000A3579"/>
    <w:rsid w:val="000D1721"/>
    <w:rsid w:val="00103DF2"/>
    <w:rsid w:val="00114A9E"/>
    <w:rsid w:val="00171D34"/>
    <w:rsid w:val="001F5B90"/>
    <w:rsid w:val="002818A7"/>
    <w:rsid w:val="002C0B0E"/>
    <w:rsid w:val="002E3D93"/>
    <w:rsid w:val="002F606B"/>
    <w:rsid w:val="003637A3"/>
    <w:rsid w:val="003D5706"/>
    <w:rsid w:val="003E63D4"/>
    <w:rsid w:val="004718E0"/>
    <w:rsid w:val="004B79AC"/>
    <w:rsid w:val="005657FE"/>
    <w:rsid w:val="00565F32"/>
    <w:rsid w:val="00576756"/>
    <w:rsid w:val="006465E1"/>
    <w:rsid w:val="00657AEF"/>
    <w:rsid w:val="00660173"/>
    <w:rsid w:val="006647E9"/>
    <w:rsid w:val="0067324A"/>
    <w:rsid w:val="006B009F"/>
    <w:rsid w:val="007414D2"/>
    <w:rsid w:val="00755B61"/>
    <w:rsid w:val="007A412C"/>
    <w:rsid w:val="00803880"/>
    <w:rsid w:val="00817F84"/>
    <w:rsid w:val="00830C34"/>
    <w:rsid w:val="00877460"/>
    <w:rsid w:val="00887CCA"/>
    <w:rsid w:val="008A669D"/>
    <w:rsid w:val="009009BD"/>
    <w:rsid w:val="0096795B"/>
    <w:rsid w:val="00984399"/>
    <w:rsid w:val="009F62B6"/>
    <w:rsid w:val="00A360E7"/>
    <w:rsid w:val="00AE3C50"/>
    <w:rsid w:val="00B04106"/>
    <w:rsid w:val="00B22870"/>
    <w:rsid w:val="00B25FD8"/>
    <w:rsid w:val="00B41FCE"/>
    <w:rsid w:val="00B64F50"/>
    <w:rsid w:val="00B90F09"/>
    <w:rsid w:val="00BA0106"/>
    <w:rsid w:val="00BA7AAC"/>
    <w:rsid w:val="00BB21E6"/>
    <w:rsid w:val="00BC443C"/>
    <w:rsid w:val="00BE10D0"/>
    <w:rsid w:val="00C35E52"/>
    <w:rsid w:val="00CC5F23"/>
    <w:rsid w:val="00CE29C7"/>
    <w:rsid w:val="00D04594"/>
    <w:rsid w:val="00D07411"/>
    <w:rsid w:val="00D30FBD"/>
    <w:rsid w:val="00D54FD7"/>
    <w:rsid w:val="00D550F5"/>
    <w:rsid w:val="00DB78DF"/>
    <w:rsid w:val="00E821A5"/>
    <w:rsid w:val="00EC6782"/>
    <w:rsid w:val="00F0542B"/>
    <w:rsid w:val="00F234DB"/>
    <w:rsid w:val="00F834F4"/>
    <w:rsid w:val="00F90D50"/>
    <w:rsid w:val="00FA5D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BF68"/>
  <w15:chartTrackingRefBased/>
  <w15:docId w15:val="{8CDDCDD7-024D-4913-81FF-7C8F6D246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14A9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
    <w:name w:val="Table Grid"/>
    <w:basedOn w:val="Normlnatabuka"/>
    <w:uiPriority w:val="39"/>
    <w:rsid w:val="0011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D045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1590</Words>
  <Characters>9063</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Administrátor</dc:creator>
  <cp:keywords/>
  <dc:description/>
  <cp:lastModifiedBy>Bibiána Janšová [GRSsk]</cp:lastModifiedBy>
  <cp:revision>2</cp:revision>
  <cp:lastPrinted>2018-06-26T10:46:00Z</cp:lastPrinted>
  <dcterms:created xsi:type="dcterms:W3CDTF">2025-03-20T13:07:00Z</dcterms:created>
  <dcterms:modified xsi:type="dcterms:W3CDTF">2025-03-20T13:07:00Z</dcterms:modified>
</cp:coreProperties>
</file>