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glossary/document.xml" ContentType="application/vnd.openxmlformats-officedocument.wordprocessingml.document.glossary+xml"/>
  <Override PartName="/word/glossary/endnotes.xml" ContentType="application/vnd.openxmlformats-officedocument.wordprocessingml.endnotes+xml"/>
  <Override PartName="/word/glossary/fontTable.xml" ContentType="application/vnd.openxmlformats-officedocument.wordprocessingml.fontTable+xml"/>
  <Override PartName="/word/glossary/footnotes.xml" ContentType="application/vnd.openxmlformats-officedocument.wordprocessingml.footnotes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78CE68">
      <w:pPr>
        <w:pStyle w:val="17"/>
        <w:ind w:left="426" w:hanging="426"/>
        <w:jc w:val="center"/>
        <w:rPr>
          <w:rFonts w:cs="Arial" w:asciiTheme="majorHAnsi" w:hAnsiTheme="majorHAnsi"/>
          <w:b/>
          <w:sz w:val="24"/>
          <w:szCs w:val="24"/>
        </w:rPr>
      </w:pPr>
    </w:p>
    <w:p w14:paraId="57932327">
      <w:pPr>
        <w:pStyle w:val="17"/>
        <w:ind w:left="426" w:hanging="426"/>
        <w:jc w:val="both"/>
        <w:rPr>
          <w:rFonts w:cs="Arial" w:asciiTheme="majorHAnsi" w:hAnsiTheme="majorHAnsi"/>
          <w:b/>
          <w:sz w:val="24"/>
          <w:szCs w:val="24"/>
        </w:rPr>
      </w:pPr>
    </w:p>
    <w:p w14:paraId="42B871EC">
      <w:pPr>
        <w:pStyle w:val="17"/>
        <w:ind w:left="426" w:hanging="426"/>
        <w:jc w:val="both"/>
        <w:rPr>
          <w:rFonts w:cs="Arial" w:asciiTheme="majorHAnsi" w:hAnsiTheme="majorHAnsi"/>
          <w:b/>
          <w:sz w:val="24"/>
          <w:szCs w:val="24"/>
        </w:rPr>
      </w:pPr>
      <w:r>
        <w:rPr>
          <w:rFonts w:cs="Arial" w:asciiTheme="majorHAnsi" w:hAnsiTheme="majorHAnsi"/>
          <w:b/>
          <w:sz w:val="24"/>
          <w:szCs w:val="24"/>
        </w:rPr>
        <w:t>Článok I - Všeobecné informácie</w:t>
      </w:r>
    </w:p>
    <w:p w14:paraId="38F75402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  <w:r>
        <w:rPr>
          <w:rFonts w:ascii="Cambria" w:hAnsi="Cambria" w:cs="Arial"/>
          <w:b/>
        </w:rPr>
        <w:t>I.1</w:t>
      </w:r>
      <w:r>
        <w:rPr>
          <w:rFonts w:ascii="Cambria" w:hAnsi="Cambria" w:cs="Arial"/>
          <w:b/>
        </w:rPr>
        <w:tab/>
      </w:r>
      <w:r>
        <w:rPr>
          <w:rFonts w:ascii="Cambria" w:hAnsi="Cambria" w:cs="Arial"/>
          <w:b/>
        </w:rPr>
        <w:t>Obchodné meno účtovnej jednotky:  Lesy Alfa s.r.o..</w:t>
      </w:r>
    </w:p>
    <w:p w14:paraId="035EB270">
      <w:pPr>
        <w:spacing w:after="0" w:line="240" w:lineRule="auto"/>
        <w:ind w:left="426" w:hanging="426"/>
        <w:jc w:val="both"/>
        <w:rPr>
          <w:rFonts w:ascii="Cambria" w:hAnsi="Cambria" w:cs="Arial"/>
          <w:i/>
        </w:rPr>
      </w:pPr>
      <w:r>
        <w:rPr>
          <w:rFonts w:ascii="Cambria" w:hAnsi="Cambria" w:cs="Arial"/>
          <w:b/>
        </w:rPr>
        <w:t xml:space="preserve">         </w:t>
      </w:r>
    </w:p>
    <w:p w14:paraId="62F020C4">
      <w:pPr>
        <w:spacing w:after="0" w:line="240" w:lineRule="auto"/>
        <w:ind w:left="426" w:hanging="426"/>
        <w:jc w:val="both"/>
        <w:rPr>
          <w:rFonts w:ascii="Cambria" w:hAnsi="Cambria" w:cs="Arial"/>
        </w:rPr>
      </w:pPr>
      <w:r>
        <w:rPr>
          <w:rFonts w:ascii="Cambria" w:hAnsi="Cambria" w:cs="Arial"/>
          <w:b/>
        </w:rPr>
        <w:tab/>
      </w:r>
      <w:r>
        <w:rPr>
          <w:rFonts w:ascii="Cambria" w:hAnsi="Cambria" w:cs="Arial"/>
          <w:b/>
        </w:rPr>
        <w:t>Sídlo účtovnej jednotky</w:t>
      </w:r>
      <w:r>
        <w:rPr>
          <w:rFonts w:ascii="Cambria" w:hAnsi="Cambria" w:cs="Arial"/>
        </w:rPr>
        <w:t>: Tomášikova 23/C , 821 01 , Bratislava</w:t>
      </w:r>
    </w:p>
    <w:p w14:paraId="3125F43E">
      <w:pPr>
        <w:spacing w:after="0" w:line="240" w:lineRule="auto"/>
        <w:ind w:left="426" w:hanging="426"/>
        <w:jc w:val="both"/>
        <w:rPr>
          <w:rFonts w:ascii="Cambria" w:hAnsi="Cambria" w:cs="Arial"/>
          <w:i/>
        </w:rPr>
      </w:pPr>
      <w:r>
        <w:rPr>
          <w:rFonts w:ascii="Cambria" w:hAnsi="Cambria" w:cs="Arial"/>
          <w:i/>
        </w:rPr>
        <w:t xml:space="preserve">         </w:t>
      </w:r>
    </w:p>
    <w:p w14:paraId="1817BDBA">
      <w:pPr>
        <w:spacing w:after="0" w:line="240" w:lineRule="auto"/>
        <w:ind w:left="426" w:hanging="426"/>
        <w:jc w:val="both"/>
        <w:rPr>
          <w:rFonts w:ascii="Cambria" w:hAnsi="Cambria" w:cs="Arial"/>
        </w:rPr>
      </w:pPr>
      <w:r>
        <w:rPr>
          <w:rFonts w:ascii="Cambria" w:hAnsi="Cambria" w:cs="Arial"/>
          <w:b/>
        </w:rPr>
        <w:tab/>
      </w:r>
      <w:r>
        <w:rPr>
          <w:rFonts w:ascii="Cambria" w:hAnsi="Cambria" w:cs="Arial"/>
          <w:b/>
        </w:rPr>
        <w:t xml:space="preserve">Opis hospodárskej činnosti účtovnej jednotky: </w:t>
      </w:r>
      <w:r>
        <w:rPr>
          <w:rFonts w:ascii="Cambria" w:hAnsi="Cambria" w:cs="Arial"/>
        </w:rPr>
        <w:t xml:space="preserve">Medzinárodný obchod s drevom </w:t>
      </w:r>
    </w:p>
    <w:p w14:paraId="61D63BD2">
      <w:pPr>
        <w:spacing w:after="0"/>
        <w:ind w:left="426" w:hanging="426"/>
        <w:jc w:val="both"/>
        <w:rPr>
          <w:rFonts w:ascii="Cambria" w:hAnsi="Cambria" w:cs="Arial"/>
          <w:b/>
          <w:sz w:val="20"/>
          <w:szCs w:val="20"/>
        </w:rPr>
      </w:pPr>
    </w:p>
    <w:p w14:paraId="72C1CA6B">
      <w:pPr>
        <w:spacing w:after="0" w:line="240" w:lineRule="auto"/>
        <w:jc w:val="both"/>
        <w:rPr>
          <w:rFonts w:ascii="Cambria" w:hAnsi="Cambria" w:cs="Arial"/>
          <w:b/>
          <w:sz w:val="20"/>
          <w:szCs w:val="20"/>
        </w:rPr>
      </w:pPr>
    </w:p>
    <w:p w14:paraId="0F7F50A1">
      <w:pPr>
        <w:spacing w:after="0" w:line="240" w:lineRule="auto"/>
        <w:ind w:left="426" w:hanging="426"/>
        <w:jc w:val="both"/>
        <w:rPr>
          <w:rFonts w:ascii="Cambria" w:hAnsi="Cambria" w:cs="Arial"/>
          <w:b/>
          <w:sz w:val="20"/>
          <w:szCs w:val="20"/>
        </w:rPr>
      </w:pPr>
    </w:p>
    <w:p w14:paraId="2244D761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  <w:r>
        <w:rPr>
          <w:rFonts w:ascii="Cambria" w:hAnsi="Cambria" w:cs="Arial"/>
          <w:b/>
        </w:rPr>
        <w:t>I.2</w:t>
      </w:r>
      <w:r>
        <w:rPr>
          <w:rFonts w:ascii="Cambria" w:hAnsi="Cambria" w:cs="Arial"/>
          <w:b/>
        </w:rPr>
        <w:tab/>
      </w:r>
      <w:r>
        <w:rPr>
          <w:rFonts w:ascii="Cambria" w:hAnsi="Cambria" w:cs="Arial"/>
          <w:b/>
        </w:rPr>
        <w:t>Dátum schválenia účtovnej závierky za bezprostredne predchádzajúce účtovné obdobie:</w:t>
      </w:r>
    </w:p>
    <w:p w14:paraId="46076221">
      <w:pPr>
        <w:spacing w:after="0" w:line="240" w:lineRule="auto"/>
        <w:ind w:left="426" w:hanging="426"/>
        <w:jc w:val="both"/>
        <w:rPr>
          <w:rFonts w:ascii="Cambria" w:hAnsi="Cambria" w:cs="Arial"/>
          <w:b/>
          <w:sz w:val="20"/>
          <w:szCs w:val="20"/>
        </w:rPr>
      </w:pPr>
    </w:p>
    <w:p w14:paraId="244C672E">
      <w:pPr>
        <w:spacing w:after="0" w:line="240" w:lineRule="auto"/>
        <w:ind w:left="426" w:hanging="426"/>
        <w:jc w:val="both"/>
        <w:rPr>
          <w:rFonts w:ascii="Cambria" w:hAnsi="Cambria" w:cs="Arial"/>
          <w:sz w:val="20"/>
          <w:szCs w:val="20"/>
        </w:rPr>
      </w:pPr>
      <w:r>
        <w:rPr>
          <w:rFonts w:ascii="Cambria" w:hAnsi="Cambria" w:cs="Arial"/>
          <w:sz w:val="20"/>
          <w:szCs w:val="20"/>
        </w:rPr>
        <w:t>Účtovná závierka spoločnosti bola schválená valným zhromaždením dňa  30.06.2024</w:t>
      </w:r>
    </w:p>
    <w:p w14:paraId="221F055D">
      <w:pPr>
        <w:spacing w:after="0" w:line="240" w:lineRule="auto"/>
        <w:ind w:left="426" w:hanging="426"/>
        <w:jc w:val="both"/>
        <w:rPr>
          <w:rFonts w:ascii="Cambria" w:hAnsi="Cambria" w:cs="Arial"/>
          <w:b/>
          <w:sz w:val="20"/>
          <w:szCs w:val="20"/>
        </w:rPr>
      </w:pPr>
    </w:p>
    <w:p w14:paraId="1B1D765D">
      <w:pPr>
        <w:spacing w:after="0" w:line="240" w:lineRule="auto"/>
        <w:jc w:val="both"/>
        <w:rPr>
          <w:rFonts w:ascii="Cambria" w:hAnsi="Cambria" w:cs="Arial"/>
          <w:b/>
          <w:sz w:val="20"/>
          <w:szCs w:val="20"/>
        </w:rPr>
      </w:pPr>
    </w:p>
    <w:p w14:paraId="54527C64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  <w:r>
        <w:rPr>
          <w:rFonts w:ascii="Cambria" w:hAnsi="Cambria" w:cs="Arial"/>
          <w:b/>
        </w:rPr>
        <w:t>I.3</w:t>
      </w:r>
      <w:r>
        <w:rPr>
          <w:rFonts w:ascii="Cambria" w:hAnsi="Cambria" w:cs="Arial"/>
          <w:b/>
        </w:rPr>
        <w:tab/>
      </w:r>
      <w:r>
        <w:rPr>
          <w:rFonts w:ascii="Cambria" w:hAnsi="Cambria" w:cs="Arial"/>
          <w:b/>
        </w:rPr>
        <w:t xml:space="preserve">Právny dôvod na zostavenie účtovnej závierky: </w:t>
      </w:r>
      <w:sdt>
        <w:sdtPr>
          <w:rPr>
            <w:rFonts w:ascii="Cambria" w:hAnsi="Cambria" w:cs="Arial"/>
            <w:b/>
            <w:color w:val="00B050"/>
          </w:rPr>
          <w:alias w:val="typ uzávierky"/>
          <w:tag w:val="vyberte"/>
          <w:id w:val="-957561797"/>
          <w:placeholder>
            <w:docPart w:val="2326857E561C487F8E25A83BAB96C947"/>
          </w:placeholder>
          <w:dropDownList>
            <w:listItem w:displayText="vyberte" w:value="vyberte"/>
            <w:listItem w:displayText="riadna" w:value="riadna"/>
            <w:listItem w:displayText="mimoriadna" w:value="mimoriadna"/>
          </w:dropDownList>
        </w:sdtPr>
        <w:sdtEndPr>
          <w:rPr>
            <w:rFonts w:ascii="Cambria" w:hAnsi="Cambria" w:cs="Arial"/>
            <w:b/>
            <w:color w:val="00B050"/>
          </w:rPr>
        </w:sdtEndPr>
        <w:sdtContent>
          <w:r>
            <w:rPr>
              <w:rFonts w:ascii="Cambria" w:hAnsi="Cambria" w:cs="Arial"/>
              <w:b/>
              <w:color w:val="00B050"/>
            </w:rPr>
            <w:t>riadna</w:t>
          </w:r>
          <w:bookmarkStart w:id="1" w:name="_GoBack"/>
        </w:sdtContent>
      </w:sdt>
    </w:p>
    <w:bookmarkEnd w:id="1"/>
    <w:p w14:paraId="7B7AE16A">
      <w:pPr>
        <w:pStyle w:val="17"/>
        <w:spacing w:after="0" w:line="240" w:lineRule="auto"/>
        <w:ind w:left="426" w:hanging="426"/>
        <w:jc w:val="both"/>
        <w:rPr>
          <w:rFonts w:ascii="Cambria" w:hAnsi="Cambria" w:cs="Arial"/>
          <w:b/>
          <w:sz w:val="20"/>
          <w:szCs w:val="20"/>
        </w:rPr>
      </w:pPr>
    </w:p>
    <w:p w14:paraId="34269E96">
      <w:pPr>
        <w:spacing w:after="0" w:line="240" w:lineRule="auto"/>
        <w:jc w:val="both"/>
        <w:rPr>
          <w:rFonts w:ascii="Cambria" w:hAnsi="Cambria" w:cs="Arial"/>
          <w:sz w:val="20"/>
          <w:szCs w:val="20"/>
        </w:rPr>
      </w:pPr>
      <w:r>
        <w:rPr>
          <w:rFonts w:ascii="Cambria" w:hAnsi="Cambria" w:cs="Arial"/>
          <w:sz w:val="20"/>
          <w:szCs w:val="20"/>
        </w:rPr>
        <w:t>Účtovná závierka Spoločnosti k </w:t>
      </w:r>
      <w:r>
        <w:rPr>
          <w:rFonts w:hint="default" w:ascii="Cambria" w:hAnsi="Cambria" w:cs="Arial"/>
          <w:sz w:val="20"/>
          <w:szCs w:val="20"/>
          <w:lang w:val="sk-SK"/>
        </w:rPr>
        <w:t>31.12.2024</w:t>
      </w:r>
      <w:r>
        <w:rPr>
          <w:rFonts w:ascii="Cambria" w:hAnsi="Cambria" w:cs="Arial"/>
          <w:sz w:val="20"/>
          <w:szCs w:val="20"/>
        </w:rPr>
        <w:t xml:space="preserve"> je zostavená ako riadna účtovná závierka podľa § 17 ods. 6 zákona č. 431/2002 Z. z. o účtovníctve v platnom znení (ďalej „zákon o účtovníctve“) za účtovné obdobie od 01.01.2024 do </w:t>
      </w:r>
      <w:r>
        <w:rPr>
          <w:rFonts w:hint="default" w:ascii="Cambria" w:hAnsi="Cambria" w:cs="Arial"/>
          <w:sz w:val="20"/>
          <w:szCs w:val="20"/>
          <w:lang w:val="sk-SK"/>
        </w:rPr>
        <w:t>31</w:t>
      </w:r>
      <w:r>
        <w:rPr>
          <w:rFonts w:ascii="Cambria" w:hAnsi="Cambria" w:cs="Arial"/>
          <w:sz w:val="20"/>
          <w:szCs w:val="20"/>
        </w:rPr>
        <w:t xml:space="preserve">.12.2024. </w:t>
      </w:r>
    </w:p>
    <w:p w14:paraId="489EBCBB">
      <w:pPr>
        <w:spacing w:after="0" w:line="240" w:lineRule="auto"/>
        <w:jc w:val="both"/>
        <w:rPr>
          <w:rFonts w:ascii="Cambria" w:hAnsi="Cambria" w:cs="Arial"/>
          <w:sz w:val="20"/>
          <w:szCs w:val="20"/>
        </w:rPr>
      </w:pPr>
      <w:r>
        <w:rPr>
          <w:rFonts w:ascii="Cambria" w:hAnsi="Cambria" w:cs="Arial"/>
          <w:sz w:val="20"/>
          <w:szCs w:val="20"/>
        </w:rPr>
        <w:t>Účtovná závierka je určená pre používateľov, ktorí majú primerané znalosti o obchodných a ekonomických činnostiach a účtovníctve a ktorí analyzujú tieto informácie s primeranou pozornosťou. Účtovná závierka neposkytuje a ani nemôže poskytovať všetky informácie, ktoré by existujúci a potencionálni investori, poskytovatelia úverov a pôžičiek a iní veritelia, mohli potrebovať. Títo používatelia musia relevantné informácie získať z iných zdrojov.</w:t>
      </w:r>
    </w:p>
    <w:p w14:paraId="0CBB1C6A">
      <w:pPr>
        <w:spacing w:after="0" w:line="240" w:lineRule="auto"/>
        <w:jc w:val="both"/>
        <w:rPr>
          <w:rFonts w:ascii="Cambria" w:hAnsi="Cambria" w:cs="Arial"/>
          <w:sz w:val="20"/>
          <w:szCs w:val="20"/>
        </w:rPr>
      </w:pPr>
    </w:p>
    <w:p w14:paraId="013DD71E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</w:p>
    <w:p w14:paraId="3C724DC0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  <w:r>
        <w:rPr>
          <w:rFonts w:ascii="Cambria" w:hAnsi="Cambria" w:cs="Arial"/>
          <w:b/>
        </w:rPr>
        <w:t>I.4</w:t>
      </w:r>
      <w:r>
        <w:rPr>
          <w:rFonts w:ascii="Cambria" w:hAnsi="Cambria" w:cs="Arial"/>
          <w:b/>
        </w:rPr>
        <w:tab/>
      </w:r>
      <w:r>
        <w:rPr>
          <w:rFonts w:ascii="Cambria" w:hAnsi="Cambria" w:cs="Arial"/>
          <w:b/>
        </w:rPr>
        <w:t>Informácie o skupine účtovných jednotiek, ak je účtovná jednotka jej súčasťou:</w:t>
      </w:r>
    </w:p>
    <w:p w14:paraId="081D8CE8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</w:p>
    <w:p w14:paraId="70B34A2A">
      <w:pPr>
        <w:spacing w:after="0"/>
        <w:ind w:left="852" w:hanging="426"/>
        <w:jc w:val="both"/>
        <w:rPr>
          <w:rFonts w:ascii="Cambria" w:hAnsi="Cambria" w:cs="Arial"/>
          <w:sz w:val="20"/>
          <w:szCs w:val="20"/>
        </w:rPr>
      </w:pPr>
      <w:r>
        <w:rPr>
          <w:rFonts w:ascii="Cambria" w:hAnsi="Cambria" w:cs="Arial"/>
          <w:sz w:val="20"/>
          <w:szCs w:val="20"/>
        </w:rPr>
        <w:t>Účtovná jednotka nezostavuje konsolidovanú účtovnú závierku .</w:t>
      </w:r>
    </w:p>
    <w:p w14:paraId="29311BB4">
      <w:pPr>
        <w:spacing w:after="0"/>
        <w:jc w:val="both"/>
        <w:rPr>
          <w:rFonts w:ascii="Cambria" w:hAnsi="Cambria" w:cs="Arial"/>
          <w:b/>
          <w:sz w:val="20"/>
          <w:szCs w:val="20"/>
        </w:rPr>
      </w:pPr>
    </w:p>
    <w:p w14:paraId="5C009856">
      <w:pPr>
        <w:spacing w:after="0"/>
        <w:jc w:val="both"/>
        <w:rPr>
          <w:rFonts w:ascii="Cambria" w:hAnsi="Cambria" w:cs="Arial"/>
          <w:b/>
          <w:sz w:val="20"/>
          <w:szCs w:val="20"/>
        </w:rPr>
      </w:pPr>
      <w:r>
        <w:rPr>
          <w:rFonts w:ascii="Cambria" w:hAnsi="Cambria" w:cs="Arial"/>
          <w:b/>
          <w:sz w:val="20"/>
          <w:szCs w:val="20"/>
        </w:rPr>
        <w:t xml:space="preserve">a)    </w:t>
      </w:r>
      <w:r>
        <w:rPr>
          <w:rFonts w:ascii="Cambria" w:hAnsi="Cambria" w:cs="Arial"/>
          <w:sz w:val="20"/>
          <w:szCs w:val="20"/>
        </w:rPr>
        <w:t>A.</w:t>
      </w:r>
      <w:r>
        <w:rPr>
          <w:rFonts w:ascii="Cambria" w:hAnsi="Cambria" w:cs="Arial"/>
          <w:b/>
          <w:sz w:val="20"/>
          <w:szCs w:val="20"/>
        </w:rPr>
        <w:t xml:space="preserve">    </w:t>
      </w:r>
      <w:r>
        <w:rPr>
          <w:rFonts w:ascii="Cambria" w:hAnsi="Cambria" w:cs="Arial"/>
          <w:sz w:val="20"/>
          <w:szCs w:val="20"/>
        </w:rPr>
        <w:t xml:space="preserve">je </w:t>
      </w:r>
      <w:r>
        <w:rPr>
          <w:rFonts w:ascii="Cambria" w:hAnsi="Cambria" w:cs="Arial"/>
          <w:b/>
          <w:sz w:val="20"/>
          <w:szCs w:val="20"/>
        </w:rPr>
        <w:t xml:space="preserve"> </w:t>
      </w:r>
      <w:r>
        <w:rPr>
          <w:rFonts w:ascii="Cambria" w:hAnsi="Cambria" w:cs="Arial"/>
          <w:sz w:val="20"/>
          <w:szCs w:val="20"/>
        </w:rPr>
        <w:t>účtovná jednotka  materskou účtovnou jednotkou</w:t>
      </w:r>
      <w:r>
        <w:rPr>
          <w:rFonts w:ascii="Cambria" w:hAnsi="Cambria" w:cs="Arial"/>
          <w:b/>
          <w:sz w:val="20"/>
          <w:szCs w:val="20"/>
        </w:rPr>
        <w:t xml:space="preserve">: </w:t>
      </w:r>
      <w:sdt>
        <w:sdtPr>
          <w:rPr>
            <w:rFonts w:ascii="Cambria" w:hAnsi="Cambria" w:cs="Arial"/>
            <w:b/>
            <w:color w:val="00B050"/>
            <w:sz w:val="20"/>
            <w:szCs w:val="20"/>
          </w:rPr>
          <w:alias w:val="materská účtovná jednotka"/>
          <w:tag w:val="vyberte"/>
          <w:id w:val="-567502204"/>
          <w:placeholder>
            <w:docPart w:val="198FBDE9E43141EE9139A7617DB0534D"/>
          </w:placeholder>
          <w:dropDownList>
            <w:listItem w:displayText="vyberte" w:value="vyberte"/>
            <w:listItem w:displayText="áno" w:value="áno"/>
            <w:listItem w:displayText="nie" w:value="nie"/>
          </w:dropDownList>
        </w:sdtPr>
        <w:sdtEndPr>
          <w:rPr>
            <w:rFonts w:ascii="Cambria" w:hAnsi="Cambria" w:cs="Arial"/>
            <w:b/>
            <w:color w:val="00B050"/>
            <w:sz w:val="20"/>
            <w:szCs w:val="20"/>
          </w:rPr>
        </w:sdtEndPr>
        <w:sdtContent>
          <w:r>
            <w:rPr>
              <w:rFonts w:ascii="Cambria" w:hAnsi="Cambria" w:cs="Arial"/>
              <w:b/>
              <w:color w:val="00B050"/>
              <w:sz w:val="20"/>
              <w:szCs w:val="20"/>
            </w:rPr>
            <w:t>nie</w:t>
          </w:r>
        </w:sdtContent>
      </w:sdt>
    </w:p>
    <w:p w14:paraId="1DE1142E">
      <w:pPr>
        <w:pStyle w:val="17"/>
        <w:numPr>
          <w:ilvl w:val="0"/>
          <w:numId w:val="1"/>
        </w:numPr>
        <w:spacing w:after="0" w:line="240" w:lineRule="auto"/>
        <w:jc w:val="both"/>
        <w:rPr>
          <w:rFonts w:cs="Arial" w:asciiTheme="majorHAnsi" w:hAnsiTheme="majorHAnsi"/>
          <w:sz w:val="20"/>
          <w:szCs w:val="20"/>
        </w:rPr>
      </w:pPr>
      <w:r>
        <w:rPr>
          <w:rFonts w:ascii="Cambria" w:hAnsi="Cambria" w:cs="Arial"/>
          <w:sz w:val="20"/>
          <w:szCs w:val="20"/>
        </w:rPr>
        <w:t xml:space="preserve">je materská účtovná jednotka oslobodená od povinnosti zostaviť konsolidovanú účtovnú závierku a </w:t>
      </w:r>
      <w:r>
        <w:rPr>
          <w:rFonts w:cs="Arial" w:asciiTheme="majorHAnsi" w:hAnsiTheme="majorHAnsi"/>
          <w:sz w:val="20"/>
          <w:szCs w:val="20"/>
        </w:rPr>
        <w:t>konsolidovanú výročnú správu podľa § 22 zákona o účtovníctve a to:</w:t>
      </w:r>
    </w:p>
    <w:p w14:paraId="5ECFE2A1">
      <w:pPr>
        <w:pStyle w:val="17"/>
        <w:spacing w:after="0" w:line="240" w:lineRule="auto"/>
        <w:ind w:left="851"/>
        <w:jc w:val="both"/>
        <w:rPr>
          <w:rFonts w:cs="Arial" w:asciiTheme="majorHAnsi" w:hAnsiTheme="majorHAnsi"/>
          <w:sz w:val="20"/>
          <w:szCs w:val="20"/>
        </w:rPr>
      </w:pPr>
    </w:p>
    <w:p w14:paraId="683623FC">
      <w:pPr>
        <w:pStyle w:val="23"/>
        <w:ind w:left="426"/>
        <w:jc w:val="both"/>
        <w:rPr>
          <w:rFonts w:cs="Arial" w:asciiTheme="majorHAnsi" w:hAnsiTheme="majorHAnsi"/>
          <w:sz w:val="20"/>
          <w:szCs w:val="20"/>
        </w:rPr>
      </w:pPr>
      <w:sdt>
        <w:sdtPr>
          <w:rPr>
            <w:rFonts w:eastAsia="MS Gothic" w:cs="Arial" w:asciiTheme="majorHAnsi" w:hAnsiTheme="majorHAnsi"/>
            <w:b/>
            <w:sz w:val="20"/>
            <w:szCs w:val="20"/>
          </w:rPr>
          <w:id w:val="-1185972584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Fonts w:eastAsia="MS Gothic" w:cs="Arial" w:asciiTheme="majorHAnsi" w:hAnsiTheme="majorHAnsi"/>
            <w:b/>
            <w:sz w:val="20"/>
            <w:szCs w:val="20"/>
          </w:rPr>
        </w:sdtEndPr>
        <w:sdtContent>
          <w:r>
            <w:rPr>
              <w:rFonts w:hint="eastAsia" w:ascii="MS Gothic" w:hAnsi="MS Gothic" w:eastAsia="MS Gothic" w:cs="Arial"/>
              <w:b/>
              <w:sz w:val="20"/>
              <w:szCs w:val="20"/>
            </w:rPr>
            <w:t>☐</w:t>
          </w:r>
        </w:sdtContent>
      </w:sdt>
      <w:r>
        <w:rPr>
          <w:rFonts w:cs="Arial" w:asciiTheme="majorHAnsi" w:hAnsiTheme="majorHAnsi"/>
          <w:b/>
          <w:sz w:val="20"/>
          <w:szCs w:val="20"/>
        </w:rPr>
        <w:tab/>
      </w:r>
      <w:r>
        <w:rPr>
          <w:rFonts w:cs="Arial" w:asciiTheme="majorHAnsi" w:hAnsiTheme="majorHAnsi"/>
          <w:sz w:val="20"/>
          <w:szCs w:val="20"/>
        </w:rPr>
        <w:t>v zmysle § 22 ods. 8 ZoÚ (oslobodenie od konsolidácie na medzistupni):</w:t>
      </w:r>
    </w:p>
    <w:p w14:paraId="000F712A">
      <w:pPr>
        <w:spacing w:after="0" w:line="240" w:lineRule="auto"/>
        <w:ind w:left="426" w:hanging="426"/>
        <w:jc w:val="both"/>
        <w:rPr>
          <w:rFonts w:ascii="Cambria" w:hAnsi="Cambria" w:cs="Arial"/>
        </w:rPr>
      </w:pPr>
    </w:p>
    <w:p w14:paraId="6B74F9F9">
      <w:pPr>
        <w:spacing w:after="0" w:line="240" w:lineRule="auto"/>
        <w:ind w:left="426"/>
        <w:jc w:val="both"/>
        <w:rPr>
          <w:rFonts w:ascii="Cambria" w:hAnsi="Cambria" w:cs="Arial"/>
          <w:sz w:val="20"/>
          <w:szCs w:val="20"/>
        </w:rPr>
      </w:pPr>
      <w:r>
        <w:rPr>
          <w:rFonts w:ascii="Cambria" w:hAnsi="Cambria" w:cs="Arial"/>
          <w:sz w:val="20"/>
          <w:szCs w:val="20"/>
        </w:rPr>
        <w:t>Údaje o materskej účtovnej jednotke zostavujúcej konsolidovanú účtovnú závierku podľa IFRS EÚ, do ktorej je zahrňovaná účtovná jednotka a všetky jej dcérske účtovné jednotky:</w:t>
      </w:r>
    </w:p>
    <w:p w14:paraId="01A6BBA0">
      <w:pPr>
        <w:spacing w:after="0" w:line="240" w:lineRule="auto"/>
        <w:ind w:left="426" w:hanging="426"/>
        <w:jc w:val="both"/>
        <w:rPr>
          <w:rFonts w:ascii="Cambria" w:hAnsi="Cambria" w:cs="Arial"/>
          <w:sz w:val="20"/>
          <w:szCs w:val="20"/>
        </w:rPr>
      </w:pPr>
    </w:p>
    <w:p w14:paraId="7478951B">
      <w:pPr>
        <w:spacing w:after="0"/>
        <w:ind w:left="852" w:hanging="426"/>
        <w:jc w:val="both"/>
        <w:rPr>
          <w:rFonts w:ascii="Cambria" w:hAnsi="Cambria" w:cs="Arial"/>
          <w:b/>
          <w:sz w:val="20"/>
          <w:szCs w:val="20"/>
        </w:rPr>
      </w:pPr>
      <w:r>
        <w:rPr>
          <w:rFonts w:ascii="Cambria" w:hAnsi="Cambria" w:cs="Arial"/>
          <w:b/>
          <w:sz w:val="20"/>
          <w:szCs w:val="20"/>
        </w:rPr>
        <w:t xml:space="preserve">Obchodné meno: </w:t>
      </w:r>
      <w:r>
        <w:rPr>
          <w:rFonts w:ascii="Cambria" w:hAnsi="Cambria" w:cs="Arial"/>
          <w:b/>
          <w:sz w:val="20"/>
          <w:szCs w:val="20"/>
        </w:rPr>
        <w:fldChar w:fldCharType="begin">
          <w:ffData>
            <w:name w:val="Text5"/>
            <w:enabled/>
            <w:calcOnExit w:val="0"/>
            <w:textInput/>
          </w:ffData>
        </w:fldChar>
      </w:r>
      <w:r>
        <w:rPr>
          <w:rFonts w:ascii="Cambria" w:hAnsi="Cambria" w:cs="Arial"/>
          <w:b/>
          <w:sz w:val="20"/>
          <w:szCs w:val="20"/>
        </w:rPr>
        <w:instrText xml:space="preserve"> FORMTEXT </w:instrText>
      </w:r>
      <w:r>
        <w:rPr>
          <w:rFonts w:ascii="Cambria" w:hAnsi="Cambria" w:cs="Arial"/>
          <w:b/>
          <w:sz w:val="20"/>
          <w:szCs w:val="20"/>
        </w:rPr>
        <w:fldChar w:fldCharType="separate"/>
      </w:r>
      <w:r>
        <w:rPr>
          <w:rFonts w:ascii="Cambria" w:hAnsi="Cambria" w:cs="Arial"/>
          <w:b/>
          <w:sz w:val="20"/>
          <w:szCs w:val="20"/>
        </w:rPr>
        <w:t>     </w:t>
      </w:r>
      <w:r>
        <w:rPr>
          <w:rFonts w:ascii="Cambria" w:hAnsi="Cambria" w:cs="Arial"/>
          <w:b/>
          <w:sz w:val="20"/>
          <w:szCs w:val="20"/>
        </w:rPr>
        <w:fldChar w:fldCharType="end"/>
      </w:r>
    </w:p>
    <w:p w14:paraId="50FD1E8D">
      <w:pPr>
        <w:spacing w:after="0"/>
        <w:ind w:left="852" w:hanging="426"/>
        <w:jc w:val="both"/>
        <w:rPr>
          <w:rFonts w:ascii="Cambria" w:hAnsi="Cambria" w:cs="Arial"/>
          <w:b/>
          <w:sz w:val="20"/>
          <w:szCs w:val="20"/>
        </w:rPr>
      </w:pPr>
      <w:r>
        <w:rPr>
          <w:rFonts w:ascii="Cambria" w:hAnsi="Cambria" w:cs="Arial"/>
          <w:b/>
          <w:sz w:val="20"/>
          <w:szCs w:val="20"/>
        </w:rPr>
        <w:t xml:space="preserve">Sídlo: </w:t>
      </w:r>
      <w:r>
        <w:rPr>
          <w:rFonts w:ascii="Cambria" w:hAnsi="Cambria" w:cs="Arial"/>
          <w:b/>
          <w:sz w:val="20"/>
          <w:szCs w:val="20"/>
        </w:rPr>
        <w:fldChar w:fldCharType="begin">
          <w:ffData>
            <w:name w:val="Text6"/>
            <w:enabled/>
            <w:calcOnExit w:val="0"/>
            <w:textInput/>
          </w:ffData>
        </w:fldChar>
      </w:r>
      <w:r>
        <w:rPr>
          <w:rFonts w:ascii="Cambria" w:hAnsi="Cambria" w:cs="Arial"/>
          <w:b/>
          <w:sz w:val="20"/>
          <w:szCs w:val="20"/>
        </w:rPr>
        <w:instrText xml:space="preserve"> FORMTEXT </w:instrText>
      </w:r>
      <w:r>
        <w:rPr>
          <w:rFonts w:ascii="Cambria" w:hAnsi="Cambria" w:cs="Arial"/>
          <w:b/>
          <w:sz w:val="20"/>
          <w:szCs w:val="20"/>
        </w:rPr>
        <w:fldChar w:fldCharType="separate"/>
      </w:r>
      <w:r>
        <w:rPr>
          <w:rFonts w:ascii="Cambria" w:hAnsi="Cambria" w:cs="Arial"/>
          <w:b/>
          <w:sz w:val="20"/>
          <w:szCs w:val="20"/>
        </w:rPr>
        <w:t>     </w:t>
      </w:r>
      <w:r>
        <w:rPr>
          <w:rFonts w:ascii="Cambria" w:hAnsi="Cambria" w:cs="Arial"/>
          <w:b/>
          <w:sz w:val="20"/>
          <w:szCs w:val="20"/>
        </w:rPr>
        <w:fldChar w:fldCharType="end"/>
      </w:r>
    </w:p>
    <w:p w14:paraId="1989E243">
      <w:pPr>
        <w:spacing w:after="0"/>
        <w:ind w:left="426" w:hanging="426"/>
        <w:jc w:val="both"/>
        <w:rPr>
          <w:rFonts w:ascii="Cambria" w:hAnsi="Cambria" w:cs="Arial"/>
          <w:b/>
          <w:sz w:val="20"/>
          <w:szCs w:val="20"/>
        </w:rPr>
      </w:pPr>
    </w:p>
    <w:p w14:paraId="59B9F26A">
      <w:pPr>
        <w:pStyle w:val="23"/>
        <w:ind w:left="852" w:hanging="426"/>
        <w:jc w:val="both"/>
        <w:rPr>
          <w:rFonts w:ascii="Cambria" w:hAnsi="Cambria" w:cs="Arial"/>
          <w:i/>
          <w:sz w:val="20"/>
          <w:szCs w:val="20"/>
        </w:rPr>
      </w:pPr>
      <w:sdt>
        <w:sdtPr>
          <w:rPr>
            <w:rFonts w:ascii="Cambria" w:hAnsi="Cambria" w:eastAsia="MS Gothic" w:cs="Arial"/>
            <w:b/>
          </w:rPr>
          <w:id w:val="804046216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Fonts w:ascii="Cambria" w:hAnsi="Cambria" w:eastAsia="MS Gothic" w:cs="Arial"/>
            <w:b/>
          </w:rPr>
        </w:sdtEndPr>
        <w:sdtContent>
          <w:r>
            <w:rPr>
              <w:rFonts w:hint="eastAsia" w:ascii="MS Mincho" w:hAnsi="MS Mincho" w:eastAsia="MS Mincho" w:cs="MS Mincho"/>
              <w:b/>
            </w:rPr>
            <w:t>☐</w:t>
          </w:r>
        </w:sdtContent>
      </w:sdt>
      <w:r>
        <w:rPr>
          <w:rFonts w:ascii="Cambria" w:hAnsi="Cambria" w:cs="Arial"/>
          <w:b/>
        </w:rPr>
        <w:tab/>
      </w:r>
      <w:r>
        <w:rPr>
          <w:rFonts w:ascii="Cambria" w:hAnsi="Cambria" w:cs="Arial"/>
          <w:sz w:val="20"/>
          <w:szCs w:val="20"/>
        </w:rPr>
        <w:t xml:space="preserve">v zmysle § 22 ods. 10 a 12 ZoÚ (oslobodenie pri nevýznamnosti dcérskych spoločností, uvedených v prehľade): </w:t>
      </w:r>
    </w:p>
    <w:p w14:paraId="4D95B0B0">
      <w:pPr>
        <w:pStyle w:val="23"/>
        <w:ind w:left="426" w:hanging="426"/>
        <w:jc w:val="both"/>
        <w:rPr>
          <w:rFonts w:ascii="Cambria" w:hAnsi="Cambria" w:cs="Arial"/>
          <w:sz w:val="20"/>
          <w:szCs w:val="20"/>
        </w:rPr>
      </w:pPr>
    </w:p>
    <w:p w14:paraId="02A82429">
      <w:pPr>
        <w:pStyle w:val="23"/>
        <w:ind w:left="426" w:hanging="426"/>
        <w:jc w:val="both"/>
        <w:rPr>
          <w:rFonts w:ascii="Cambria" w:hAnsi="Cambria" w:cs="Arial"/>
          <w:sz w:val="20"/>
          <w:szCs w:val="20"/>
        </w:rPr>
      </w:pPr>
    </w:p>
    <w:p w14:paraId="077FF2AB">
      <w:pPr>
        <w:spacing w:after="0"/>
        <w:jc w:val="both"/>
        <w:rPr>
          <w:rFonts w:ascii="Cambria" w:hAnsi="Cambria" w:cs="Arial"/>
          <w:i/>
          <w:sz w:val="20"/>
          <w:szCs w:val="20"/>
        </w:rPr>
      </w:pPr>
    </w:p>
    <w:p w14:paraId="528D3F52">
      <w:pPr>
        <w:spacing w:after="0"/>
        <w:jc w:val="both"/>
        <w:rPr>
          <w:rFonts w:ascii="Cambria" w:hAnsi="Cambria" w:cs="Arial"/>
          <w:i/>
          <w:sz w:val="20"/>
          <w:szCs w:val="20"/>
        </w:rPr>
      </w:pPr>
    </w:p>
    <w:p w14:paraId="0FC31C47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  <w:r>
        <w:rPr>
          <w:rFonts w:ascii="Cambria" w:hAnsi="Cambria" w:cs="Arial"/>
          <w:b/>
        </w:rPr>
        <w:t>I.5</w:t>
      </w:r>
      <w:r>
        <w:rPr>
          <w:rFonts w:ascii="Cambria" w:hAnsi="Cambria" w:cs="Arial"/>
          <w:b/>
        </w:rPr>
        <w:tab/>
      </w:r>
      <w:r>
        <w:rPr>
          <w:rFonts w:ascii="Cambria" w:hAnsi="Cambria" w:cs="Arial"/>
          <w:b/>
        </w:rPr>
        <w:t>Informácie o počte zamestnancov:</w:t>
      </w:r>
    </w:p>
    <w:p w14:paraId="4B207EC6">
      <w:pPr>
        <w:pStyle w:val="17"/>
        <w:spacing w:after="0" w:line="240" w:lineRule="auto"/>
        <w:ind w:left="426" w:hanging="426"/>
        <w:jc w:val="both"/>
        <w:rPr>
          <w:rFonts w:ascii="Cambria" w:hAnsi="Cambria" w:cs="Arial"/>
          <w:b/>
          <w:sz w:val="24"/>
          <w:szCs w:val="24"/>
        </w:rPr>
      </w:pPr>
    </w:p>
    <w:tbl>
      <w:tblPr>
        <w:tblStyle w:val="12"/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53"/>
        <w:gridCol w:w="2381"/>
        <w:gridCol w:w="2381"/>
      </w:tblGrid>
      <w:tr w14:paraId="23F0C4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53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38AC4780">
            <w:pPr>
              <w:spacing w:after="0" w:line="240" w:lineRule="auto"/>
              <w:ind w:left="426" w:hanging="426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>
              <w:rPr>
                <w:rFonts w:ascii="Cambria" w:hAnsi="Cambria" w:cs="Arial"/>
                <w:b/>
                <w:sz w:val="20"/>
                <w:szCs w:val="20"/>
              </w:rPr>
              <w:t>Názov položky</w:t>
            </w:r>
          </w:p>
        </w:tc>
        <w:tc>
          <w:tcPr>
            <w:tcW w:w="2381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443FBD9C">
            <w:pPr>
              <w:spacing w:after="0" w:line="240" w:lineRule="auto"/>
              <w:ind w:left="426" w:hanging="426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>
              <w:rPr>
                <w:rFonts w:ascii="Cambria" w:hAnsi="Cambria" w:cs="Arial"/>
                <w:b/>
                <w:sz w:val="20"/>
                <w:szCs w:val="20"/>
              </w:rPr>
              <w:t>Bežné</w:t>
            </w:r>
          </w:p>
          <w:p w14:paraId="5C59E7C8">
            <w:pPr>
              <w:spacing w:after="0" w:line="240" w:lineRule="auto"/>
              <w:ind w:left="426" w:hanging="426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>
              <w:rPr>
                <w:rFonts w:ascii="Cambria" w:hAnsi="Cambria" w:cs="Arial"/>
                <w:b/>
                <w:sz w:val="20"/>
                <w:szCs w:val="20"/>
              </w:rPr>
              <w:t>účtovné obdobie</w:t>
            </w:r>
          </w:p>
        </w:tc>
        <w:tc>
          <w:tcPr>
            <w:tcW w:w="2381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01DC2E5">
            <w:pPr>
              <w:spacing w:after="0" w:line="240" w:lineRule="auto"/>
              <w:ind w:left="426" w:hanging="426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>
              <w:rPr>
                <w:rFonts w:ascii="Cambria" w:hAnsi="Cambria" w:cs="Arial"/>
                <w:b/>
                <w:sz w:val="20"/>
                <w:szCs w:val="20"/>
              </w:rPr>
              <w:t>Bezprostredne</w:t>
            </w:r>
          </w:p>
          <w:p w14:paraId="10CA7980">
            <w:pPr>
              <w:spacing w:after="0" w:line="240" w:lineRule="auto"/>
              <w:ind w:left="426" w:hanging="426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>
              <w:rPr>
                <w:rFonts w:ascii="Cambria" w:hAnsi="Cambria" w:cs="Arial"/>
                <w:b/>
                <w:sz w:val="20"/>
                <w:szCs w:val="20"/>
              </w:rPr>
              <w:t>predchádzajúce</w:t>
            </w:r>
          </w:p>
          <w:p w14:paraId="42A3E0B8">
            <w:pPr>
              <w:spacing w:after="0" w:line="240" w:lineRule="auto"/>
              <w:ind w:left="426" w:hanging="426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>
              <w:rPr>
                <w:rFonts w:ascii="Cambria" w:hAnsi="Cambria" w:cs="Arial"/>
                <w:b/>
                <w:sz w:val="20"/>
                <w:szCs w:val="20"/>
              </w:rPr>
              <w:t>účtovné obdobie</w:t>
            </w:r>
          </w:p>
        </w:tc>
      </w:tr>
      <w:tr w14:paraId="148FF1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4253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669DDE2B">
            <w:pPr>
              <w:spacing w:after="0" w:line="240" w:lineRule="auto"/>
              <w:ind w:left="34" w:hanging="1"/>
              <w:rPr>
                <w:rFonts w:ascii="Cambria" w:hAnsi="Cambria" w:cs="Arial"/>
                <w:sz w:val="20"/>
                <w:szCs w:val="20"/>
              </w:rPr>
            </w:pPr>
            <w:r>
              <w:rPr>
                <w:rFonts w:ascii="Cambria" w:hAnsi="Cambria" w:cs="Arial"/>
                <w:sz w:val="20"/>
                <w:szCs w:val="20"/>
              </w:rPr>
              <w:t>Priemerný prepočítaný počet zamestnancov</w:t>
            </w:r>
          </w:p>
        </w:tc>
        <w:tc>
          <w:tcPr>
            <w:tcW w:w="2381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51610158">
            <w:pPr>
              <w:spacing w:after="0" w:line="240" w:lineRule="auto"/>
              <w:ind w:left="426" w:hanging="426"/>
              <w:jc w:val="center"/>
              <w:rPr>
                <w:rFonts w:ascii="Cambria" w:hAnsi="Cambria" w:cs="Arial"/>
                <w:b/>
                <w:sz w:val="24"/>
                <w:szCs w:val="24"/>
              </w:rPr>
            </w:pPr>
            <w:r>
              <w:rPr>
                <w:rFonts w:ascii="Cambria" w:hAnsi="Cambria" w:cs="Arial"/>
                <w:b/>
                <w:sz w:val="24"/>
                <w:szCs w:val="24"/>
              </w:rPr>
              <w:t>0</w:t>
            </w:r>
          </w:p>
        </w:tc>
        <w:tc>
          <w:tcPr>
            <w:tcW w:w="2381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117D7220">
            <w:pPr>
              <w:spacing w:after="0" w:line="240" w:lineRule="auto"/>
              <w:ind w:left="426" w:hanging="426"/>
              <w:jc w:val="center"/>
              <w:rPr>
                <w:rFonts w:ascii="Cambria" w:hAnsi="Cambria" w:cs="Arial"/>
                <w:b/>
                <w:sz w:val="24"/>
                <w:szCs w:val="24"/>
              </w:rPr>
            </w:pPr>
            <w:r>
              <w:rPr>
                <w:rFonts w:ascii="Cambria" w:hAnsi="Cambria" w:cs="Arial"/>
                <w:b/>
                <w:sz w:val="24"/>
                <w:szCs w:val="24"/>
              </w:rPr>
              <w:t>2</w:t>
            </w:r>
          </w:p>
        </w:tc>
      </w:tr>
      <w:tr w14:paraId="49FA7D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5" w:hRule="atLeast"/>
        </w:trPr>
        <w:tc>
          <w:tcPr>
            <w:tcW w:w="4253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712A8DE3">
            <w:pPr>
              <w:spacing w:after="0" w:line="240" w:lineRule="auto"/>
              <w:ind w:left="34" w:hanging="1"/>
              <w:rPr>
                <w:rFonts w:ascii="Cambria" w:hAnsi="Cambria" w:cs="Arial"/>
                <w:sz w:val="20"/>
                <w:szCs w:val="20"/>
              </w:rPr>
            </w:pPr>
            <w:r>
              <w:rPr>
                <w:rFonts w:ascii="Cambria" w:hAnsi="Cambria" w:cs="Arial"/>
                <w:sz w:val="20"/>
                <w:szCs w:val="20"/>
              </w:rPr>
              <w:t>Počet zamestnancov ku dňu, ku ktorému sa zostavuje účtovná závierka vrátane vedúcich zamestnancov</w:t>
            </w:r>
          </w:p>
        </w:tc>
        <w:tc>
          <w:tcPr>
            <w:tcW w:w="2381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8924444">
            <w:pPr>
              <w:spacing w:after="0" w:line="240" w:lineRule="auto"/>
              <w:ind w:left="426" w:hanging="426"/>
              <w:jc w:val="center"/>
              <w:rPr>
                <w:rFonts w:ascii="Cambria" w:hAnsi="Cambria" w:cs="Arial"/>
                <w:b/>
                <w:sz w:val="24"/>
                <w:szCs w:val="24"/>
              </w:rPr>
            </w:pPr>
            <w:r>
              <w:rPr>
                <w:rFonts w:ascii="Cambria" w:hAnsi="Cambria" w:cs="Arial"/>
                <w:b/>
                <w:sz w:val="24"/>
                <w:szCs w:val="24"/>
              </w:rPr>
              <w:t>0</w:t>
            </w:r>
          </w:p>
        </w:tc>
        <w:tc>
          <w:tcPr>
            <w:tcW w:w="2381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6E518F7C">
            <w:pPr>
              <w:spacing w:after="0" w:line="240" w:lineRule="auto"/>
              <w:ind w:left="426" w:hanging="426"/>
              <w:jc w:val="center"/>
              <w:rPr>
                <w:rFonts w:ascii="Cambria" w:hAnsi="Cambria" w:cs="Arial"/>
                <w:b/>
                <w:sz w:val="24"/>
                <w:szCs w:val="24"/>
              </w:rPr>
            </w:pPr>
            <w:r>
              <w:rPr>
                <w:rFonts w:ascii="Cambria" w:hAnsi="Cambria" w:cs="Arial"/>
                <w:b/>
                <w:sz w:val="24"/>
                <w:szCs w:val="24"/>
              </w:rPr>
              <w:t>2</w:t>
            </w:r>
          </w:p>
        </w:tc>
      </w:tr>
      <w:tr w14:paraId="3D30E1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7" w:hRule="atLeast"/>
        </w:trPr>
        <w:tc>
          <w:tcPr>
            <w:tcW w:w="4253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29A903D3">
            <w:pPr>
              <w:spacing w:after="0" w:line="240" w:lineRule="auto"/>
              <w:ind w:left="34" w:hanging="1"/>
              <w:rPr>
                <w:rFonts w:ascii="Cambria" w:hAnsi="Cambria" w:cs="Arial"/>
                <w:sz w:val="20"/>
                <w:szCs w:val="20"/>
              </w:rPr>
            </w:pPr>
            <w:r>
              <w:rPr>
                <w:rFonts w:ascii="Cambria" w:hAnsi="Cambria" w:cs="Arial"/>
                <w:sz w:val="20"/>
                <w:szCs w:val="20"/>
              </w:rPr>
              <w:t>Počet vedúcich zamestnancov (členovia štatutárneho orgánu ÚJ a vedúci zamestnanci</w:t>
            </w:r>
          </w:p>
          <w:p w14:paraId="54048CB8">
            <w:pPr>
              <w:spacing w:after="0" w:line="240" w:lineRule="auto"/>
              <w:ind w:left="34" w:hanging="1"/>
              <w:rPr>
                <w:rFonts w:ascii="Cambria" w:hAnsi="Cambria" w:cs="Arial"/>
                <w:sz w:val="20"/>
                <w:szCs w:val="20"/>
              </w:rPr>
            </w:pPr>
            <w:r>
              <w:rPr>
                <w:rFonts w:ascii="Cambria" w:hAnsi="Cambria" w:cs="Arial"/>
                <w:sz w:val="20"/>
                <w:szCs w:val="20"/>
              </w:rPr>
              <w:t>v priamej pôsobnosti ŠO alebo člena ŠO)</w:t>
            </w:r>
          </w:p>
        </w:tc>
        <w:tc>
          <w:tcPr>
            <w:tcW w:w="2381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4D974B3B">
            <w:pPr>
              <w:spacing w:after="0" w:line="240" w:lineRule="auto"/>
              <w:ind w:left="426" w:hanging="426"/>
              <w:jc w:val="both"/>
              <w:rPr>
                <w:rFonts w:ascii="Cambria" w:hAnsi="Cambria" w:cs="Arial"/>
                <w:b/>
                <w:sz w:val="24"/>
                <w:szCs w:val="24"/>
              </w:rPr>
            </w:pPr>
          </w:p>
        </w:tc>
        <w:tc>
          <w:tcPr>
            <w:tcW w:w="2381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402DEED9">
            <w:pPr>
              <w:spacing w:after="0" w:line="240" w:lineRule="auto"/>
              <w:ind w:left="426" w:hanging="426"/>
              <w:jc w:val="both"/>
              <w:rPr>
                <w:rFonts w:ascii="Cambria" w:hAnsi="Cambria" w:cs="Arial"/>
                <w:b/>
                <w:sz w:val="24"/>
                <w:szCs w:val="24"/>
              </w:rPr>
            </w:pPr>
          </w:p>
        </w:tc>
      </w:tr>
    </w:tbl>
    <w:p w14:paraId="174A05EA">
      <w:pPr>
        <w:spacing w:after="0" w:line="240" w:lineRule="auto"/>
        <w:ind w:left="426" w:hanging="426"/>
        <w:jc w:val="both"/>
        <w:rPr>
          <w:rFonts w:cs="Arial" w:asciiTheme="majorHAnsi" w:hAnsiTheme="majorHAnsi"/>
          <w:b/>
          <w:sz w:val="24"/>
          <w:szCs w:val="24"/>
        </w:rPr>
      </w:pPr>
    </w:p>
    <w:p w14:paraId="0DD1A91E">
      <w:pPr>
        <w:spacing w:after="0" w:line="240" w:lineRule="auto"/>
        <w:ind w:left="426" w:hanging="426"/>
        <w:jc w:val="both"/>
        <w:rPr>
          <w:rFonts w:cs="Arial" w:asciiTheme="majorHAnsi" w:hAnsiTheme="majorHAnsi"/>
          <w:b/>
          <w:sz w:val="24"/>
          <w:szCs w:val="24"/>
        </w:rPr>
      </w:pPr>
    </w:p>
    <w:p w14:paraId="3F51A5D6">
      <w:pPr>
        <w:spacing w:after="0" w:line="240" w:lineRule="auto"/>
        <w:ind w:left="426" w:hanging="426"/>
        <w:jc w:val="both"/>
        <w:rPr>
          <w:rFonts w:cs="Arial" w:asciiTheme="majorHAnsi" w:hAnsiTheme="majorHAnsi"/>
          <w:b/>
          <w:sz w:val="24"/>
          <w:szCs w:val="24"/>
        </w:rPr>
      </w:pPr>
    </w:p>
    <w:p w14:paraId="3A53D696">
      <w:pPr>
        <w:spacing w:after="0" w:line="240" w:lineRule="auto"/>
        <w:ind w:left="426" w:hanging="426"/>
        <w:jc w:val="both"/>
        <w:rPr>
          <w:rFonts w:cs="Arial" w:asciiTheme="majorHAnsi" w:hAnsiTheme="majorHAnsi"/>
          <w:b/>
          <w:sz w:val="24"/>
          <w:szCs w:val="24"/>
        </w:rPr>
      </w:pPr>
      <w:r>
        <w:rPr>
          <w:rFonts w:cs="Arial" w:asciiTheme="majorHAnsi" w:hAnsiTheme="majorHAnsi"/>
          <w:b/>
          <w:sz w:val="24"/>
          <w:szCs w:val="24"/>
        </w:rPr>
        <w:t>Článok II – Informácie o orgánoch spoločnosti</w:t>
      </w:r>
    </w:p>
    <w:p w14:paraId="3D5C1C26">
      <w:pPr>
        <w:spacing w:after="0" w:line="240" w:lineRule="auto"/>
        <w:ind w:left="426" w:hanging="426"/>
        <w:jc w:val="both"/>
        <w:rPr>
          <w:rFonts w:cs="Arial" w:asciiTheme="majorHAnsi" w:hAnsiTheme="majorHAnsi"/>
          <w:b/>
          <w:sz w:val="24"/>
          <w:szCs w:val="24"/>
        </w:rPr>
      </w:pPr>
      <w:r>
        <w:rPr>
          <w:rFonts w:cs="Arial" w:asciiTheme="majorHAnsi" w:hAnsiTheme="majorHAnsi"/>
          <w:b/>
          <w:sz w:val="24"/>
          <w:szCs w:val="24"/>
        </w:rPr>
        <w:t>II. a) – d)</w:t>
      </w:r>
    </w:p>
    <w:p w14:paraId="11B0A79D">
      <w:pPr>
        <w:spacing w:after="0" w:line="240" w:lineRule="auto"/>
        <w:ind w:left="426" w:hanging="426"/>
        <w:jc w:val="both"/>
        <w:rPr>
          <w:rFonts w:cs="Arial" w:asciiTheme="majorHAnsi" w:hAnsiTheme="majorHAnsi"/>
          <w:b/>
          <w:sz w:val="24"/>
          <w:szCs w:val="24"/>
        </w:rPr>
      </w:pPr>
    </w:p>
    <w:p w14:paraId="411AE24A">
      <w:pPr>
        <w:spacing w:after="0" w:line="240" w:lineRule="auto"/>
        <w:ind w:left="426" w:hanging="426"/>
        <w:jc w:val="both"/>
        <w:rPr>
          <w:rFonts w:ascii="Cambria" w:hAnsi="Cambria" w:cs="Arial"/>
          <w:sz w:val="20"/>
          <w:szCs w:val="20"/>
        </w:rPr>
      </w:pPr>
      <w:r>
        <w:rPr>
          <w:rFonts w:ascii="Cambria" w:hAnsi="Cambria" w:cs="Arial"/>
          <w:sz w:val="20"/>
          <w:szCs w:val="20"/>
        </w:rPr>
        <w:t>Účtovná jednotka neposkytla žiadne výhody súčasným členom orgánov.</w:t>
      </w:r>
    </w:p>
    <w:p w14:paraId="3F6809D3">
      <w:pPr>
        <w:spacing w:after="0" w:line="240" w:lineRule="auto"/>
        <w:ind w:left="426" w:hanging="426"/>
        <w:jc w:val="both"/>
        <w:rPr>
          <w:rFonts w:cs="Arial" w:asciiTheme="majorHAnsi" w:hAnsiTheme="majorHAnsi"/>
          <w:b/>
          <w:sz w:val="24"/>
          <w:szCs w:val="24"/>
        </w:rPr>
      </w:pPr>
    </w:p>
    <w:tbl>
      <w:tblPr>
        <w:tblStyle w:val="12"/>
        <w:tblW w:w="9212" w:type="dxa"/>
        <w:tblInd w:w="108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28"/>
        <w:gridCol w:w="1428"/>
        <w:gridCol w:w="1239"/>
        <w:gridCol w:w="975"/>
        <w:gridCol w:w="1428"/>
        <w:gridCol w:w="1239"/>
        <w:gridCol w:w="975"/>
      </w:tblGrid>
      <w:tr w14:paraId="1ED6629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28" w:type="dxa"/>
            <w:vMerge w:val="restart"/>
            <w:tcBorders>
              <w:top w:val="single" w:color="auto" w:sz="12" w:space="0"/>
              <w:bottom w:val="single" w:color="auto" w:sz="6" w:space="0"/>
            </w:tcBorders>
            <w:vAlign w:val="center"/>
          </w:tcPr>
          <w:p w14:paraId="154DAE6F">
            <w:pPr>
              <w:spacing w:after="0" w:line="240" w:lineRule="auto"/>
              <w:jc w:val="center"/>
              <w:rPr>
                <w:rFonts w:eastAsia="MS Gothic" w:cs="Arial" w:asciiTheme="majorHAnsi" w:hAnsiTheme="majorHAnsi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Arial" w:asciiTheme="majorHAnsi" w:hAnsiTheme="majorHAnsi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Druh príjmu, výhody</w:t>
            </w:r>
          </w:p>
        </w:tc>
        <w:tc>
          <w:tcPr>
            <w:tcW w:w="3642" w:type="dxa"/>
            <w:gridSpan w:val="3"/>
            <w:tcBorders>
              <w:top w:val="single" w:color="auto" w:sz="12" w:space="0"/>
              <w:bottom w:val="single" w:color="auto" w:sz="6" w:space="0"/>
            </w:tcBorders>
            <w:vAlign w:val="center"/>
          </w:tcPr>
          <w:p w14:paraId="60299670">
            <w:pPr>
              <w:spacing w:after="0" w:line="240" w:lineRule="auto"/>
              <w:jc w:val="center"/>
              <w:rPr>
                <w:rFonts w:cs="Arial" w:asciiTheme="majorHAnsi" w:hAnsiTheme="majorHAnsi"/>
                <w:b/>
                <w:sz w:val="20"/>
                <w:szCs w:val="20"/>
              </w:rPr>
            </w:pPr>
            <w:r>
              <w:rPr>
                <w:rFonts w:cs="Arial" w:asciiTheme="majorHAnsi" w:hAnsiTheme="majorHAnsi"/>
                <w:b/>
                <w:sz w:val="20"/>
                <w:szCs w:val="20"/>
              </w:rPr>
              <w:t>Hodnota príjmu,</w:t>
            </w:r>
          </w:p>
          <w:p w14:paraId="367D36C8">
            <w:pPr>
              <w:spacing w:after="0" w:line="240" w:lineRule="auto"/>
              <w:jc w:val="center"/>
              <w:rPr>
                <w:rFonts w:cs="Arial" w:asciiTheme="majorHAnsi" w:hAnsiTheme="majorHAnsi"/>
                <w:b/>
                <w:sz w:val="20"/>
                <w:szCs w:val="20"/>
              </w:rPr>
            </w:pPr>
            <w:r>
              <w:rPr>
                <w:rFonts w:cs="Arial" w:asciiTheme="majorHAnsi" w:hAnsiTheme="majorHAnsi"/>
                <w:b/>
                <w:sz w:val="20"/>
                <w:szCs w:val="20"/>
              </w:rPr>
              <w:t>výhody súčasných členov orgánov</w:t>
            </w:r>
          </w:p>
        </w:tc>
        <w:tc>
          <w:tcPr>
            <w:tcW w:w="3642" w:type="dxa"/>
            <w:gridSpan w:val="3"/>
            <w:tcBorders>
              <w:top w:val="single" w:color="auto" w:sz="12" w:space="0"/>
              <w:bottom w:val="single" w:color="auto" w:sz="6" w:space="0"/>
            </w:tcBorders>
            <w:vAlign w:val="center"/>
          </w:tcPr>
          <w:p w14:paraId="7CAB664D">
            <w:pPr>
              <w:spacing w:after="0" w:line="240" w:lineRule="auto"/>
              <w:jc w:val="center"/>
              <w:rPr>
                <w:rFonts w:cs="Arial" w:asciiTheme="majorHAnsi" w:hAnsiTheme="majorHAnsi"/>
                <w:b/>
                <w:sz w:val="20"/>
                <w:szCs w:val="20"/>
              </w:rPr>
            </w:pPr>
            <w:r>
              <w:rPr>
                <w:rFonts w:cs="Arial" w:asciiTheme="majorHAnsi" w:hAnsiTheme="majorHAnsi"/>
                <w:b/>
                <w:sz w:val="20"/>
                <w:szCs w:val="20"/>
              </w:rPr>
              <w:t>Hodnota príjmu,</w:t>
            </w:r>
          </w:p>
          <w:p w14:paraId="56809B65">
            <w:pPr>
              <w:spacing w:after="0" w:line="240" w:lineRule="auto"/>
              <w:jc w:val="center"/>
              <w:rPr>
                <w:rFonts w:cs="Arial" w:asciiTheme="majorHAnsi" w:hAnsiTheme="majorHAnsi"/>
                <w:b/>
                <w:sz w:val="20"/>
                <w:szCs w:val="20"/>
              </w:rPr>
            </w:pPr>
            <w:r>
              <w:rPr>
                <w:rFonts w:cs="Arial" w:asciiTheme="majorHAnsi" w:hAnsiTheme="majorHAnsi"/>
                <w:b/>
                <w:sz w:val="20"/>
                <w:szCs w:val="20"/>
              </w:rPr>
              <w:t>výhody bývalých členov orgánov</w:t>
            </w:r>
          </w:p>
        </w:tc>
      </w:tr>
      <w:tr w14:paraId="1E2A38E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28" w:type="dxa"/>
            <w:vMerge w:val="continue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2191CA3F">
            <w:pPr>
              <w:spacing w:after="0" w:line="240" w:lineRule="auto"/>
              <w:jc w:val="center"/>
              <w:rPr>
                <w:rFonts w:eastAsia="MS Gothic" w:cs="Arial" w:asciiTheme="majorHAnsi" w:hAnsiTheme="majorHAnsi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428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7108A8FA">
            <w:pPr>
              <w:spacing w:after="0" w:line="240" w:lineRule="auto"/>
              <w:jc w:val="center"/>
              <w:rPr>
                <w:rFonts w:cs="Arial" w:asciiTheme="majorHAnsi" w:hAnsiTheme="majorHAnsi"/>
                <w:b/>
                <w:sz w:val="20"/>
                <w:szCs w:val="20"/>
              </w:rPr>
            </w:pPr>
            <w:r>
              <w:rPr>
                <w:rFonts w:cs="Arial" w:asciiTheme="majorHAnsi" w:hAnsiTheme="majorHAnsi"/>
                <w:b/>
                <w:sz w:val="20"/>
                <w:szCs w:val="20"/>
              </w:rPr>
              <w:t>štatutárneho</w:t>
            </w:r>
          </w:p>
        </w:tc>
        <w:tc>
          <w:tcPr>
            <w:tcW w:w="1239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744773B5">
            <w:pPr>
              <w:spacing w:after="0" w:line="240" w:lineRule="auto"/>
              <w:jc w:val="center"/>
              <w:rPr>
                <w:rFonts w:cs="Arial" w:asciiTheme="majorHAnsi" w:hAnsiTheme="majorHAnsi"/>
                <w:b/>
                <w:sz w:val="20"/>
                <w:szCs w:val="20"/>
              </w:rPr>
            </w:pPr>
            <w:r>
              <w:rPr>
                <w:rFonts w:cs="Arial" w:asciiTheme="majorHAnsi" w:hAnsiTheme="majorHAnsi"/>
                <w:b/>
                <w:sz w:val="20"/>
                <w:szCs w:val="20"/>
              </w:rPr>
              <w:t>dozorného</w:t>
            </w:r>
          </w:p>
        </w:tc>
        <w:tc>
          <w:tcPr>
            <w:tcW w:w="975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742ECE60">
            <w:pPr>
              <w:spacing w:after="0" w:line="240" w:lineRule="auto"/>
              <w:jc w:val="center"/>
              <w:rPr>
                <w:rFonts w:cs="Arial" w:asciiTheme="majorHAnsi" w:hAnsiTheme="majorHAnsi"/>
                <w:b/>
                <w:sz w:val="20"/>
                <w:szCs w:val="20"/>
              </w:rPr>
            </w:pPr>
            <w:r>
              <w:rPr>
                <w:rFonts w:cs="Arial" w:asciiTheme="majorHAnsi" w:hAnsiTheme="majorHAnsi"/>
                <w:b/>
                <w:sz w:val="20"/>
                <w:szCs w:val="20"/>
              </w:rPr>
              <w:t>iného</w:t>
            </w:r>
          </w:p>
        </w:tc>
        <w:tc>
          <w:tcPr>
            <w:tcW w:w="1428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42B0412B">
            <w:pPr>
              <w:spacing w:after="0" w:line="240" w:lineRule="auto"/>
              <w:jc w:val="center"/>
              <w:rPr>
                <w:rFonts w:cs="Arial" w:asciiTheme="majorHAnsi" w:hAnsiTheme="majorHAnsi"/>
                <w:b/>
                <w:sz w:val="20"/>
                <w:szCs w:val="20"/>
              </w:rPr>
            </w:pPr>
            <w:r>
              <w:rPr>
                <w:rFonts w:cs="Arial" w:asciiTheme="majorHAnsi" w:hAnsiTheme="majorHAnsi"/>
                <w:b/>
                <w:sz w:val="20"/>
                <w:szCs w:val="20"/>
              </w:rPr>
              <w:t>štatutárneho</w:t>
            </w:r>
          </w:p>
        </w:tc>
        <w:tc>
          <w:tcPr>
            <w:tcW w:w="1239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7EC0F80B">
            <w:pPr>
              <w:spacing w:after="0" w:line="240" w:lineRule="auto"/>
              <w:jc w:val="center"/>
              <w:rPr>
                <w:rFonts w:cs="Arial" w:asciiTheme="majorHAnsi" w:hAnsiTheme="majorHAnsi"/>
                <w:b/>
                <w:sz w:val="20"/>
                <w:szCs w:val="20"/>
              </w:rPr>
            </w:pPr>
            <w:r>
              <w:rPr>
                <w:rFonts w:cs="Arial" w:asciiTheme="majorHAnsi" w:hAnsiTheme="majorHAnsi"/>
                <w:b/>
                <w:sz w:val="20"/>
                <w:szCs w:val="20"/>
              </w:rPr>
              <w:t>dozorného</w:t>
            </w:r>
          </w:p>
        </w:tc>
        <w:tc>
          <w:tcPr>
            <w:tcW w:w="975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4BF8ADA4">
            <w:pPr>
              <w:spacing w:after="0" w:line="240" w:lineRule="auto"/>
              <w:jc w:val="center"/>
              <w:rPr>
                <w:rFonts w:cs="Arial" w:asciiTheme="majorHAnsi" w:hAnsiTheme="majorHAnsi"/>
                <w:b/>
                <w:sz w:val="20"/>
                <w:szCs w:val="20"/>
              </w:rPr>
            </w:pPr>
            <w:r>
              <w:rPr>
                <w:rFonts w:cs="Arial" w:asciiTheme="majorHAnsi" w:hAnsiTheme="majorHAnsi"/>
                <w:b/>
                <w:sz w:val="20"/>
                <w:szCs w:val="20"/>
              </w:rPr>
              <w:t>iného</w:t>
            </w:r>
          </w:p>
        </w:tc>
      </w:tr>
      <w:tr w14:paraId="24F56AA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28" w:type="dxa"/>
            <w:vMerge w:val="continue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54D6DFD2">
            <w:pPr>
              <w:spacing w:after="0" w:line="240" w:lineRule="auto"/>
              <w:jc w:val="center"/>
              <w:rPr>
                <w:rFonts w:eastAsia="MS Gothic" w:cs="Arial" w:asciiTheme="majorHAnsi" w:hAnsiTheme="majorHAnsi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642" w:type="dxa"/>
            <w:gridSpan w:val="3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52556191">
            <w:pPr>
              <w:spacing w:after="0" w:line="240" w:lineRule="auto"/>
              <w:jc w:val="center"/>
              <w:rPr>
                <w:rFonts w:cs="Arial" w:asciiTheme="majorHAnsi" w:hAnsiTheme="majorHAnsi"/>
                <w:sz w:val="20"/>
                <w:szCs w:val="20"/>
              </w:rPr>
            </w:pPr>
          </w:p>
        </w:tc>
        <w:tc>
          <w:tcPr>
            <w:tcW w:w="3642" w:type="dxa"/>
            <w:gridSpan w:val="3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308CCF31">
            <w:pPr>
              <w:spacing w:after="0" w:line="240" w:lineRule="auto"/>
              <w:jc w:val="center"/>
              <w:rPr>
                <w:rFonts w:cs="Arial" w:asciiTheme="majorHAnsi" w:hAnsiTheme="majorHAnsi"/>
                <w:sz w:val="20"/>
                <w:szCs w:val="20"/>
              </w:rPr>
            </w:pPr>
          </w:p>
        </w:tc>
      </w:tr>
      <w:tr w14:paraId="60EFA1F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28" w:type="dxa"/>
            <w:vMerge w:val="continue"/>
            <w:tcBorders>
              <w:top w:val="single" w:color="auto" w:sz="6" w:space="0"/>
              <w:bottom w:val="single" w:color="auto" w:sz="12" w:space="0"/>
            </w:tcBorders>
            <w:vAlign w:val="center"/>
          </w:tcPr>
          <w:p w14:paraId="7608AEE7">
            <w:pPr>
              <w:spacing w:after="0" w:line="240" w:lineRule="auto"/>
              <w:jc w:val="center"/>
              <w:rPr>
                <w:rFonts w:eastAsia="MS Gothic" w:cs="Arial" w:asciiTheme="majorHAnsi" w:hAnsiTheme="majorHAnsi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642" w:type="dxa"/>
            <w:gridSpan w:val="3"/>
            <w:tcBorders>
              <w:top w:val="single" w:color="auto" w:sz="6" w:space="0"/>
              <w:bottom w:val="single" w:color="auto" w:sz="12" w:space="0"/>
            </w:tcBorders>
            <w:vAlign w:val="center"/>
          </w:tcPr>
          <w:p w14:paraId="462ABCE4">
            <w:pPr>
              <w:spacing w:after="0" w:line="240" w:lineRule="auto"/>
              <w:jc w:val="center"/>
              <w:rPr>
                <w:rFonts w:cs="Arial" w:asciiTheme="majorHAnsi" w:hAnsiTheme="majorHAnsi"/>
                <w:sz w:val="20"/>
                <w:szCs w:val="20"/>
              </w:rPr>
            </w:pPr>
          </w:p>
        </w:tc>
        <w:tc>
          <w:tcPr>
            <w:tcW w:w="3642" w:type="dxa"/>
            <w:gridSpan w:val="3"/>
            <w:tcBorders>
              <w:top w:val="single" w:color="auto" w:sz="6" w:space="0"/>
              <w:bottom w:val="single" w:color="auto" w:sz="12" w:space="0"/>
            </w:tcBorders>
            <w:vAlign w:val="center"/>
          </w:tcPr>
          <w:p w14:paraId="709D6319">
            <w:pPr>
              <w:spacing w:after="0" w:line="240" w:lineRule="auto"/>
              <w:jc w:val="center"/>
              <w:rPr>
                <w:rFonts w:cs="Arial" w:asciiTheme="majorHAnsi" w:hAnsiTheme="majorHAnsi"/>
                <w:sz w:val="20"/>
                <w:szCs w:val="20"/>
              </w:rPr>
            </w:pPr>
          </w:p>
        </w:tc>
      </w:tr>
      <w:tr w14:paraId="00ED06F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28" w:type="dxa"/>
            <w:vMerge w:val="restart"/>
            <w:tcBorders>
              <w:top w:val="single" w:color="auto" w:sz="12" w:space="0"/>
            </w:tcBorders>
            <w:vAlign w:val="center"/>
          </w:tcPr>
          <w:p w14:paraId="6425E33D">
            <w:pPr>
              <w:spacing w:after="0" w:line="240" w:lineRule="auto"/>
              <w:rPr>
                <w:rFonts w:cs="Arial" w:asciiTheme="majorHAnsi" w:hAnsiTheme="majorHAnsi"/>
                <w:sz w:val="20"/>
                <w:szCs w:val="20"/>
              </w:rPr>
            </w:pPr>
            <w:r>
              <w:rPr>
                <w:rFonts w:cs="Arial" w:asciiTheme="majorHAnsi" w:hAnsiTheme="majorHAnsi"/>
                <w:sz w:val="20"/>
                <w:szCs w:val="20"/>
              </w:rPr>
              <w:t>Záruky</w:t>
            </w:r>
          </w:p>
        </w:tc>
        <w:tc>
          <w:tcPr>
            <w:tcW w:w="1428" w:type="dxa"/>
            <w:tcBorders>
              <w:top w:val="single" w:color="auto" w:sz="12" w:space="0"/>
            </w:tcBorders>
            <w:vAlign w:val="center"/>
          </w:tcPr>
          <w:p w14:paraId="1C8B78D3">
            <w:pPr>
              <w:spacing w:after="0" w:line="240" w:lineRule="auto"/>
              <w:jc w:val="center"/>
              <w:rPr>
                <w:rFonts w:eastAsia="MS Gothic" w:cs="Arial" w:asciiTheme="majorHAnsi" w:hAnsiTheme="majorHAnsi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39" w:type="dxa"/>
            <w:tcBorders>
              <w:top w:val="single" w:color="auto" w:sz="12" w:space="0"/>
            </w:tcBorders>
            <w:vAlign w:val="center"/>
          </w:tcPr>
          <w:p w14:paraId="2DA6EC14">
            <w:pPr>
              <w:spacing w:after="0" w:line="240" w:lineRule="auto"/>
              <w:jc w:val="center"/>
              <w:rPr>
                <w:rFonts w:eastAsia="MS Gothic" w:cs="Arial" w:asciiTheme="majorHAnsi" w:hAnsiTheme="majorHAnsi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975" w:type="dxa"/>
            <w:tcBorders>
              <w:top w:val="single" w:color="auto" w:sz="12" w:space="0"/>
            </w:tcBorders>
            <w:vAlign w:val="center"/>
          </w:tcPr>
          <w:p w14:paraId="77BB824B">
            <w:pPr>
              <w:spacing w:after="0" w:line="240" w:lineRule="auto"/>
              <w:jc w:val="center"/>
              <w:rPr>
                <w:rFonts w:eastAsia="MS Gothic" w:cs="Arial" w:asciiTheme="majorHAnsi" w:hAnsiTheme="majorHAnsi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428" w:type="dxa"/>
            <w:tcBorders>
              <w:top w:val="single" w:color="auto" w:sz="12" w:space="0"/>
            </w:tcBorders>
            <w:vAlign w:val="center"/>
          </w:tcPr>
          <w:p w14:paraId="6F827EF0">
            <w:pPr>
              <w:spacing w:after="0" w:line="240" w:lineRule="auto"/>
              <w:jc w:val="center"/>
              <w:rPr>
                <w:rFonts w:eastAsia="MS Gothic" w:cs="Arial" w:asciiTheme="majorHAnsi" w:hAnsiTheme="majorHAnsi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39" w:type="dxa"/>
            <w:tcBorders>
              <w:top w:val="single" w:color="auto" w:sz="12" w:space="0"/>
            </w:tcBorders>
            <w:vAlign w:val="center"/>
          </w:tcPr>
          <w:p w14:paraId="7C4CBB97">
            <w:pPr>
              <w:spacing w:after="0" w:line="240" w:lineRule="auto"/>
              <w:jc w:val="center"/>
              <w:rPr>
                <w:rFonts w:eastAsia="MS Gothic" w:cs="Arial" w:asciiTheme="majorHAnsi" w:hAnsiTheme="majorHAnsi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975" w:type="dxa"/>
            <w:tcBorders>
              <w:top w:val="single" w:color="auto" w:sz="12" w:space="0"/>
            </w:tcBorders>
            <w:vAlign w:val="center"/>
          </w:tcPr>
          <w:p w14:paraId="26C57A2E">
            <w:pPr>
              <w:spacing w:after="0" w:line="240" w:lineRule="auto"/>
              <w:jc w:val="center"/>
              <w:rPr>
                <w:rFonts w:eastAsia="MS Gothic" w:cs="Arial" w:asciiTheme="majorHAnsi" w:hAnsiTheme="majorHAnsi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14:paraId="17FDCD0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28" w:type="dxa"/>
            <w:vMerge w:val="continue"/>
            <w:vAlign w:val="center"/>
          </w:tcPr>
          <w:p w14:paraId="2030D373">
            <w:pPr>
              <w:spacing w:after="0" w:line="240" w:lineRule="auto"/>
              <w:rPr>
                <w:rFonts w:eastAsia="MS Gothic" w:cs="Arial" w:asciiTheme="majorHAnsi" w:hAnsiTheme="majorHAnsi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428" w:type="dxa"/>
            <w:vAlign w:val="center"/>
          </w:tcPr>
          <w:p w14:paraId="0C2CB295">
            <w:pPr>
              <w:spacing w:after="0" w:line="240" w:lineRule="auto"/>
              <w:jc w:val="center"/>
              <w:rPr>
                <w:rFonts w:eastAsia="MS Gothic" w:cs="Arial" w:asciiTheme="majorHAnsi" w:hAnsiTheme="majorHAnsi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39" w:type="dxa"/>
            <w:vAlign w:val="center"/>
          </w:tcPr>
          <w:p w14:paraId="29CBA7E7">
            <w:pPr>
              <w:spacing w:after="0" w:line="240" w:lineRule="auto"/>
              <w:jc w:val="center"/>
              <w:rPr>
                <w:rFonts w:eastAsia="MS Gothic" w:cs="Arial" w:asciiTheme="majorHAnsi" w:hAnsiTheme="majorHAnsi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975" w:type="dxa"/>
            <w:vAlign w:val="center"/>
          </w:tcPr>
          <w:p w14:paraId="04F519BB">
            <w:pPr>
              <w:spacing w:after="0" w:line="240" w:lineRule="auto"/>
              <w:jc w:val="center"/>
              <w:rPr>
                <w:rFonts w:eastAsia="MS Gothic" w:cs="Arial" w:asciiTheme="majorHAnsi" w:hAnsiTheme="majorHAnsi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428" w:type="dxa"/>
            <w:vAlign w:val="center"/>
          </w:tcPr>
          <w:p w14:paraId="49E8DDBB">
            <w:pPr>
              <w:spacing w:after="0" w:line="240" w:lineRule="auto"/>
              <w:jc w:val="center"/>
              <w:rPr>
                <w:rFonts w:eastAsia="MS Gothic" w:cs="Arial" w:asciiTheme="majorHAnsi" w:hAnsiTheme="majorHAnsi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39" w:type="dxa"/>
            <w:vAlign w:val="center"/>
          </w:tcPr>
          <w:p w14:paraId="058F3960">
            <w:pPr>
              <w:spacing w:after="0" w:line="240" w:lineRule="auto"/>
              <w:jc w:val="center"/>
              <w:rPr>
                <w:rFonts w:eastAsia="MS Gothic" w:cs="Arial" w:asciiTheme="majorHAnsi" w:hAnsiTheme="majorHAnsi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975" w:type="dxa"/>
            <w:vAlign w:val="center"/>
          </w:tcPr>
          <w:p w14:paraId="6298B8FE">
            <w:pPr>
              <w:spacing w:after="0" w:line="240" w:lineRule="auto"/>
              <w:jc w:val="center"/>
              <w:rPr>
                <w:rFonts w:eastAsia="MS Gothic" w:cs="Arial" w:asciiTheme="majorHAnsi" w:hAnsiTheme="majorHAnsi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14:paraId="4CE0A20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28" w:type="dxa"/>
            <w:vMerge w:val="restart"/>
            <w:vAlign w:val="center"/>
          </w:tcPr>
          <w:p w14:paraId="7EB05152">
            <w:pPr>
              <w:spacing w:after="0" w:line="240" w:lineRule="auto"/>
              <w:rPr>
                <w:rFonts w:cs="Arial" w:asciiTheme="majorHAnsi" w:hAnsiTheme="majorHAnsi"/>
                <w:sz w:val="20"/>
                <w:szCs w:val="20"/>
              </w:rPr>
            </w:pPr>
            <w:r>
              <w:rPr>
                <w:rFonts w:cs="Arial" w:asciiTheme="majorHAnsi" w:hAnsiTheme="majorHAnsi"/>
                <w:sz w:val="20"/>
                <w:szCs w:val="20"/>
              </w:rPr>
              <w:t>Iné zabezpečenie</w:t>
            </w:r>
          </w:p>
        </w:tc>
        <w:tc>
          <w:tcPr>
            <w:tcW w:w="1428" w:type="dxa"/>
            <w:vAlign w:val="center"/>
          </w:tcPr>
          <w:p w14:paraId="4D2CC2AE">
            <w:pPr>
              <w:spacing w:after="0" w:line="240" w:lineRule="auto"/>
              <w:jc w:val="center"/>
              <w:rPr>
                <w:rFonts w:eastAsia="MS Gothic" w:cs="Arial" w:asciiTheme="majorHAnsi" w:hAnsiTheme="majorHAnsi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39" w:type="dxa"/>
            <w:vAlign w:val="center"/>
          </w:tcPr>
          <w:p w14:paraId="49356BD8">
            <w:pPr>
              <w:spacing w:after="0" w:line="240" w:lineRule="auto"/>
              <w:jc w:val="center"/>
              <w:rPr>
                <w:rFonts w:eastAsia="MS Gothic" w:cs="Arial" w:asciiTheme="majorHAnsi" w:hAnsiTheme="majorHAnsi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975" w:type="dxa"/>
            <w:vAlign w:val="center"/>
          </w:tcPr>
          <w:p w14:paraId="2177271F">
            <w:pPr>
              <w:spacing w:after="0" w:line="240" w:lineRule="auto"/>
              <w:jc w:val="center"/>
              <w:rPr>
                <w:rFonts w:eastAsia="MS Gothic" w:cs="Arial" w:asciiTheme="majorHAnsi" w:hAnsiTheme="majorHAnsi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428" w:type="dxa"/>
            <w:vAlign w:val="center"/>
          </w:tcPr>
          <w:p w14:paraId="73248815">
            <w:pPr>
              <w:spacing w:after="0" w:line="240" w:lineRule="auto"/>
              <w:jc w:val="center"/>
              <w:rPr>
                <w:rFonts w:eastAsia="MS Gothic" w:cs="Arial" w:asciiTheme="majorHAnsi" w:hAnsiTheme="majorHAnsi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39" w:type="dxa"/>
            <w:vAlign w:val="center"/>
          </w:tcPr>
          <w:p w14:paraId="5B8573D4">
            <w:pPr>
              <w:spacing w:after="0" w:line="240" w:lineRule="auto"/>
              <w:jc w:val="center"/>
              <w:rPr>
                <w:rFonts w:eastAsia="MS Gothic" w:cs="Arial" w:asciiTheme="majorHAnsi" w:hAnsiTheme="majorHAnsi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975" w:type="dxa"/>
            <w:vAlign w:val="center"/>
          </w:tcPr>
          <w:p w14:paraId="29B982EE">
            <w:pPr>
              <w:spacing w:after="0" w:line="240" w:lineRule="auto"/>
              <w:jc w:val="center"/>
              <w:rPr>
                <w:rFonts w:eastAsia="MS Gothic" w:cs="Arial" w:asciiTheme="majorHAnsi" w:hAnsiTheme="majorHAnsi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14:paraId="02EA011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28" w:type="dxa"/>
            <w:vMerge w:val="continue"/>
            <w:vAlign w:val="center"/>
          </w:tcPr>
          <w:p w14:paraId="60B5B266">
            <w:pPr>
              <w:spacing w:after="0" w:line="240" w:lineRule="auto"/>
              <w:rPr>
                <w:rFonts w:eastAsia="MS Gothic" w:cs="Arial" w:asciiTheme="majorHAnsi" w:hAnsiTheme="majorHAnsi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428" w:type="dxa"/>
            <w:vAlign w:val="center"/>
          </w:tcPr>
          <w:p w14:paraId="3589DF8D">
            <w:pPr>
              <w:spacing w:after="0" w:line="240" w:lineRule="auto"/>
              <w:jc w:val="center"/>
              <w:rPr>
                <w:rFonts w:eastAsia="MS Gothic" w:cs="Arial" w:asciiTheme="majorHAnsi" w:hAnsiTheme="majorHAnsi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39" w:type="dxa"/>
            <w:vAlign w:val="center"/>
          </w:tcPr>
          <w:p w14:paraId="0551FEAA">
            <w:pPr>
              <w:spacing w:after="0" w:line="240" w:lineRule="auto"/>
              <w:jc w:val="center"/>
              <w:rPr>
                <w:rFonts w:eastAsia="MS Gothic" w:cs="Arial" w:asciiTheme="majorHAnsi" w:hAnsiTheme="majorHAnsi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975" w:type="dxa"/>
            <w:vAlign w:val="center"/>
          </w:tcPr>
          <w:p w14:paraId="35A37C73">
            <w:pPr>
              <w:spacing w:after="0" w:line="240" w:lineRule="auto"/>
              <w:jc w:val="center"/>
              <w:rPr>
                <w:rFonts w:eastAsia="MS Gothic" w:cs="Arial" w:asciiTheme="majorHAnsi" w:hAnsiTheme="majorHAnsi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428" w:type="dxa"/>
            <w:vAlign w:val="center"/>
          </w:tcPr>
          <w:p w14:paraId="5BEA268F">
            <w:pPr>
              <w:spacing w:after="0" w:line="240" w:lineRule="auto"/>
              <w:jc w:val="center"/>
              <w:rPr>
                <w:rFonts w:eastAsia="MS Gothic" w:cs="Arial" w:asciiTheme="majorHAnsi" w:hAnsiTheme="majorHAnsi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39" w:type="dxa"/>
            <w:vAlign w:val="center"/>
          </w:tcPr>
          <w:p w14:paraId="40D63389">
            <w:pPr>
              <w:spacing w:after="0" w:line="240" w:lineRule="auto"/>
              <w:jc w:val="center"/>
              <w:rPr>
                <w:rFonts w:eastAsia="MS Gothic" w:cs="Arial" w:asciiTheme="majorHAnsi" w:hAnsiTheme="majorHAnsi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975" w:type="dxa"/>
            <w:vAlign w:val="center"/>
          </w:tcPr>
          <w:p w14:paraId="7483E4B6">
            <w:pPr>
              <w:spacing w:after="0" w:line="240" w:lineRule="auto"/>
              <w:jc w:val="center"/>
              <w:rPr>
                <w:rFonts w:eastAsia="MS Gothic" w:cs="Arial" w:asciiTheme="majorHAnsi" w:hAnsiTheme="majorHAnsi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14:paraId="3473964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28" w:type="dxa"/>
            <w:vMerge w:val="restart"/>
            <w:vAlign w:val="center"/>
          </w:tcPr>
          <w:p w14:paraId="6637D931">
            <w:pPr>
              <w:spacing w:after="0" w:line="240" w:lineRule="auto"/>
              <w:rPr>
                <w:rFonts w:cs="Arial" w:asciiTheme="majorHAnsi" w:hAnsiTheme="majorHAnsi"/>
                <w:sz w:val="20"/>
                <w:szCs w:val="20"/>
              </w:rPr>
            </w:pPr>
            <w:r>
              <w:rPr>
                <w:rFonts w:cs="Arial" w:asciiTheme="majorHAnsi" w:hAnsiTheme="majorHAnsi"/>
                <w:sz w:val="20"/>
                <w:szCs w:val="20"/>
              </w:rPr>
              <w:t>Poskytnuté pôžičky k poslednému dňu účtovného obdobia</w:t>
            </w:r>
          </w:p>
        </w:tc>
        <w:tc>
          <w:tcPr>
            <w:tcW w:w="1428" w:type="dxa"/>
            <w:vAlign w:val="center"/>
          </w:tcPr>
          <w:p w14:paraId="07941BDA">
            <w:pPr>
              <w:spacing w:after="0" w:line="240" w:lineRule="auto"/>
              <w:jc w:val="center"/>
              <w:rPr>
                <w:rFonts w:eastAsia="MS Gothic" w:cs="Arial" w:asciiTheme="majorHAnsi" w:hAnsiTheme="majorHAnsi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39" w:type="dxa"/>
            <w:vAlign w:val="center"/>
          </w:tcPr>
          <w:p w14:paraId="57FD25A7">
            <w:pPr>
              <w:spacing w:after="0" w:line="240" w:lineRule="auto"/>
              <w:jc w:val="center"/>
              <w:rPr>
                <w:rFonts w:eastAsia="MS Gothic" w:cs="Arial" w:asciiTheme="majorHAnsi" w:hAnsiTheme="majorHAnsi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975" w:type="dxa"/>
            <w:vAlign w:val="center"/>
          </w:tcPr>
          <w:p w14:paraId="259A5EFF">
            <w:pPr>
              <w:spacing w:after="0" w:line="240" w:lineRule="auto"/>
              <w:jc w:val="center"/>
              <w:rPr>
                <w:rFonts w:eastAsia="MS Gothic" w:cs="Arial" w:asciiTheme="majorHAnsi" w:hAnsiTheme="majorHAnsi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428" w:type="dxa"/>
            <w:vAlign w:val="center"/>
          </w:tcPr>
          <w:p w14:paraId="2E3B229F">
            <w:pPr>
              <w:spacing w:after="0" w:line="240" w:lineRule="auto"/>
              <w:jc w:val="center"/>
              <w:rPr>
                <w:rFonts w:eastAsia="MS Gothic" w:cs="Arial" w:asciiTheme="majorHAnsi" w:hAnsiTheme="majorHAnsi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39" w:type="dxa"/>
            <w:vAlign w:val="center"/>
          </w:tcPr>
          <w:p w14:paraId="2DABFA44">
            <w:pPr>
              <w:spacing w:after="0" w:line="240" w:lineRule="auto"/>
              <w:jc w:val="center"/>
              <w:rPr>
                <w:rFonts w:eastAsia="MS Gothic" w:cs="Arial" w:asciiTheme="majorHAnsi" w:hAnsiTheme="majorHAnsi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975" w:type="dxa"/>
            <w:vAlign w:val="center"/>
          </w:tcPr>
          <w:p w14:paraId="39ACC7A3">
            <w:pPr>
              <w:spacing w:after="0" w:line="240" w:lineRule="auto"/>
              <w:jc w:val="center"/>
              <w:rPr>
                <w:rFonts w:eastAsia="MS Gothic" w:cs="Arial" w:asciiTheme="majorHAnsi" w:hAnsiTheme="majorHAnsi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14:paraId="17B5679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28" w:type="dxa"/>
            <w:vMerge w:val="continue"/>
            <w:vAlign w:val="center"/>
          </w:tcPr>
          <w:p w14:paraId="5157ED84">
            <w:pPr>
              <w:spacing w:after="0" w:line="240" w:lineRule="auto"/>
              <w:rPr>
                <w:rFonts w:eastAsia="MS Gothic" w:cs="Arial" w:asciiTheme="majorHAnsi" w:hAnsiTheme="majorHAnsi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428" w:type="dxa"/>
            <w:vAlign w:val="center"/>
          </w:tcPr>
          <w:p w14:paraId="353FB9BE">
            <w:pPr>
              <w:spacing w:after="0" w:line="240" w:lineRule="auto"/>
              <w:jc w:val="center"/>
              <w:rPr>
                <w:rFonts w:eastAsia="MS Gothic" w:cs="Arial" w:asciiTheme="majorHAnsi" w:hAnsiTheme="majorHAnsi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39" w:type="dxa"/>
            <w:vAlign w:val="center"/>
          </w:tcPr>
          <w:p w14:paraId="68C5913A">
            <w:pPr>
              <w:spacing w:after="0" w:line="240" w:lineRule="auto"/>
              <w:jc w:val="center"/>
              <w:rPr>
                <w:rFonts w:eastAsia="MS Gothic" w:cs="Arial" w:asciiTheme="majorHAnsi" w:hAnsiTheme="majorHAnsi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975" w:type="dxa"/>
            <w:vAlign w:val="center"/>
          </w:tcPr>
          <w:p w14:paraId="7E614ACA">
            <w:pPr>
              <w:spacing w:after="0" w:line="240" w:lineRule="auto"/>
              <w:jc w:val="center"/>
              <w:rPr>
                <w:rFonts w:eastAsia="MS Gothic" w:cs="Arial" w:asciiTheme="majorHAnsi" w:hAnsiTheme="majorHAnsi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428" w:type="dxa"/>
            <w:vAlign w:val="center"/>
          </w:tcPr>
          <w:p w14:paraId="757F16B9">
            <w:pPr>
              <w:spacing w:after="0" w:line="240" w:lineRule="auto"/>
              <w:jc w:val="center"/>
              <w:rPr>
                <w:rFonts w:eastAsia="MS Gothic" w:cs="Arial" w:asciiTheme="majorHAnsi" w:hAnsiTheme="majorHAnsi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39" w:type="dxa"/>
            <w:vAlign w:val="center"/>
          </w:tcPr>
          <w:p w14:paraId="2797B46A">
            <w:pPr>
              <w:spacing w:after="0" w:line="240" w:lineRule="auto"/>
              <w:jc w:val="center"/>
              <w:rPr>
                <w:rFonts w:eastAsia="MS Gothic" w:cs="Arial" w:asciiTheme="majorHAnsi" w:hAnsiTheme="majorHAnsi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975" w:type="dxa"/>
            <w:vAlign w:val="center"/>
          </w:tcPr>
          <w:p w14:paraId="01F10E12">
            <w:pPr>
              <w:spacing w:after="0" w:line="240" w:lineRule="auto"/>
              <w:jc w:val="center"/>
              <w:rPr>
                <w:rFonts w:eastAsia="MS Gothic" w:cs="Arial" w:asciiTheme="majorHAnsi" w:hAnsiTheme="majorHAnsi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14:paraId="1C5EF16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28" w:type="dxa"/>
            <w:vMerge w:val="restart"/>
            <w:vAlign w:val="center"/>
          </w:tcPr>
          <w:p w14:paraId="2552BA6F">
            <w:pPr>
              <w:spacing w:after="0" w:line="240" w:lineRule="auto"/>
              <w:rPr>
                <w:rFonts w:cs="Arial" w:asciiTheme="majorHAnsi" w:hAnsiTheme="majorHAnsi"/>
                <w:sz w:val="20"/>
                <w:szCs w:val="20"/>
              </w:rPr>
            </w:pPr>
            <w:r>
              <w:rPr>
                <w:rFonts w:cs="Arial" w:asciiTheme="majorHAnsi" w:hAnsiTheme="majorHAnsi"/>
                <w:sz w:val="20"/>
                <w:szCs w:val="20"/>
              </w:rPr>
              <w:t>Splatené pôžičky</w:t>
            </w:r>
          </w:p>
          <w:p w14:paraId="71C70ADD">
            <w:pPr>
              <w:spacing w:after="0" w:line="240" w:lineRule="auto"/>
              <w:rPr>
                <w:rFonts w:cs="Arial" w:asciiTheme="majorHAnsi" w:hAnsiTheme="majorHAnsi"/>
                <w:sz w:val="20"/>
                <w:szCs w:val="20"/>
              </w:rPr>
            </w:pPr>
            <w:r>
              <w:rPr>
                <w:rFonts w:cs="Arial" w:asciiTheme="majorHAnsi" w:hAnsiTheme="majorHAnsi"/>
                <w:sz w:val="20"/>
                <w:szCs w:val="20"/>
              </w:rPr>
              <w:t>k poslednému dňu účtovného obdobia</w:t>
            </w:r>
          </w:p>
        </w:tc>
        <w:tc>
          <w:tcPr>
            <w:tcW w:w="1428" w:type="dxa"/>
            <w:vAlign w:val="center"/>
          </w:tcPr>
          <w:p w14:paraId="7BF8B89E">
            <w:pPr>
              <w:spacing w:after="0" w:line="240" w:lineRule="auto"/>
              <w:jc w:val="center"/>
              <w:rPr>
                <w:rFonts w:eastAsia="MS Gothic" w:cs="Arial" w:asciiTheme="majorHAnsi" w:hAnsiTheme="majorHAnsi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39" w:type="dxa"/>
            <w:vAlign w:val="center"/>
          </w:tcPr>
          <w:p w14:paraId="0FCF7AD0">
            <w:pPr>
              <w:spacing w:after="0" w:line="240" w:lineRule="auto"/>
              <w:jc w:val="center"/>
              <w:rPr>
                <w:rFonts w:eastAsia="MS Gothic" w:cs="Arial" w:asciiTheme="majorHAnsi" w:hAnsiTheme="majorHAnsi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975" w:type="dxa"/>
            <w:vAlign w:val="center"/>
          </w:tcPr>
          <w:p w14:paraId="25A74951">
            <w:pPr>
              <w:spacing w:after="0" w:line="240" w:lineRule="auto"/>
              <w:jc w:val="center"/>
              <w:rPr>
                <w:rFonts w:eastAsia="MS Gothic" w:cs="Arial" w:asciiTheme="majorHAnsi" w:hAnsiTheme="majorHAnsi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428" w:type="dxa"/>
            <w:vAlign w:val="center"/>
          </w:tcPr>
          <w:p w14:paraId="1DB47468">
            <w:pPr>
              <w:spacing w:after="0" w:line="240" w:lineRule="auto"/>
              <w:jc w:val="center"/>
              <w:rPr>
                <w:rFonts w:eastAsia="MS Gothic" w:cs="Arial" w:asciiTheme="majorHAnsi" w:hAnsiTheme="majorHAnsi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39" w:type="dxa"/>
            <w:vAlign w:val="center"/>
          </w:tcPr>
          <w:p w14:paraId="2EE2744D">
            <w:pPr>
              <w:spacing w:after="0" w:line="240" w:lineRule="auto"/>
              <w:jc w:val="center"/>
              <w:rPr>
                <w:rFonts w:eastAsia="MS Gothic" w:cs="Arial" w:asciiTheme="majorHAnsi" w:hAnsiTheme="majorHAnsi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975" w:type="dxa"/>
            <w:vAlign w:val="center"/>
          </w:tcPr>
          <w:p w14:paraId="4094827E">
            <w:pPr>
              <w:spacing w:after="0" w:line="240" w:lineRule="auto"/>
              <w:jc w:val="center"/>
              <w:rPr>
                <w:rFonts w:eastAsia="MS Gothic" w:cs="Arial" w:asciiTheme="majorHAnsi" w:hAnsiTheme="majorHAnsi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14:paraId="6D6326F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28" w:type="dxa"/>
            <w:vMerge w:val="continue"/>
            <w:vAlign w:val="center"/>
          </w:tcPr>
          <w:p w14:paraId="016060F4">
            <w:pPr>
              <w:spacing w:after="0" w:line="240" w:lineRule="auto"/>
              <w:rPr>
                <w:rFonts w:eastAsia="MS Gothic" w:cs="Arial" w:asciiTheme="majorHAnsi" w:hAnsiTheme="majorHAnsi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428" w:type="dxa"/>
            <w:vAlign w:val="center"/>
          </w:tcPr>
          <w:p w14:paraId="69742444">
            <w:pPr>
              <w:spacing w:after="0" w:line="240" w:lineRule="auto"/>
              <w:jc w:val="center"/>
              <w:rPr>
                <w:rFonts w:eastAsia="MS Gothic" w:cs="Arial" w:asciiTheme="majorHAnsi" w:hAnsiTheme="majorHAnsi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39" w:type="dxa"/>
            <w:vAlign w:val="center"/>
          </w:tcPr>
          <w:p w14:paraId="27A02451">
            <w:pPr>
              <w:spacing w:after="0" w:line="240" w:lineRule="auto"/>
              <w:jc w:val="center"/>
              <w:rPr>
                <w:rFonts w:eastAsia="MS Gothic" w:cs="Arial" w:asciiTheme="majorHAnsi" w:hAnsiTheme="majorHAnsi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975" w:type="dxa"/>
            <w:vAlign w:val="center"/>
          </w:tcPr>
          <w:p w14:paraId="459DEDAD">
            <w:pPr>
              <w:spacing w:after="0" w:line="240" w:lineRule="auto"/>
              <w:jc w:val="center"/>
              <w:rPr>
                <w:rFonts w:eastAsia="MS Gothic" w:cs="Arial" w:asciiTheme="majorHAnsi" w:hAnsiTheme="majorHAnsi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428" w:type="dxa"/>
            <w:vAlign w:val="center"/>
          </w:tcPr>
          <w:p w14:paraId="56B3CCCE">
            <w:pPr>
              <w:spacing w:after="0" w:line="240" w:lineRule="auto"/>
              <w:jc w:val="center"/>
              <w:rPr>
                <w:rFonts w:eastAsia="MS Gothic" w:cs="Arial" w:asciiTheme="majorHAnsi" w:hAnsiTheme="majorHAnsi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39" w:type="dxa"/>
            <w:vAlign w:val="center"/>
          </w:tcPr>
          <w:p w14:paraId="4AC4D533">
            <w:pPr>
              <w:spacing w:after="0" w:line="240" w:lineRule="auto"/>
              <w:jc w:val="center"/>
              <w:rPr>
                <w:rFonts w:eastAsia="MS Gothic" w:cs="Arial" w:asciiTheme="majorHAnsi" w:hAnsiTheme="majorHAnsi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975" w:type="dxa"/>
            <w:vAlign w:val="center"/>
          </w:tcPr>
          <w:p w14:paraId="7C33E19C">
            <w:pPr>
              <w:spacing w:after="0" w:line="240" w:lineRule="auto"/>
              <w:jc w:val="center"/>
              <w:rPr>
                <w:rFonts w:eastAsia="MS Gothic" w:cs="Arial" w:asciiTheme="majorHAnsi" w:hAnsiTheme="majorHAnsi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14:paraId="3FD43D9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28" w:type="dxa"/>
            <w:vMerge w:val="restart"/>
            <w:vAlign w:val="center"/>
          </w:tcPr>
          <w:p w14:paraId="0FD9BC67">
            <w:pPr>
              <w:spacing w:after="0" w:line="240" w:lineRule="auto"/>
              <w:rPr>
                <w:rFonts w:cs="Arial" w:asciiTheme="majorHAnsi" w:hAnsiTheme="majorHAnsi"/>
                <w:sz w:val="20"/>
                <w:szCs w:val="20"/>
              </w:rPr>
            </w:pPr>
            <w:r>
              <w:rPr>
                <w:rFonts w:cs="Arial" w:asciiTheme="majorHAnsi" w:hAnsiTheme="majorHAnsi"/>
                <w:sz w:val="20"/>
                <w:szCs w:val="20"/>
              </w:rPr>
              <w:t>Odpustené a odpísané pôžičky</w:t>
            </w:r>
          </w:p>
          <w:p w14:paraId="2F1D6E98">
            <w:pPr>
              <w:spacing w:after="0" w:line="240" w:lineRule="auto"/>
              <w:rPr>
                <w:rFonts w:cs="Arial" w:asciiTheme="majorHAnsi" w:hAnsiTheme="majorHAnsi"/>
                <w:sz w:val="20"/>
                <w:szCs w:val="20"/>
              </w:rPr>
            </w:pPr>
            <w:r>
              <w:rPr>
                <w:rFonts w:cs="Arial" w:asciiTheme="majorHAnsi" w:hAnsiTheme="majorHAnsi"/>
                <w:sz w:val="20"/>
                <w:szCs w:val="20"/>
              </w:rPr>
              <w:t>k poslednému dňu účtovného obdobia</w:t>
            </w:r>
          </w:p>
        </w:tc>
        <w:tc>
          <w:tcPr>
            <w:tcW w:w="1428" w:type="dxa"/>
            <w:vAlign w:val="center"/>
          </w:tcPr>
          <w:p w14:paraId="17289962">
            <w:pPr>
              <w:spacing w:after="0" w:line="240" w:lineRule="auto"/>
              <w:jc w:val="center"/>
              <w:rPr>
                <w:rFonts w:eastAsia="MS Gothic" w:cs="Arial" w:asciiTheme="majorHAnsi" w:hAnsiTheme="majorHAnsi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39" w:type="dxa"/>
            <w:vAlign w:val="center"/>
          </w:tcPr>
          <w:p w14:paraId="0B91081E">
            <w:pPr>
              <w:spacing w:after="0" w:line="240" w:lineRule="auto"/>
              <w:jc w:val="center"/>
              <w:rPr>
                <w:rFonts w:eastAsia="MS Gothic" w:cs="Arial" w:asciiTheme="majorHAnsi" w:hAnsiTheme="majorHAnsi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975" w:type="dxa"/>
            <w:vAlign w:val="center"/>
          </w:tcPr>
          <w:p w14:paraId="55F10D43">
            <w:pPr>
              <w:spacing w:after="0" w:line="240" w:lineRule="auto"/>
              <w:jc w:val="center"/>
              <w:rPr>
                <w:rFonts w:eastAsia="MS Gothic" w:cs="Arial" w:asciiTheme="majorHAnsi" w:hAnsiTheme="majorHAnsi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428" w:type="dxa"/>
            <w:vAlign w:val="center"/>
          </w:tcPr>
          <w:p w14:paraId="1B969D2E">
            <w:pPr>
              <w:spacing w:after="0" w:line="240" w:lineRule="auto"/>
              <w:jc w:val="center"/>
              <w:rPr>
                <w:rFonts w:eastAsia="MS Gothic" w:cs="Arial" w:asciiTheme="majorHAnsi" w:hAnsiTheme="majorHAnsi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39" w:type="dxa"/>
            <w:vAlign w:val="center"/>
          </w:tcPr>
          <w:p w14:paraId="7C18BF61">
            <w:pPr>
              <w:spacing w:after="0" w:line="240" w:lineRule="auto"/>
              <w:jc w:val="center"/>
              <w:rPr>
                <w:rFonts w:eastAsia="MS Gothic" w:cs="Arial" w:asciiTheme="majorHAnsi" w:hAnsiTheme="majorHAnsi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975" w:type="dxa"/>
            <w:vAlign w:val="center"/>
          </w:tcPr>
          <w:p w14:paraId="5C72EBFD">
            <w:pPr>
              <w:spacing w:after="0" w:line="240" w:lineRule="auto"/>
              <w:jc w:val="center"/>
              <w:rPr>
                <w:rFonts w:eastAsia="MS Gothic" w:cs="Arial" w:asciiTheme="majorHAnsi" w:hAnsiTheme="majorHAnsi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14:paraId="03B1A98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28" w:type="dxa"/>
            <w:vMerge w:val="continue"/>
            <w:vAlign w:val="center"/>
          </w:tcPr>
          <w:p w14:paraId="4C4B031F">
            <w:pPr>
              <w:spacing w:after="0" w:line="240" w:lineRule="auto"/>
              <w:rPr>
                <w:rFonts w:eastAsia="MS Gothic" w:cs="Arial" w:asciiTheme="majorHAnsi" w:hAnsiTheme="majorHAnsi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428" w:type="dxa"/>
            <w:vAlign w:val="center"/>
          </w:tcPr>
          <w:p w14:paraId="74C3AA7A">
            <w:pPr>
              <w:spacing w:after="0" w:line="240" w:lineRule="auto"/>
              <w:jc w:val="center"/>
              <w:rPr>
                <w:rFonts w:eastAsia="MS Gothic" w:cs="Arial" w:asciiTheme="majorHAnsi" w:hAnsiTheme="majorHAnsi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39" w:type="dxa"/>
            <w:vAlign w:val="center"/>
          </w:tcPr>
          <w:p w14:paraId="117011F2">
            <w:pPr>
              <w:spacing w:after="0" w:line="240" w:lineRule="auto"/>
              <w:jc w:val="center"/>
              <w:rPr>
                <w:rFonts w:eastAsia="MS Gothic" w:cs="Arial" w:asciiTheme="majorHAnsi" w:hAnsiTheme="majorHAnsi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975" w:type="dxa"/>
            <w:vAlign w:val="center"/>
          </w:tcPr>
          <w:p w14:paraId="136D1BB3">
            <w:pPr>
              <w:spacing w:after="0" w:line="240" w:lineRule="auto"/>
              <w:jc w:val="center"/>
              <w:rPr>
                <w:rFonts w:eastAsia="MS Gothic" w:cs="Arial" w:asciiTheme="majorHAnsi" w:hAnsiTheme="majorHAnsi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428" w:type="dxa"/>
            <w:vAlign w:val="center"/>
          </w:tcPr>
          <w:p w14:paraId="5BCC7100">
            <w:pPr>
              <w:spacing w:after="0" w:line="240" w:lineRule="auto"/>
              <w:jc w:val="center"/>
              <w:rPr>
                <w:rFonts w:eastAsia="MS Gothic" w:cs="Arial" w:asciiTheme="majorHAnsi" w:hAnsiTheme="majorHAnsi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39" w:type="dxa"/>
            <w:vAlign w:val="center"/>
          </w:tcPr>
          <w:p w14:paraId="4D17F812">
            <w:pPr>
              <w:spacing w:after="0" w:line="240" w:lineRule="auto"/>
              <w:jc w:val="center"/>
              <w:rPr>
                <w:rFonts w:eastAsia="MS Gothic" w:cs="Arial" w:asciiTheme="majorHAnsi" w:hAnsiTheme="majorHAnsi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975" w:type="dxa"/>
            <w:vAlign w:val="center"/>
          </w:tcPr>
          <w:p w14:paraId="2B94BA09">
            <w:pPr>
              <w:spacing w:after="0" w:line="240" w:lineRule="auto"/>
              <w:jc w:val="center"/>
              <w:rPr>
                <w:rFonts w:eastAsia="MS Gothic" w:cs="Arial" w:asciiTheme="majorHAnsi" w:hAnsiTheme="majorHAnsi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14:paraId="00E5D93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28" w:type="dxa"/>
            <w:vMerge w:val="restart"/>
            <w:vAlign w:val="center"/>
          </w:tcPr>
          <w:p w14:paraId="51C1C46F">
            <w:pPr>
              <w:spacing w:after="0" w:line="240" w:lineRule="auto"/>
              <w:rPr>
                <w:rFonts w:cs="Arial" w:asciiTheme="majorHAnsi" w:hAnsiTheme="majorHAnsi"/>
                <w:sz w:val="20"/>
                <w:szCs w:val="20"/>
              </w:rPr>
            </w:pPr>
            <w:r>
              <w:rPr>
                <w:rFonts w:cs="Arial" w:asciiTheme="majorHAnsi" w:hAnsiTheme="majorHAnsi"/>
                <w:sz w:val="20"/>
                <w:szCs w:val="20"/>
              </w:rPr>
              <w:t>Použité finančné prostriedky</w:t>
            </w:r>
          </w:p>
        </w:tc>
        <w:tc>
          <w:tcPr>
            <w:tcW w:w="1428" w:type="dxa"/>
            <w:vAlign w:val="center"/>
          </w:tcPr>
          <w:p w14:paraId="1199C419">
            <w:pPr>
              <w:spacing w:after="0" w:line="240" w:lineRule="auto"/>
              <w:jc w:val="center"/>
              <w:rPr>
                <w:rFonts w:eastAsia="MS Gothic" w:cs="Arial" w:asciiTheme="majorHAnsi" w:hAnsiTheme="majorHAnsi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39" w:type="dxa"/>
            <w:vAlign w:val="center"/>
          </w:tcPr>
          <w:p w14:paraId="5304AA87">
            <w:pPr>
              <w:spacing w:after="0" w:line="240" w:lineRule="auto"/>
              <w:jc w:val="center"/>
              <w:rPr>
                <w:rFonts w:eastAsia="MS Gothic" w:cs="Arial" w:asciiTheme="majorHAnsi" w:hAnsiTheme="majorHAnsi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975" w:type="dxa"/>
            <w:vAlign w:val="center"/>
          </w:tcPr>
          <w:p w14:paraId="750EE6C4">
            <w:pPr>
              <w:spacing w:after="0" w:line="240" w:lineRule="auto"/>
              <w:jc w:val="center"/>
              <w:rPr>
                <w:rFonts w:eastAsia="MS Gothic" w:cs="Arial" w:asciiTheme="majorHAnsi" w:hAnsiTheme="majorHAnsi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428" w:type="dxa"/>
            <w:vAlign w:val="center"/>
          </w:tcPr>
          <w:p w14:paraId="57B7D25B">
            <w:pPr>
              <w:spacing w:after="0" w:line="240" w:lineRule="auto"/>
              <w:jc w:val="center"/>
              <w:rPr>
                <w:rFonts w:eastAsia="MS Gothic" w:cs="Arial" w:asciiTheme="majorHAnsi" w:hAnsiTheme="majorHAnsi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39" w:type="dxa"/>
            <w:vAlign w:val="center"/>
          </w:tcPr>
          <w:p w14:paraId="420DCF4A">
            <w:pPr>
              <w:spacing w:after="0" w:line="240" w:lineRule="auto"/>
              <w:jc w:val="center"/>
              <w:rPr>
                <w:rFonts w:eastAsia="MS Gothic" w:cs="Arial" w:asciiTheme="majorHAnsi" w:hAnsiTheme="majorHAnsi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975" w:type="dxa"/>
            <w:vAlign w:val="center"/>
          </w:tcPr>
          <w:p w14:paraId="26D628BE">
            <w:pPr>
              <w:spacing w:after="0" w:line="240" w:lineRule="auto"/>
              <w:jc w:val="center"/>
              <w:rPr>
                <w:rFonts w:eastAsia="MS Gothic" w:cs="Arial" w:asciiTheme="majorHAnsi" w:hAnsiTheme="majorHAnsi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14:paraId="171DD45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28" w:type="dxa"/>
            <w:vMerge w:val="continue"/>
            <w:vAlign w:val="center"/>
          </w:tcPr>
          <w:p w14:paraId="0CCAE4CE">
            <w:pPr>
              <w:spacing w:after="0" w:line="240" w:lineRule="auto"/>
              <w:rPr>
                <w:rFonts w:eastAsia="MS Gothic" w:cs="Arial" w:asciiTheme="majorHAnsi" w:hAnsiTheme="majorHAnsi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428" w:type="dxa"/>
            <w:vAlign w:val="center"/>
          </w:tcPr>
          <w:p w14:paraId="5EB873CC">
            <w:pPr>
              <w:spacing w:after="0" w:line="240" w:lineRule="auto"/>
              <w:jc w:val="center"/>
              <w:rPr>
                <w:rFonts w:eastAsia="MS Gothic" w:cs="Arial" w:asciiTheme="majorHAnsi" w:hAnsiTheme="majorHAnsi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39" w:type="dxa"/>
            <w:vAlign w:val="center"/>
          </w:tcPr>
          <w:p w14:paraId="653F50F5">
            <w:pPr>
              <w:spacing w:after="0" w:line="240" w:lineRule="auto"/>
              <w:jc w:val="center"/>
              <w:rPr>
                <w:rFonts w:eastAsia="MS Gothic" w:cs="Arial" w:asciiTheme="majorHAnsi" w:hAnsiTheme="majorHAnsi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975" w:type="dxa"/>
            <w:vAlign w:val="center"/>
          </w:tcPr>
          <w:p w14:paraId="4911A21E">
            <w:pPr>
              <w:spacing w:after="0" w:line="240" w:lineRule="auto"/>
              <w:jc w:val="center"/>
              <w:rPr>
                <w:rFonts w:eastAsia="MS Gothic" w:cs="Arial" w:asciiTheme="majorHAnsi" w:hAnsiTheme="majorHAnsi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428" w:type="dxa"/>
            <w:vAlign w:val="center"/>
          </w:tcPr>
          <w:p w14:paraId="44852DF1">
            <w:pPr>
              <w:spacing w:after="0" w:line="240" w:lineRule="auto"/>
              <w:jc w:val="center"/>
              <w:rPr>
                <w:rFonts w:eastAsia="MS Gothic" w:cs="Arial" w:asciiTheme="majorHAnsi" w:hAnsiTheme="majorHAnsi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39" w:type="dxa"/>
            <w:vAlign w:val="center"/>
          </w:tcPr>
          <w:p w14:paraId="4440569C">
            <w:pPr>
              <w:spacing w:after="0" w:line="240" w:lineRule="auto"/>
              <w:jc w:val="center"/>
              <w:rPr>
                <w:rFonts w:eastAsia="MS Gothic" w:cs="Arial" w:asciiTheme="majorHAnsi" w:hAnsiTheme="majorHAnsi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975" w:type="dxa"/>
            <w:vAlign w:val="center"/>
          </w:tcPr>
          <w:p w14:paraId="73477343">
            <w:pPr>
              <w:spacing w:after="0" w:line="240" w:lineRule="auto"/>
              <w:jc w:val="center"/>
              <w:rPr>
                <w:rFonts w:eastAsia="MS Gothic" w:cs="Arial" w:asciiTheme="majorHAnsi" w:hAnsiTheme="majorHAnsi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14:paraId="48533C5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28" w:type="dxa"/>
            <w:vMerge w:val="restart"/>
            <w:vAlign w:val="center"/>
          </w:tcPr>
          <w:p w14:paraId="6E66EE61">
            <w:pPr>
              <w:spacing w:after="0" w:line="240" w:lineRule="auto"/>
              <w:rPr>
                <w:rFonts w:cs="Arial" w:asciiTheme="majorHAnsi" w:hAnsiTheme="majorHAnsi"/>
                <w:sz w:val="20"/>
                <w:szCs w:val="20"/>
              </w:rPr>
            </w:pPr>
            <w:r>
              <w:rPr>
                <w:rFonts w:cs="Arial" w:asciiTheme="majorHAnsi" w:hAnsiTheme="majorHAnsi"/>
                <w:sz w:val="20"/>
                <w:szCs w:val="20"/>
              </w:rPr>
              <w:t>Iné plnenia na súkromné účely, ktoré je potrebné vyúčtovať</w:t>
            </w:r>
          </w:p>
        </w:tc>
        <w:tc>
          <w:tcPr>
            <w:tcW w:w="1428" w:type="dxa"/>
            <w:vAlign w:val="center"/>
          </w:tcPr>
          <w:p w14:paraId="7DD3FFF6">
            <w:pPr>
              <w:spacing w:after="0" w:line="240" w:lineRule="auto"/>
              <w:jc w:val="center"/>
              <w:rPr>
                <w:rFonts w:eastAsia="MS Gothic" w:cs="Arial" w:asciiTheme="majorHAnsi" w:hAnsiTheme="majorHAnsi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39" w:type="dxa"/>
            <w:vAlign w:val="center"/>
          </w:tcPr>
          <w:p w14:paraId="490F82F8">
            <w:pPr>
              <w:spacing w:after="0" w:line="240" w:lineRule="auto"/>
              <w:jc w:val="center"/>
              <w:rPr>
                <w:rFonts w:eastAsia="MS Gothic" w:cs="Arial" w:asciiTheme="majorHAnsi" w:hAnsiTheme="majorHAnsi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975" w:type="dxa"/>
            <w:vAlign w:val="center"/>
          </w:tcPr>
          <w:p w14:paraId="73202EA5">
            <w:pPr>
              <w:spacing w:after="0" w:line="240" w:lineRule="auto"/>
              <w:jc w:val="center"/>
              <w:rPr>
                <w:rFonts w:eastAsia="MS Gothic" w:cs="Arial" w:asciiTheme="majorHAnsi" w:hAnsiTheme="majorHAnsi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428" w:type="dxa"/>
            <w:vAlign w:val="center"/>
          </w:tcPr>
          <w:p w14:paraId="34AA65E1">
            <w:pPr>
              <w:spacing w:after="0" w:line="240" w:lineRule="auto"/>
              <w:jc w:val="center"/>
              <w:rPr>
                <w:rFonts w:eastAsia="MS Gothic" w:cs="Arial" w:asciiTheme="majorHAnsi" w:hAnsiTheme="majorHAnsi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39" w:type="dxa"/>
            <w:vAlign w:val="center"/>
          </w:tcPr>
          <w:p w14:paraId="08133EFC">
            <w:pPr>
              <w:spacing w:after="0" w:line="240" w:lineRule="auto"/>
              <w:jc w:val="center"/>
              <w:rPr>
                <w:rFonts w:eastAsia="MS Gothic" w:cs="Arial" w:asciiTheme="majorHAnsi" w:hAnsiTheme="majorHAnsi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975" w:type="dxa"/>
            <w:vAlign w:val="center"/>
          </w:tcPr>
          <w:p w14:paraId="6563FFA5">
            <w:pPr>
              <w:spacing w:after="0" w:line="240" w:lineRule="auto"/>
              <w:jc w:val="center"/>
              <w:rPr>
                <w:rFonts w:eastAsia="MS Gothic" w:cs="Arial" w:asciiTheme="majorHAnsi" w:hAnsiTheme="majorHAnsi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14:paraId="6EFB653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28" w:type="dxa"/>
            <w:vMerge w:val="continue"/>
            <w:vAlign w:val="center"/>
          </w:tcPr>
          <w:p w14:paraId="3C3E1EC2">
            <w:pPr>
              <w:spacing w:after="0" w:line="240" w:lineRule="auto"/>
              <w:rPr>
                <w:rFonts w:eastAsia="MS Gothic" w:cs="Arial" w:asciiTheme="majorHAnsi" w:hAnsiTheme="majorHAnsi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428" w:type="dxa"/>
            <w:vAlign w:val="center"/>
          </w:tcPr>
          <w:p w14:paraId="362ED3D1">
            <w:pPr>
              <w:spacing w:after="0" w:line="240" w:lineRule="auto"/>
              <w:jc w:val="center"/>
              <w:rPr>
                <w:rFonts w:eastAsia="MS Gothic" w:cs="Arial" w:asciiTheme="majorHAnsi" w:hAnsiTheme="majorHAnsi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39" w:type="dxa"/>
            <w:vAlign w:val="center"/>
          </w:tcPr>
          <w:p w14:paraId="3D80BC83">
            <w:pPr>
              <w:spacing w:after="0" w:line="240" w:lineRule="auto"/>
              <w:jc w:val="center"/>
              <w:rPr>
                <w:rFonts w:eastAsia="MS Gothic" w:cs="Arial" w:asciiTheme="majorHAnsi" w:hAnsiTheme="majorHAnsi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975" w:type="dxa"/>
            <w:vAlign w:val="center"/>
          </w:tcPr>
          <w:p w14:paraId="0ECCC14A">
            <w:pPr>
              <w:spacing w:after="0" w:line="240" w:lineRule="auto"/>
              <w:jc w:val="center"/>
              <w:rPr>
                <w:rFonts w:eastAsia="MS Gothic" w:cs="Arial" w:asciiTheme="majorHAnsi" w:hAnsiTheme="majorHAnsi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428" w:type="dxa"/>
            <w:vAlign w:val="center"/>
          </w:tcPr>
          <w:p w14:paraId="601FE33C">
            <w:pPr>
              <w:spacing w:after="0" w:line="240" w:lineRule="auto"/>
              <w:jc w:val="center"/>
              <w:rPr>
                <w:rFonts w:eastAsia="MS Gothic" w:cs="Arial" w:asciiTheme="majorHAnsi" w:hAnsiTheme="majorHAnsi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39" w:type="dxa"/>
            <w:vAlign w:val="center"/>
          </w:tcPr>
          <w:p w14:paraId="425D6D35">
            <w:pPr>
              <w:spacing w:after="0" w:line="240" w:lineRule="auto"/>
              <w:jc w:val="center"/>
              <w:rPr>
                <w:rFonts w:eastAsia="MS Gothic" w:cs="Arial" w:asciiTheme="majorHAnsi" w:hAnsiTheme="majorHAnsi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975" w:type="dxa"/>
            <w:vAlign w:val="center"/>
          </w:tcPr>
          <w:p w14:paraId="15336020">
            <w:pPr>
              <w:spacing w:after="0" w:line="240" w:lineRule="auto"/>
              <w:jc w:val="center"/>
              <w:rPr>
                <w:rFonts w:eastAsia="MS Gothic" w:cs="Arial" w:asciiTheme="majorHAnsi" w:hAnsiTheme="majorHAnsi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14:paraId="562B1F3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28" w:type="dxa"/>
            <w:vMerge w:val="continue"/>
            <w:vAlign w:val="center"/>
          </w:tcPr>
          <w:p w14:paraId="3D67EF83">
            <w:pPr>
              <w:spacing w:after="0" w:line="240" w:lineRule="auto"/>
              <w:jc w:val="center"/>
              <w:rPr>
                <w:rFonts w:eastAsia="MS Gothic" w:cs="Arial" w:asciiTheme="majorHAnsi" w:hAnsiTheme="majorHAnsi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428" w:type="dxa"/>
            <w:vAlign w:val="center"/>
          </w:tcPr>
          <w:p w14:paraId="575C5552">
            <w:pPr>
              <w:spacing w:after="0" w:line="240" w:lineRule="auto"/>
              <w:jc w:val="center"/>
              <w:rPr>
                <w:rFonts w:eastAsia="MS Gothic" w:cs="Arial" w:asciiTheme="majorHAnsi" w:hAnsiTheme="majorHAnsi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39" w:type="dxa"/>
            <w:vAlign w:val="center"/>
          </w:tcPr>
          <w:p w14:paraId="0C4217BD">
            <w:pPr>
              <w:spacing w:after="0" w:line="240" w:lineRule="auto"/>
              <w:jc w:val="center"/>
              <w:rPr>
                <w:rFonts w:eastAsia="MS Gothic" w:cs="Arial" w:asciiTheme="majorHAnsi" w:hAnsiTheme="majorHAnsi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975" w:type="dxa"/>
            <w:vAlign w:val="center"/>
          </w:tcPr>
          <w:p w14:paraId="5E95652E">
            <w:pPr>
              <w:spacing w:after="0" w:line="240" w:lineRule="auto"/>
              <w:jc w:val="center"/>
              <w:rPr>
                <w:rFonts w:eastAsia="MS Gothic" w:cs="Arial" w:asciiTheme="majorHAnsi" w:hAnsiTheme="majorHAnsi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428" w:type="dxa"/>
            <w:vAlign w:val="center"/>
          </w:tcPr>
          <w:p w14:paraId="24578668">
            <w:pPr>
              <w:spacing w:after="0" w:line="240" w:lineRule="auto"/>
              <w:jc w:val="center"/>
              <w:rPr>
                <w:rFonts w:eastAsia="MS Gothic" w:cs="Arial" w:asciiTheme="majorHAnsi" w:hAnsiTheme="majorHAnsi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39" w:type="dxa"/>
            <w:vAlign w:val="center"/>
          </w:tcPr>
          <w:p w14:paraId="4CCBFE73">
            <w:pPr>
              <w:spacing w:after="0" w:line="240" w:lineRule="auto"/>
              <w:jc w:val="center"/>
              <w:rPr>
                <w:rFonts w:eastAsia="MS Gothic" w:cs="Arial" w:asciiTheme="majorHAnsi" w:hAnsiTheme="majorHAnsi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975" w:type="dxa"/>
            <w:vAlign w:val="center"/>
          </w:tcPr>
          <w:p w14:paraId="48ED643C">
            <w:pPr>
              <w:spacing w:after="0" w:line="240" w:lineRule="auto"/>
              <w:jc w:val="center"/>
              <w:rPr>
                <w:rFonts w:eastAsia="MS Gothic" w:cs="Arial" w:asciiTheme="majorHAnsi" w:hAnsiTheme="majorHAnsi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14:paraId="4F58B35B">
      <w:pPr>
        <w:spacing w:after="0" w:line="240" w:lineRule="auto"/>
        <w:rPr>
          <w:rFonts w:cs="Arial" w:asciiTheme="majorHAnsi" w:hAnsiTheme="majorHAnsi"/>
          <w:b/>
          <w:sz w:val="24"/>
          <w:szCs w:val="24"/>
        </w:rPr>
      </w:pPr>
    </w:p>
    <w:p w14:paraId="18E57D02">
      <w:pPr>
        <w:ind w:left="426" w:hanging="426"/>
        <w:jc w:val="both"/>
        <w:rPr>
          <w:rFonts w:cs="Arial" w:asciiTheme="majorHAnsi" w:hAnsiTheme="majorHAnsi"/>
          <w:b/>
          <w:sz w:val="24"/>
          <w:szCs w:val="24"/>
        </w:rPr>
      </w:pPr>
      <w:r>
        <w:rPr>
          <w:rFonts w:cs="Arial" w:asciiTheme="majorHAnsi" w:hAnsiTheme="majorHAnsi"/>
          <w:b/>
          <w:sz w:val="24"/>
          <w:szCs w:val="24"/>
        </w:rPr>
        <w:t>Článok III - Informácie o prijatých postupoch</w:t>
      </w:r>
    </w:p>
    <w:p w14:paraId="36F96C20">
      <w:pPr>
        <w:spacing w:after="0" w:line="240" w:lineRule="auto"/>
        <w:ind w:left="426" w:hanging="426"/>
        <w:jc w:val="both"/>
        <w:rPr>
          <w:rFonts w:cs="Arial" w:asciiTheme="majorHAnsi" w:hAnsiTheme="majorHAnsi"/>
          <w:b/>
        </w:rPr>
      </w:pPr>
      <w:r>
        <w:rPr>
          <w:rFonts w:ascii="Cambria" w:hAnsi="Cambria" w:cs="Arial"/>
          <w:b/>
        </w:rPr>
        <w:t>III.1</w:t>
      </w:r>
      <w:r>
        <w:rPr>
          <w:rFonts w:ascii="Cambria" w:hAnsi="Cambria" w:cs="Arial"/>
          <w:b/>
        </w:rPr>
        <w:tab/>
      </w:r>
      <w:r>
        <w:rPr>
          <w:rFonts w:ascii="Cambria" w:hAnsi="Cambria" w:cs="Arial"/>
          <w:b/>
        </w:rPr>
        <w:t xml:space="preserve"> </w:t>
      </w:r>
      <w:r>
        <w:rPr>
          <w:rFonts w:cs="Arial" w:asciiTheme="majorHAnsi" w:hAnsiTheme="majorHAnsi"/>
          <w:b/>
        </w:rPr>
        <w:t xml:space="preserve">Účtovná jednotka bude nepretržite pokračovať vo svojej činnosti: </w:t>
      </w:r>
      <w:sdt>
        <w:sdtPr>
          <w:rPr>
            <w:rFonts w:cs="Arial" w:asciiTheme="majorHAnsi" w:hAnsiTheme="majorHAnsi"/>
            <w:b/>
            <w:color w:val="00B050"/>
          </w:rPr>
          <w:alias w:val="pokračovanie"/>
          <w:tag w:val="vyberte"/>
          <w:id w:val="837810745"/>
          <w:dropDownList>
            <w:listItem w:displayText="vyberte" w:value="vyberte"/>
            <w:listItem w:displayText="áno" w:value="áno"/>
            <w:listItem w:displayText="nie" w:value="nie"/>
          </w:dropDownList>
        </w:sdtPr>
        <w:sdtEndPr>
          <w:rPr>
            <w:rFonts w:cs="Arial" w:asciiTheme="majorHAnsi" w:hAnsiTheme="majorHAnsi"/>
            <w:b/>
            <w:color w:val="00B050"/>
          </w:rPr>
        </w:sdtEndPr>
        <w:sdtContent>
          <w:r>
            <w:rPr>
              <w:rFonts w:cs="Arial" w:asciiTheme="majorHAnsi" w:hAnsiTheme="majorHAnsi"/>
              <w:b/>
              <w:color w:val="00B050"/>
            </w:rPr>
            <w:t>áno</w:t>
          </w:r>
        </w:sdtContent>
      </w:sdt>
    </w:p>
    <w:p w14:paraId="19B5DC85">
      <w:pPr>
        <w:spacing w:after="0" w:line="240" w:lineRule="auto"/>
        <w:ind w:left="426" w:hanging="426"/>
        <w:jc w:val="both"/>
        <w:rPr>
          <w:rFonts w:ascii="Cambria" w:hAnsi="Cambria" w:cs="Arial"/>
          <w:sz w:val="20"/>
          <w:szCs w:val="20"/>
        </w:rPr>
      </w:pPr>
    </w:p>
    <w:p w14:paraId="70D9AC6F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</w:p>
    <w:p w14:paraId="69B92185">
      <w:pPr>
        <w:spacing w:after="0" w:line="240" w:lineRule="auto"/>
        <w:ind w:left="426" w:hanging="426"/>
        <w:jc w:val="both"/>
        <w:rPr>
          <w:rFonts w:cs="Arial" w:asciiTheme="majorHAnsi" w:hAnsiTheme="majorHAnsi"/>
          <w:b/>
        </w:rPr>
      </w:pPr>
      <w:r>
        <w:rPr>
          <w:rFonts w:ascii="Cambria" w:hAnsi="Cambria" w:cs="Arial"/>
          <w:b/>
        </w:rPr>
        <w:t>III.2</w:t>
      </w:r>
      <w:r>
        <w:rPr>
          <w:rFonts w:ascii="Cambria" w:hAnsi="Cambria" w:cs="Arial"/>
          <w:b/>
        </w:rPr>
        <w:tab/>
      </w:r>
      <w:r>
        <w:rPr>
          <w:rFonts w:ascii="Cambria" w:hAnsi="Cambria" w:cs="Arial"/>
          <w:b/>
        </w:rPr>
        <w:t xml:space="preserve"> </w:t>
      </w:r>
      <w:r>
        <w:rPr>
          <w:rFonts w:cs="Arial" w:asciiTheme="majorHAnsi" w:hAnsiTheme="majorHAnsi"/>
          <w:b/>
        </w:rPr>
        <w:t>Zmeny účtovných zásad a metód:</w:t>
      </w:r>
    </w:p>
    <w:p w14:paraId="7E47ED9D">
      <w:pPr>
        <w:spacing w:line="240" w:lineRule="auto"/>
        <w:ind w:left="426" w:hanging="426"/>
        <w:jc w:val="both"/>
        <w:rPr>
          <w:rFonts w:cs="Arial" w:asciiTheme="majorHAnsi" w:hAnsiTheme="majorHAnsi"/>
          <w:sz w:val="20"/>
          <w:szCs w:val="20"/>
        </w:rPr>
      </w:pPr>
    </w:p>
    <w:p w14:paraId="28739B5E">
      <w:pPr>
        <w:spacing w:line="240" w:lineRule="auto"/>
        <w:ind w:left="426" w:hanging="426"/>
        <w:jc w:val="both"/>
        <w:rPr>
          <w:rFonts w:cs="Arial" w:asciiTheme="majorHAnsi" w:hAnsiTheme="majorHAnsi"/>
          <w:sz w:val="20"/>
          <w:szCs w:val="20"/>
        </w:rPr>
      </w:pPr>
      <w:r>
        <w:rPr>
          <w:rFonts w:cs="Arial" w:asciiTheme="majorHAnsi" w:hAnsiTheme="majorHAnsi"/>
          <w:sz w:val="20"/>
          <w:szCs w:val="20"/>
        </w:rPr>
        <w:t>Účtovné zásady a metódy boli účtovnou jednotkou konzistentne aplikované.</w:t>
      </w:r>
    </w:p>
    <w:p w14:paraId="761C3E63">
      <w:pPr>
        <w:spacing w:before="240" w:line="240" w:lineRule="auto"/>
        <w:ind w:left="426" w:hanging="426"/>
        <w:jc w:val="both"/>
        <w:rPr>
          <w:rFonts w:cs="Arial" w:asciiTheme="majorHAnsi" w:hAnsiTheme="majorHAnsi"/>
          <w:b/>
        </w:rPr>
      </w:pPr>
    </w:p>
    <w:p w14:paraId="3492429E">
      <w:pPr>
        <w:spacing w:before="240" w:line="240" w:lineRule="auto"/>
        <w:ind w:left="426" w:hanging="426"/>
        <w:jc w:val="both"/>
        <w:rPr>
          <w:rFonts w:eastAsia="MS Gothic" w:cs="Arial" w:asciiTheme="majorHAnsi" w:hAnsiTheme="majorHAnsi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cs="Arial" w:asciiTheme="majorHAnsi" w:hAnsiTheme="majorHAnsi"/>
          <w:b/>
        </w:rPr>
        <w:t xml:space="preserve">III.3 </w:t>
      </w:r>
      <w:r>
        <w:rPr>
          <w:rFonts w:cs="Arial" w:asciiTheme="majorHAnsi" w:hAnsiTheme="majorHAnsi"/>
          <w:b/>
        </w:rPr>
        <w:tab/>
      </w:r>
      <w:r>
        <w:rPr>
          <w:rFonts w:eastAsia="MS Gothic" w:cs="Arial" w:asciiTheme="majorHAnsi" w:hAnsiTheme="majorHAnsi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 charaktere a účele transakcií, ktoré sa neuvádzajú v súvahe:</w:t>
      </w:r>
    </w:p>
    <w:p w14:paraId="6A127B8A">
      <w:pPr>
        <w:spacing w:line="240" w:lineRule="auto"/>
        <w:jc w:val="both"/>
        <w:rPr>
          <w:rFonts w:cs="Arial" w:asciiTheme="majorHAnsi" w:hAnsiTheme="majorHAnsi"/>
          <w:i/>
          <w:sz w:val="20"/>
          <w:szCs w:val="20"/>
        </w:rPr>
      </w:pPr>
      <w:r>
        <w:rPr>
          <w:rFonts w:cs="Arial" w:asciiTheme="majorHAnsi" w:hAnsiTheme="majorHAnsi"/>
          <w:sz w:val="20"/>
          <w:szCs w:val="20"/>
        </w:rPr>
        <w:t>Účtovná jednotka neidentifikovala transakcie, ktorých charakter a účel nie je uvedený v súvahe.</w:t>
      </w:r>
    </w:p>
    <w:p w14:paraId="621A5CA9">
      <w:pPr>
        <w:spacing w:line="240" w:lineRule="auto"/>
        <w:jc w:val="both"/>
        <w:rPr>
          <w:rFonts w:cs="Arial" w:asciiTheme="majorHAnsi" w:hAnsiTheme="majorHAnsi"/>
          <w:i/>
          <w:sz w:val="20"/>
          <w:szCs w:val="20"/>
        </w:rPr>
      </w:pPr>
    </w:p>
    <w:p w14:paraId="28619F14">
      <w:pPr>
        <w:spacing w:line="240" w:lineRule="auto"/>
        <w:jc w:val="both"/>
        <w:rPr>
          <w:rFonts w:cs="Arial" w:asciiTheme="majorHAnsi" w:hAnsiTheme="majorHAnsi"/>
          <w:b/>
        </w:rPr>
      </w:pPr>
      <w:r>
        <w:rPr>
          <w:rFonts w:cs="Arial" w:asciiTheme="majorHAnsi" w:hAnsiTheme="majorHAnsi"/>
          <w:b/>
        </w:rPr>
        <w:t xml:space="preserve">III.4 a) </w:t>
      </w:r>
      <w:r>
        <w:rPr>
          <w:rFonts w:eastAsia="MS Gothic" w:cs="Arial" w:asciiTheme="majorHAnsi" w:hAnsiTheme="majorHAnsi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Spôsob oceňovania jednotlivých zložiek majetku a záväzkov: </w:t>
      </w:r>
    </w:p>
    <w:tbl>
      <w:tblPr>
        <w:tblStyle w:val="12"/>
        <w:tblW w:w="0" w:type="auto"/>
        <w:tblInd w:w="108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20"/>
        <w:gridCol w:w="2065"/>
        <w:gridCol w:w="2268"/>
      </w:tblGrid>
      <w:tr w14:paraId="5E2F445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44209A62">
            <w:pPr>
              <w:spacing w:after="0" w:line="240" w:lineRule="auto"/>
              <w:jc w:val="both"/>
              <w:rPr>
                <w:rFonts w:cs="Arial" w:asciiTheme="majorHAnsi" w:hAnsiTheme="majorHAnsi"/>
                <w:b/>
                <w:sz w:val="20"/>
                <w:szCs w:val="20"/>
              </w:rPr>
            </w:pPr>
            <w:r>
              <w:rPr>
                <w:rFonts w:cs="Arial" w:asciiTheme="majorHAnsi" w:hAnsiTheme="majorHAnsi"/>
                <w:b/>
                <w:sz w:val="20"/>
                <w:szCs w:val="20"/>
              </w:rPr>
              <w:t>Druh majetku/záväzkov</w:t>
            </w:r>
          </w:p>
        </w:tc>
        <w:tc>
          <w:tcPr>
            <w:tcW w:w="2065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31CF6C75">
            <w:pPr>
              <w:spacing w:after="0" w:line="240" w:lineRule="auto"/>
              <w:jc w:val="center"/>
              <w:rPr>
                <w:rFonts w:cs="Arial" w:asciiTheme="majorHAnsi" w:hAnsiTheme="majorHAnsi"/>
                <w:b/>
                <w:sz w:val="20"/>
                <w:szCs w:val="20"/>
              </w:rPr>
            </w:pPr>
            <w:r>
              <w:rPr>
                <w:rFonts w:cs="Arial" w:asciiTheme="majorHAnsi" w:hAnsiTheme="majorHAnsi"/>
                <w:b/>
                <w:sz w:val="20"/>
                <w:szCs w:val="20"/>
              </w:rPr>
              <w:t>Spôsob ocenenia</w:t>
            </w:r>
          </w:p>
        </w:tc>
        <w:tc>
          <w:tcPr>
            <w:tcW w:w="2268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</w:tcBorders>
            <w:vAlign w:val="center"/>
          </w:tcPr>
          <w:p w14:paraId="7D808996">
            <w:pPr>
              <w:spacing w:after="0" w:line="240" w:lineRule="auto"/>
              <w:jc w:val="center"/>
              <w:rPr>
                <w:rFonts w:cs="Arial" w:asciiTheme="majorHAnsi" w:hAnsiTheme="majorHAnsi"/>
                <w:b/>
                <w:sz w:val="20"/>
                <w:szCs w:val="20"/>
              </w:rPr>
            </w:pPr>
            <w:r>
              <w:rPr>
                <w:rFonts w:cs="Arial" w:asciiTheme="majorHAnsi" w:hAnsiTheme="majorHAnsi"/>
                <w:b/>
                <w:sz w:val="20"/>
                <w:szCs w:val="20"/>
              </w:rPr>
              <w:t>Náklady spojené</w:t>
            </w:r>
          </w:p>
          <w:p w14:paraId="472B2B77">
            <w:pPr>
              <w:spacing w:after="0" w:line="240" w:lineRule="auto"/>
              <w:jc w:val="center"/>
              <w:rPr>
                <w:rFonts w:cs="Arial" w:asciiTheme="majorHAnsi" w:hAnsiTheme="majorHAnsi"/>
                <w:b/>
                <w:sz w:val="20"/>
                <w:szCs w:val="20"/>
              </w:rPr>
            </w:pPr>
            <w:r>
              <w:rPr>
                <w:rFonts w:cs="Arial" w:asciiTheme="majorHAnsi" w:hAnsiTheme="majorHAnsi"/>
                <w:b/>
                <w:sz w:val="20"/>
                <w:szCs w:val="20"/>
              </w:rPr>
              <w:t>s obstaraním</w:t>
            </w:r>
          </w:p>
        </w:tc>
      </w:tr>
      <w:tr w14:paraId="2AEEEB6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auto" w:sz="12" w:space="0"/>
            </w:tcBorders>
            <w:vAlign w:val="center"/>
          </w:tcPr>
          <w:p w14:paraId="565D2B06">
            <w:pPr>
              <w:spacing w:after="0" w:line="240" w:lineRule="auto"/>
              <w:jc w:val="both"/>
              <w:rPr>
                <w:rFonts w:cs="Arial" w:asciiTheme="majorHAnsi" w:hAnsiTheme="majorHAnsi"/>
                <w:sz w:val="20"/>
                <w:szCs w:val="20"/>
              </w:rPr>
            </w:pPr>
            <w:r>
              <w:rPr>
                <w:rFonts w:cs="Arial" w:asciiTheme="majorHAnsi" w:hAnsiTheme="majorHAnsi"/>
                <w:sz w:val="20"/>
                <w:szCs w:val="20"/>
              </w:rPr>
              <w:t>DNM obstaraný kúpou</w:t>
            </w:r>
          </w:p>
        </w:tc>
        <w:tc>
          <w:tcPr>
            <w:tcW w:w="2065" w:type="dxa"/>
            <w:tcBorders>
              <w:top w:val="single" w:color="auto" w:sz="12" w:space="0"/>
            </w:tcBorders>
            <w:vAlign w:val="center"/>
          </w:tcPr>
          <w:p w14:paraId="4F485D38">
            <w:pPr>
              <w:spacing w:after="0" w:line="240" w:lineRule="auto"/>
              <w:jc w:val="center"/>
              <w:rPr>
                <w:rFonts w:cs="Arial" w:asciiTheme="majorHAnsi" w:hAnsiTheme="majorHAnsi"/>
                <w:i/>
                <w:sz w:val="20"/>
                <w:szCs w:val="20"/>
              </w:rPr>
            </w:pPr>
            <w:r>
              <w:rPr>
                <w:rFonts w:cs="Arial" w:asciiTheme="majorHAnsi" w:hAnsiTheme="majorHAnsi"/>
                <w:i/>
                <w:sz w:val="20"/>
                <w:szCs w:val="20"/>
              </w:rPr>
              <w:t>Obstarávacia cena</w:t>
            </w:r>
          </w:p>
        </w:tc>
        <w:tc>
          <w:tcPr>
            <w:tcW w:w="2268" w:type="dxa"/>
            <w:tcBorders>
              <w:top w:val="single" w:color="auto" w:sz="12" w:space="0"/>
            </w:tcBorders>
            <w:vAlign w:val="center"/>
          </w:tcPr>
          <w:p w14:paraId="262D1798">
            <w:pPr>
              <w:spacing w:after="0" w:line="240" w:lineRule="auto"/>
              <w:jc w:val="center"/>
              <w:rPr>
                <w:rFonts w:cs="Arial" w:asciiTheme="majorHAnsi" w:hAnsiTheme="majorHAnsi"/>
                <w:sz w:val="20"/>
                <w:szCs w:val="20"/>
              </w:rPr>
            </w:pPr>
          </w:p>
        </w:tc>
      </w:tr>
      <w:tr w14:paraId="06BF5C0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Align w:val="center"/>
          </w:tcPr>
          <w:p w14:paraId="2ACA79D5">
            <w:pPr>
              <w:spacing w:after="0" w:line="240" w:lineRule="auto"/>
              <w:jc w:val="both"/>
              <w:rPr>
                <w:rFonts w:cs="Arial" w:asciiTheme="majorHAnsi" w:hAnsiTheme="majorHAnsi"/>
                <w:sz w:val="20"/>
                <w:szCs w:val="20"/>
              </w:rPr>
            </w:pPr>
            <w:r>
              <w:rPr>
                <w:rFonts w:cs="Arial" w:asciiTheme="majorHAnsi" w:hAnsiTheme="majorHAnsi"/>
                <w:sz w:val="20"/>
                <w:szCs w:val="20"/>
              </w:rPr>
              <w:t>DNM obstaraný vlastnou činnosťou</w:t>
            </w:r>
          </w:p>
        </w:tc>
        <w:tc>
          <w:tcPr>
            <w:tcW w:w="2065" w:type="dxa"/>
            <w:vAlign w:val="center"/>
          </w:tcPr>
          <w:p w14:paraId="34B0B3ED">
            <w:pPr>
              <w:spacing w:after="0" w:line="240" w:lineRule="auto"/>
              <w:jc w:val="center"/>
              <w:rPr>
                <w:rFonts w:cs="Arial" w:asciiTheme="majorHAnsi" w:hAnsiTheme="majorHAnsi"/>
                <w:i/>
                <w:sz w:val="20"/>
                <w:szCs w:val="20"/>
              </w:rPr>
            </w:pPr>
            <w:r>
              <w:rPr>
                <w:rFonts w:cs="Arial" w:asciiTheme="majorHAnsi" w:hAnsiTheme="majorHAnsi"/>
                <w:i/>
                <w:sz w:val="20"/>
                <w:szCs w:val="20"/>
              </w:rPr>
              <w:t>Vlastné náklady</w:t>
            </w:r>
          </w:p>
        </w:tc>
        <w:tc>
          <w:tcPr>
            <w:tcW w:w="2268" w:type="dxa"/>
            <w:vAlign w:val="center"/>
          </w:tcPr>
          <w:p w14:paraId="79F352E0">
            <w:pPr>
              <w:spacing w:after="0" w:line="240" w:lineRule="auto"/>
              <w:jc w:val="center"/>
              <w:rPr>
                <w:rFonts w:cs="Arial" w:asciiTheme="majorHAnsi" w:hAnsiTheme="majorHAnsi"/>
                <w:sz w:val="20"/>
                <w:szCs w:val="20"/>
              </w:rPr>
            </w:pPr>
          </w:p>
        </w:tc>
      </w:tr>
      <w:tr w14:paraId="67F7FAF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Align w:val="center"/>
          </w:tcPr>
          <w:p w14:paraId="763A4DBC">
            <w:pPr>
              <w:spacing w:after="0" w:line="240" w:lineRule="auto"/>
              <w:jc w:val="both"/>
              <w:rPr>
                <w:rFonts w:cs="Arial" w:asciiTheme="majorHAnsi" w:hAnsiTheme="majorHAnsi"/>
                <w:sz w:val="20"/>
                <w:szCs w:val="20"/>
              </w:rPr>
            </w:pPr>
            <w:r>
              <w:rPr>
                <w:rFonts w:cs="Arial" w:asciiTheme="majorHAnsi" w:hAnsiTheme="majorHAnsi"/>
                <w:sz w:val="20"/>
                <w:szCs w:val="20"/>
              </w:rPr>
              <w:t>DNM obstaraný iným spôsobom</w:t>
            </w:r>
          </w:p>
        </w:tc>
        <w:tc>
          <w:tcPr>
            <w:tcW w:w="2065" w:type="dxa"/>
            <w:vAlign w:val="center"/>
          </w:tcPr>
          <w:p w14:paraId="35C5134B">
            <w:pPr>
              <w:spacing w:after="0" w:line="240" w:lineRule="auto"/>
              <w:jc w:val="center"/>
              <w:rPr>
                <w:rFonts w:cs="Arial" w:asciiTheme="majorHAnsi" w:hAnsiTheme="majorHAnsi"/>
                <w:i/>
                <w:sz w:val="20"/>
                <w:szCs w:val="20"/>
              </w:rPr>
            </w:pPr>
            <w:r>
              <w:rPr>
                <w:rFonts w:cs="Arial" w:asciiTheme="majorHAnsi" w:hAnsiTheme="majorHAnsi"/>
                <w:i/>
                <w:sz w:val="20"/>
                <w:szCs w:val="20"/>
              </w:rPr>
              <w:t>Reálna hodnota</w:t>
            </w:r>
          </w:p>
        </w:tc>
        <w:tc>
          <w:tcPr>
            <w:tcW w:w="2268" w:type="dxa"/>
            <w:vAlign w:val="center"/>
          </w:tcPr>
          <w:p w14:paraId="6481F099">
            <w:pPr>
              <w:spacing w:after="0" w:line="240" w:lineRule="auto"/>
              <w:jc w:val="center"/>
              <w:rPr>
                <w:rFonts w:cs="Arial" w:asciiTheme="majorHAnsi" w:hAnsiTheme="majorHAnsi"/>
                <w:sz w:val="20"/>
                <w:szCs w:val="20"/>
              </w:rPr>
            </w:pPr>
          </w:p>
        </w:tc>
      </w:tr>
      <w:tr w14:paraId="41594C4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Align w:val="center"/>
          </w:tcPr>
          <w:p w14:paraId="2F62D5D4">
            <w:pPr>
              <w:spacing w:after="0" w:line="240" w:lineRule="auto"/>
              <w:jc w:val="both"/>
              <w:rPr>
                <w:rFonts w:cs="Arial" w:asciiTheme="majorHAnsi" w:hAnsiTheme="majorHAnsi"/>
                <w:sz w:val="20"/>
                <w:szCs w:val="20"/>
              </w:rPr>
            </w:pPr>
            <w:r>
              <w:rPr>
                <w:rFonts w:cs="Arial" w:asciiTheme="majorHAnsi" w:hAnsiTheme="majorHAnsi"/>
                <w:sz w:val="20"/>
                <w:szCs w:val="20"/>
              </w:rPr>
              <w:t>DHM obstaraný kúpou</w:t>
            </w:r>
          </w:p>
        </w:tc>
        <w:tc>
          <w:tcPr>
            <w:tcW w:w="2065" w:type="dxa"/>
            <w:vAlign w:val="center"/>
          </w:tcPr>
          <w:p w14:paraId="7DB1FD87">
            <w:pPr>
              <w:spacing w:after="0" w:line="240" w:lineRule="auto"/>
              <w:jc w:val="center"/>
              <w:rPr>
                <w:rFonts w:cs="Arial" w:asciiTheme="majorHAnsi" w:hAnsiTheme="majorHAnsi"/>
                <w:i/>
                <w:sz w:val="20"/>
                <w:szCs w:val="20"/>
              </w:rPr>
            </w:pPr>
            <w:r>
              <w:rPr>
                <w:rFonts w:cs="Arial" w:asciiTheme="majorHAnsi" w:hAnsiTheme="majorHAnsi"/>
                <w:i/>
                <w:sz w:val="20"/>
                <w:szCs w:val="20"/>
              </w:rPr>
              <w:t>Obstarávacia cena</w:t>
            </w:r>
          </w:p>
        </w:tc>
        <w:tc>
          <w:tcPr>
            <w:tcW w:w="2268" w:type="dxa"/>
            <w:vAlign w:val="center"/>
          </w:tcPr>
          <w:p w14:paraId="30582A3E">
            <w:pPr>
              <w:spacing w:after="0" w:line="240" w:lineRule="auto"/>
              <w:jc w:val="center"/>
              <w:rPr>
                <w:rFonts w:cs="Arial" w:asciiTheme="majorHAnsi" w:hAnsiTheme="majorHAnsi"/>
                <w:sz w:val="20"/>
                <w:szCs w:val="20"/>
              </w:rPr>
            </w:pPr>
          </w:p>
        </w:tc>
      </w:tr>
      <w:tr w14:paraId="21FB873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Align w:val="center"/>
          </w:tcPr>
          <w:p w14:paraId="19D07C77">
            <w:pPr>
              <w:spacing w:after="0" w:line="240" w:lineRule="auto"/>
              <w:jc w:val="both"/>
              <w:rPr>
                <w:rFonts w:cs="Arial" w:asciiTheme="majorHAnsi" w:hAnsiTheme="majorHAnsi"/>
                <w:sz w:val="20"/>
                <w:szCs w:val="20"/>
              </w:rPr>
            </w:pPr>
            <w:r>
              <w:rPr>
                <w:rFonts w:cs="Arial" w:asciiTheme="majorHAnsi" w:hAnsiTheme="majorHAnsi"/>
                <w:sz w:val="20"/>
                <w:szCs w:val="20"/>
              </w:rPr>
              <w:t>DHM obstaraný vlastnou činnosťou</w:t>
            </w:r>
          </w:p>
        </w:tc>
        <w:tc>
          <w:tcPr>
            <w:tcW w:w="2065" w:type="dxa"/>
            <w:vAlign w:val="center"/>
          </w:tcPr>
          <w:p w14:paraId="6E43A2F1">
            <w:pPr>
              <w:spacing w:after="0" w:line="240" w:lineRule="auto"/>
              <w:jc w:val="center"/>
              <w:rPr>
                <w:rFonts w:cs="Arial" w:asciiTheme="majorHAnsi" w:hAnsiTheme="majorHAnsi"/>
                <w:i/>
                <w:sz w:val="20"/>
                <w:szCs w:val="20"/>
              </w:rPr>
            </w:pPr>
            <w:r>
              <w:rPr>
                <w:rFonts w:cs="Arial" w:asciiTheme="majorHAnsi" w:hAnsiTheme="majorHAnsi"/>
                <w:i/>
                <w:sz w:val="20"/>
                <w:szCs w:val="20"/>
              </w:rPr>
              <w:t>Vlastné náklady</w:t>
            </w:r>
          </w:p>
        </w:tc>
        <w:tc>
          <w:tcPr>
            <w:tcW w:w="2268" w:type="dxa"/>
            <w:vAlign w:val="center"/>
          </w:tcPr>
          <w:p w14:paraId="33CEDCDB">
            <w:pPr>
              <w:spacing w:after="0" w:line="240" w:lineRule="auto"/>
              <w:jc w:val="center"/>
              <w:rPr>
                <w:rFonts w:cs="Arial" w:asciiTheme="majorHAnsi" w:hAnsiTheme="majorHAnsi"/>
                <w:sz w:val="20"/>
                <w:szCs w:val="20"/>
              </w:rPr>
            </w:pPr>
          </w:p>
        </w:tc>
      </w:tr>
      <w:tr w14:paraId="30AF3B4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Align w:val="center"/>
          </w:tcPr>
          <w:p w14:paraId="497F11A9">
            <w:pPr>
              <w:spacing w:after="0" w:line="240" w:lineRule="auto"/>
              <w:jc w:val="both"/>
              <w:rPr>
                <w:rFonts w:cs="Arial" w:asciiTheme="majorHAnsi" w:hAnsiTheme="majorHAnsi"/>
                <w:sz w:val="20"/>
                <w:szCs w:val="20"/>
              </w:rPr>
            </w:pPr>
            <w:r>
              <w:rPr>
                <w:rFonts w:cs="Arial" w:asciiTheme="majorHAnsi" w:hAnsiTheme="majorHAnsi"/>
                <w:sz w:val="20"/>
                <w:szCs w:val="20"/>
              </w:rPr>
              <w:t>DHM obstaraný iným spôsobom</w:t>
            </w:r>
          </w:p>
        </w:tc>
        <w:tc>
          <w:tcPr>
            <w:tcW w:w="2065" w:type="dxa"/>
            <w:vAlign w:val="center"/>
          </w:tcPr>
          <w:p w14:paraId="2AD56194">
            <w:pPr>
              <w:spacing w:after="0" w:line="240" w:lineRule="auto"/>
              <w:jc w:val="center"/>
              <w:rPr>
                <w:rFonts w:cs="Arial" w:asciiTheme="majorHAnsi" w:hAnsiTheme="majorHAnsi"/>
                <w:i/>
                <w:sz w:val="20"/>
                <w:szCs w:val="20"/>
              </w:rPr>
            </w:pPr>
            <w:r>
              <w:rPr>
                <w:rFonts w:cs="Arial" w:asciiTheme="majorHAnsi" w:hAnsiTheme="majorHAnsi"/>
                <w:i/>
                <w:sz w:val="20"/>
                <w:szCs w:val="20"/>
              </w:rPr>
              <w:t>Reálna hodnota</w:t>
            </w:r>
          </w:p>
        </w:tc>
        <w:tc>
          <w:tcPr>
            <w:tcW w:w="2268" w:type="dxa"/>
            <w:vAlign w:val="center"/>
          </w:tcPr>
          <w:p w14:paraId="570D34CB">
            <w:pPr>
              <w:spacing w:after="0" w:line="240" w:lineRule="auto"/>
              <w:jc w:val="center"/>
              <w:rPr>
                <w:rFonts w:cs="Arial" w:asciiTheme="majorHAnsi" w:hAnsiTheme="majorHAnsi"/>
                <w:sz w:val="20"/>
                <w:szCs w:val="20"/>
              </w:rPr>
            </w:pPr>
          </w:p>
        </w:tc>
      </w:tr>
      <w:tr w14:paraId="0317273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Align w:val="center"/>
          </w:tcPr>
          <w:p w14:paraId="4D8192A5">
            <w:pPr>
              <w:spacing w:after="0" w:line="240" w:lineRule="auto"/>
              <w:jc w:val="both"/>
              <w:rPr>
                <w:rFonts w:cs="Arial" w:asciiTheme="majorHAnsi" w:hAnsiTheme="majorHAnsi"/>
                <w:sz w:val="20"/>
                <w:szCs w:val="20"/>
              </w:rPr>
            </w:pPr>
            <w:r>
              <w:rPr>
                <w:rFonts w:cs="Arial" w:asciiTheme="majorHAnsi" w:hAnsiTheme="majorHAnsi"/>
                <w:sz w:val="20"/>
                <w:szCs w:val="20"/>
              </w:rPr>
              <w:t>Dlhodobý finančný majetok</w:t>
            </w:r>
          </w:p>
        </w:tc>
        <w:tc>
          <w:tcPr>
            <w:tcW w:w="2065" w:type="dxa"/>
            <w:vAlign w:val="center"/>
          </w:tcPr>
          <w:p w14:paraId="7EE38FD7">
            <w:pPr>
              <w:spacing w:after="0" w:line="240" w:lineRule="auto"/>
              <w:jc w:val="center"/>
              <w:rPr>
                <w:rFonts w:cs="Arial" w:asciiTheme="majorHAnsi" w:hAnsiTheme="majorHAnsi"/>
                <w:i/>
                <w:sz w:val="20"/>
                <w:szCs w:val="20"/>
              </w:rPr>
            </w:pPr>
            <w:r>
              <w:rPr>
                <w:rFonts w:cs="Arial" w:asciiTheme="majorHAnsi" w:hAnsiTheme="majorHAnsi"/>
                <w:i/>
                <w:sz w:val="20"/>
                <w:szCs w:val="20"/>
              </w:rPr>
              <w:t>Obstarávacia cena</w:t>
            </w:r>
          </w:p>
        </w:tc>
        <w:tc>
          <w:tcPr>
            <w:tcW w:w="2268" w:type="dxa"/>
            <w:vAlign w:val="center"/>
          </w:tcPr>
          <w:p w14:paraId="7B122B61">
            <w:pPr>
              <w:spacing w:after="0" w:line="240" w:lineRule="auto"/>
              <w:jc w:val="center"/>
              <w:rPr>
                <w:rFonts w:cs="Arial" w:asciiTheme="majorHAnsi" w:hAnsiTheme="majorHAnsi"/>
                <w:sz w:val="20"/>
                <w:szCs w:val="20"/>
              </w:rPr>
            </w:pPr>
          </w:p>
        </w:tc>
      </w:tr>
      <w:tr w14:paraId="72D31C8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Align w:val="center"/>
          </w:tcPr>
          <w:p w14:paraId="2A494ADE">
            <w:pPr>
              <w:spacing w:after="0" w:line="240" w:lineRule="auto"/>
              <w:jc w:val="both"/>
              <w:rPr>
                <w:rFonts w:cs="Arial" w:asciiTheme="majorHAnsi" w:hAnsiTheme="majorHAnsi"/>
                <w:sz w:val="20"/>
                <w:szCs w:val="20"/>
              </w:rPr>
            </w:pPr>
            <w:r>
              <w:rPr>
                <w:rFonts w:cs="Arial" w:asciiTheme="majorHAnsi" w:hAnsiTheme="majorHAnsi"/>
                <w:sz w:val="20"/>
                <w:szCs w:val="20"/>
              </w:rPr>
              <w:t>Zásoby obstarané kúpou</w:t>
            </w:r>
          </w:p>
        </w:tc>
        <w:tc>
          <w:tcPr>
            <w:tcW w:w="2065" w:type="dxa"/>
            <w:vAlign w:val="center"/>
          </w:tcPr>
          <w:p w14:paraId="58C9FC38">
            <w:pPr>
              <w:spacing w:after="0" w:line="240" w:lineRule="auto"/>
              <w:jc w:val="center"/>
              <w:rPr>
                <w:rFonts w:cs="Arial" w:asciiTheme="majorHAnsi" w:hAnsiTheme="majorHAnsi"/>
                <w:i/>
                <w:sz w:val="20"/>
                <w:szCs w:val="20"/>
              </w:rPr>
            </w:pPr>
            <w:r>
              <w:rPr>
                <w:rFonts w:cs="Arial" w:asciiTheme="majorHAnsi" w:hAnsiTheme="majorHAnsi"/>
                <w:i/>
                <w:sz w:val="20"/>
                <w:szCs w:val="20"/>
              </w:rPr>
              <w:t>Obstarávacia cena</w:t>
            </w:r>
          </w:p>
        </w:tc>
        <w:tc>
          <w:tcPr>
            <w:tcW w:w="2268" w:type="dxa"/>
            <w:vAlign w:val="center"/>
          </w:tcPr>
          <w:p w14:paraId="57DDCB75">
            <w:pPr>
              <w:spacing w:after="0" w:line="240" w:lineRule="auto"/>
              <w:jc w:val="center"/>
              <w:rPr>
                <w:rFonts w:cs="Arial" w:asciiTheme="majorHAnsi" w:hAnsiTheme="majorHAnsi"/>
                <w:sz w:val="20"/>
                <w:szCs w:val="20"/>
              </w:rPr>
            </w:pPr>
            <w:r>
              <w:rPr>
                <w:rFonts w:cs="Arial" w:asciiTheme="majorHAnsi" w:hAnsiTheme="majorHAnsi"/>
                <w:sz w:val="20"/>
                <w:szCs w:val="20"/>
              </w:rPr>
              <w:t>Vrátane obratového bonusu</w:t>
            </w:r>
          </w:p>
        </w:tc>
      </w:tr>
      <w:tr w14:paraId="1C73EBB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Align w:val="center"/>
          </w:tcPr>
          <w:p w14:paraId="27FB06EB">
            <w:pPr>
              <w:spacing w:after="0" w:line="240" w:lineRule="auto"/>
              <w:jc w:val="both"/>
              <w:rPr>
                <w:rFonts w:cs="Arial" w:asciiTheme="majorHAnsi" w:hAnsiTheme="majorHAnsi"/>
                <w:sz w:val="20"/>
                <w:szCs w:val="20"/>
              </w:rPr>
            </w:pPr>
            <w:r>
              <w:rPr>
                <w:rFonts w:cs="Arial" w:asciiTheme="majorHAnsi" w:hAnsiTheme="majorHAnsi"/>
                <w:sz w:val="20"/>
                <w:szCs w:val="20"/>
              </w:rPr>
              <w:t>Zásoby vytvorené vlastnou činnosťou</w:t>
            </w:r>
          </w:p>
        </w:tc>
        <w:tc>
          <w:tcPr>
            <w:tcW w:w="2065" w:type="dxa"/>
            <w:vAlign w:val="center"/>
          </w:tcPr>
          <w:p w14:paraId="64453A1D">
            <w:pPr>
              <w:spacing w:after="0" w:line="240" w:lineRule="auto"/>
              <w:jc w:val="center"/>
              <w:rPr>
                <w:rFonts w:cs="Arial" w:asciiTheme="majorHAnsi" w:hAnsiTheme="majorHAnsi"/>
                <w:i/>
                <w:sz w:val="20"/>
                <w:szCs w:val="20"/>
              </w:rPr>
            </w:pPr>
            <w:r>
              <w:rPr>
                <w:rFonts w:cs="Arial" w:asciiTheme="majorHAnsi" w:hAnsiTheme="majorHAnsi"/>
                <w:i/>
                <w:sz w:val="20"/>
                <w:szCs w:val="20"/>
              </w:rPr>
              <w:t>Vlastné náklady</w:t>
            </w:r>
          </w:p>
        </w:tc>
        <w:tc>
          <w:tcPr>
            <w:tcW w:w="2268" w:type="dxa"/>
            <w:vAlign w:val="center"/>
          </w:tcPr>
          <w:p w14:paraId="4ED35515">
            <w:pPr>
              <w:spacing w:after="0" w:line="240" w:lineRule="auto"/>
              <w:jc w:val="center"/>
              <w:rPr>
                <w:rFonts w:cs="Arial" w:asciiTheme="majorHAnsi" w:hAnsiTheme="majorHAnsi"/>
                <w:sz w:val="20"/>
                <w:szCs w:val="20"/>
              </w:rPr>
            </w:pPr>
          </w:p>
        </w:tc>
      </w:tr>
      <w:tr w14:paraId="677D0A0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Align w:val="center"/>
          </w:tcPr>
          <w:p w14:paraId="262659DE">
            <w:pPr>
              <w:spacing w:after="0" w:line="240" w:lineRule="auto"/>
              <w:jc w:val="both"/>
              <w:rPr>
                <w:rFonts w:cs="Arial" w:asciiTheme="majorHAnsi" w:hAnsiTheme="majorHAnsi"/>
                <w:sz w:val="20"/>
                <w:szCs w:val="20"/>
              </w:rPr>
            </w:pPr>
            <w:r>
              <w:rPr>
                <w:rFonts w:cs="Arial" w:asciiTheme="majorHAnsi" w:hAnsiTheme="majorHAnsi"/>
                <w:sz w:val="20"/>
                <w:szCs w:val="20"/>
              </w:rPr>
              <w:t>Zásoby obstarané iným spôsobom</w:t>
            </w:r>
          </w:p>
        </w:tc>
        <w:tc>
          <w:tcPr>
            <w:tcW w:w="2065" w:type="dxa"/>
            <w:vAlign w:val="center"/>
          </w:tcPr>
          <w:p w14:paraId="28526EB2">
            <w:pPr>
              <w:spacing w:after="0" w:line="240" w:lineRule="auto"/>
              <w:jc w:val="center"/>
              <w:rPr>
                <w:rFonts w:cs="Arial" w:asciiTheme="majorHAnsi" w:hAnsiTheme="majorHAnsi"/>
                <w:i/>
                <w:sz w:val="20"/>
                <w:szCs w:val="20"/>
              </w:rPr>
            </w:pPr>
            <w:r>
              <w:rPr>
                <w:rFonts w:cs="Arial" w:asciiTheme="majorHAnsi" w:hAnsiTheme="majorHAnsi"/>
                <w:i/>
                <w:sz w:val="20"/>
                <w:szCs w:val="20"/>
              </w:rPr>
              <w:t>Reálna hodnota</w:t>
            </w:r>
          </w:p>
        </w:tc>
        <w:tc>
          <w:tcPr>
            <w:tcW w:w="2268" w:type="dxa"/>
            <w:vAlign w:val="center"/>
          </w:tcPr>
          <w:p w14:paraId="7D6D5C5B">
            <w:pPr>
              <w:spacing w:after="0" w:line="240" w:lineRule="auto"/>
              <w:jc w:val="center"/>
              <w:rPr>
                <w:rFonts w:cs="Arial" w:asciiTheme="majorHAnsi" w:hAnsiTheme="majorHAnsi"/>
                <w:sz w:val="20"/>
                <w:szCs w:val="20"/>
              </w:rPr>
            </w:pPr>
          </w:p>
        </w:tc>
      </w:tr>
      <w:tr w14:paraId="73C325D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Align w:val="center"/>
          </w:tcPr>
          <w:p w14:paraId="42F61824">
            <w:pPr>
              <w:spacing w:after="0" w:line="240" w:lineRule="auto"/>
              <w:jc w:val="both"/>
              <w:rPr>
                <w:rFonts w:cs="Arial" w:asciiTheme="majorHAnsi" w:hAnsiTheme="majorHAnsi"/>
                <w:sz w:val="20"/>
                <w:szCs w:val="20"/>
              </w:rPr>
            </w:pPr>
            <w:r>
              <w:rPr>
                <w:rFonts w:cs="Arial" w:asciiTheme="majorHAnsi" w:hAnsiTheme="majorHAnsi"/>
                <w:sz w:val="20"/>
                <w:szCs w:val="20"/>
              </w:rPr>
              <w:t>Zákazková výroba</w:t>
            </w:r>
          </w:p>
        </w:tc>
        <w:tc>
          <w:tcPr>
            <w:tcW w:w="2065" w:type="dxa"/>
            <w:vAlign w:val="center"/>
          </w:tcPr>
          <w:p w14:paraId="7608EB00">
            <w:pPr>
              <w:spacing w:after="0" w:line="240" w:lineRule="auto"/>
              <w:jc w:val="center"/>
              <w:rPr>
                <w:rFonts w:cs="Arial" w:asciiTheme="majorHAnsi" w:hAnsiTheme="majorHAnsi"/>
                <w:i/>
                <w:sz w:val="20"/>
                <w:szCs w:val="20"/>
              </w:rPr>
            </w:pPr>
            <w:r>
              <w:rPr>
                <w:rFonts w:cs="Arial" w:asciiTheme="majorHAnsi" w:hAnsiTheme="majorHAnsi"/>
                <w:i/>
                <w:sz w:val="20"/>
                <w:szCs w:val="20"/>
              </w:rPr>
              <w:t>Menovitá hodnota</w:t>
            </w:r>
          </w:p>
        </w:tc>
        <w:tc>
          <w:tcPr>
            <w:tcW w:w="2268" w:type="dxa"/>
            <w:vAlign w:val="center"/>
          </w:tcPr>
          <w:p w14:paraId="4F2C5B9B">
            <w:pPr>
              <w:spacing w:after="0" w:line="240" w:lineRule="auto"/>
              <w:jc w:val="center"/>
              <w:rPr>
                <w:rFonts w:cs="Arial" w:asciiTheme="majorHAnsi" w:hAnsiTheme="majorHAnsi"/>
                <w:sz w:val="20"/>
                <w:szCs w:val="20"/>
              </w:rPr>
            </w:pPr>
          </w:p>
        </w:tc>
      </w:tr>
      <w:tr w14:paraId="78B367C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Align w:val="center"/>
          </w:tcPr>
          <w:p w14:paraId="208FB5D3">
            <w:pPr>
              <w:spacing w:after="0" w:line="240" w:lineRule="auto"/>
              <w:jc w:val="both"/>
              <w:rPr>
                <w:rFonts w:cs="Arial" w:asciiTheme="majorHAnsi" w:hAnsiTheme="majorHAnsi"/>
                <w:sz w:val="20"/>
                <w:szCs w:val="20"/>
              </w:rPr>
            </w:pPr>
            <w:r>
              <w:rPr>
                <w:rFonts w:cs="Arial" w:asciiTheme="majorHAnsi" w:hAnsiTheme="majorHAnsi"/>
                <w:sz w:val="20"/>
                <w:szCs w:val="20"/>
              </w:rPr>
              <w:t>Zákazková výstavba nehnuteľnosti určenej na predaj</w:t>
            </w:r>
          </w:p>
        </w:tc>
        <w:tc>
          <w:tcPr>
            <w:tcW w:w="2065" w:type="dxa"/>
            <w:vAlign w:val="center"/>
          </w:tcPr>
          <w:p w14:paraId="443F17EC">
            <w:pPr>
              <w:spacing w:after="0" w:line="240" w:lineRule="auto"/>
              <w:jc w:val="center"/>
              <w:rPr>
                <w:rFonts w:cs="Arial" w:asciiTheme="majorHAnsi" w:hAnsiTheme="majorHAnsi"/>
                <w:i/>
                <w:sz w:val="20"/>
                <w:szCs w:val="20"/>
              </w:rPr>
            </w:pPr>
            <w:r>
              <w:rPr>
                <w:rFonts w:cs="Arial" w:asciiTheme="majorHAnsi" w:hAnsiTheme="majorHAnsi"/>
                <w:i/>
                <w:sz w:val="20"/>
                <w:szCs w:val="20"/>
              </w:rPr>
              <w:t>Menovitá hodnota</w:t>
            </w:r>
          </w:p>
        </w:tc>
        <w:tc>
          <w:tcPr>
            <w:tcW w:w="2268" w:type="dxa"/>
            <w:vAlign w:val="center"/>
          </w:tcPr>
          <w:p w14:paraId="4385A262">
            <w:pPr>
              <w:spacing w:after="0" w:line="240" w:lineRule="auto"/>
              <w:jc w:val="center"/>
              <w:rPr>
                <w:rFonts w:cs="Arial" w:asciiTheme="majorHAnsi" w:hAnsiTheme="majorHAnsi"/>
                <w:sz w:val="20"/>
                <w:szCs w:val="20"/>
              </w:rPr>
            </w:pPr>
          </w:p>
        </w:tc>
      </w:tr>
      <w:tr w14:paraId="16DBC08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Align w:val="center"/>
          </w:tcPr>
          <w:p w14:paraId="15A1703A">
            <w:pPr>
              <w:spacing w:after="0" w:line="240" w:lineRule="auto"/>
              <w:jc w:val="both"/>
              <w:rPr>
                <w:rFonts w:cs="Arial" w:asciiTheme="majorHAnsi" w:hAnsiTheme="majorHAnsi"/>
                <w:sz w:val="20"/>
                <w:szCs w:val="20"/>
              </w:rPr>
            </w:pPr>
            <w:r>
              <w:rPr>
                <w:rFonts w:cs="Arial" w:asciiTheme="majorHAnsi" w:hAnsiTheme="majorHAnsi"/>
                <w:sz w:val="20"/>
                <w:szCs w:val="20"/>
              </w:rPr>
              <w:t>Pohľadávky</w:t>
            </w:r>
          </w:p>
        </w:tc>
        <w:tc>
          <w:tcPr>
            <w:tcW w:w="2065" w:type="dxa"/>
            <w:vAlign w:val="center"/>
          </w:tcPr>
          <w:p w14:paraId="6D5B0B41">
            <w:pPr>
              <w:spacing w:after="0" w:line="240" w:lineRule="auto"/>
              <w:jc w:val="center"/>
              <w:rPr>
                <w:rFonts w:cs="Arial" w:asciiTheme="majorHAnsi" w:hAnsiTheme="majorHAnsi"/>
                <w:i/>
                <w:sz w:val="20"/>
                <w:szCs w:val="20"/>
              </w:rPr>
            </w:pPr>
            <w:r>
              <w:rPr>
                <w:rFonts w:cs="Arial" w:asciiTheme="majorHAnsi" w:hAnsiTheme="majorHAnsi"/>
                <w:i/>
                <w:sz w:val="20"/>
                <w:szCs w:val="20"/>
              </w:rPr>
              <w:t>Menovitá hodnota</w:t>
            </w:r>
          </w:p>
        </w:tc>
        <w:tc>
          <w:tcPr>
            <w:tcW w:w="2268" w:type="dxa"/>
            <w:vAlign w:val="center"/>
          </w:tcPr>
          <w:p w14:paraId="58CBA091">
            <w:pPr>
              <w:spacing w:after="0" w:line="240" w:lineRule="auto"/>
              <w:jc w:val="center"/>
              <w:rPr>
                <w:rFonts w:cs="Arial" w:asciiTheme="majorHAnsi" w:hAnsiTheme="majorHAnsi"/>
                <w:sz w:val="20"/>
                <w:szCs w:val="20"/>
              </w:rPr>
            </w:pPr>
          </w:p>
        </w:tc>
      </w:tr>
      <w:tr w14:paraId="065A658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Align w:val="center"/>
          </w:tcPr>
          <w:p w14:paraId="0774E8F0">
            <w:pPr>
              <w:spacing w:after="0" w:line="240" w:lineRule="auto"/>
              <w:jc w:val="both"/>
              <w:rPr>
                <w:rFonts w:cs="Arial" w:asciiTheme="majorHAnsi" w:hAnsiTheme="majorHAnsi"/>
                <w:sz w:val="20"/>
                <w:szCs w:val="20"/>
              </w:rPr>
            </w:pPr>
            <w:r>
              <w:rPr>
                <w:rFonts w:cs="Arial" w:asciiTheme="majorHAnsi" w:hAnsiTheme="majorHAnsi"/>
                <w:sz w:val="20"/>
                <w:szCs w:val="20"/>
              </w:rPr>
              <w:t>Krátkodobý finančný majetok</w:t>
            </w:r>
          </w:p>
        </w:tc>
        <w:tc>
          <w:tcPr>
            <w:tcW w:w="2065" w:type="dxa"/>
            <w:vAlign w:val="center"/>
          </w:tcPr>
          <w:p w14:paraId="2B18EB06">
            <w:pPr>
              <w:spacing w:after="0" w:line="240" w:lineRule="auto"/>
              <w:jc w:val="center"/>
              <w:rPr>
                <w:rFonts w:cs="Arial" w:asciiTheme="majorHAnsi" w:hAnsiTheme="majorHAnsi"/>
                <w:i/>
                <w:sz w:val="20"/>
                <w:szCs w:val="20"/>
              </w:rPr>
            </w:pPr>
            <w:r>
              <w:rPr>
                <w:rFonts w:cs="Arial" w:asciiTheme="majorHAnsi" w:hAnsiTheme="majorHAnsi"/>
                <w:i/>
                <w:sz w:val="20"/>
                <w:szCs w:val="20"/>
              </w:rPr>
              <w:t>Obstarávacia cena</w:t>
            </w:r>
          </w:p>
        </w:tc>
        <w:tc>
          <w:tcPr>
            <w:tcW w:w="2268" w:type="dxa"/>
            <w:vAlign w:val="center"/>
          </w:tcPr>
          <w:p w14:paraId="75FD029E">
            <w:pPr>
              <w:spacing w:after="0" w:line="240" w:lineRule="auto"/>
              <w:jc w:val="center"/>
              <w:rPr>
                <w:rFonts w:cs="Arial" w:asciiTheme="majorHAnsi" w:hAnsiTheme="majorHAnsi"/>
                <w:sz w:val="20"/>
                <w:szCs w:val="20"/>
              </w:rPr>
            </w:pPr>
          </w:p>
        </w:tc>
      </w:tr>
      <w:tr w14:paraId="29C69B4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Align w:val="center"/>
          </w:tcPr>
          <w:p w14:paraId="54F4D450">
            <w:pPr>
              <w:spacing w:after="0" w:line="240" w:lineRule="auto"/>
              <w:jc w:val="both"/>
              <w:rPr>
                <w:rFonts w:cs="Arial" w:asciiTheme="majorHAnsi" w:hAnsiTheme="majorHAnsi"/>
                <w:sz w:val="20"/>
                <w:szCs w:val="20"/>
              </w:rPr>
            </w:pPr>
            <w:r>
              <w:rPr>
                <w:rFonts w:cs="Arial" w:asciiTheme="majorHAnsi" w:hAnsiTheme="majorHAnsi"/>
                <w:sz w:val="20"/>
                <w:szCs w:val="20"/>
              </w:rPr>
              <w:t>Časové rozlíšenie na strane aktív súvahy</w:t>
            </w:r>
          </w:p>
        </w:tc>
        <w:tc>
          <w:tcPr>
            <w:tcW w:w="2065" w:type="dxa"/>
            <w:vAlign w:val="center"/>
          </w:tcPr>
          <w:p w14:paraId="4F81E1B8">
            <w:pPr>
              <w:spacing w:after="0" w:line="240" w:lineRule="auto"/>
              <w:jc w:val="center"/>
              <w:rPr>
                <w:rFonts w:cs="Arial" w:asciiTheme="majorHAnsi" w:hAnsiTheme="majorHAnsi"/>
                <w:i/>
                <w:sz w:val="20"/>
                <w:szCs w:val="20"/>
              </w:rPr>
            </w:pPr>
            <w:r>
              <w:rPr>
                <w:rFonts w:cs="Arial" w:asciiTheme="majorHAnsi" w:hAnsiTheme="majorHAnsi"/>
                <w:i/>
                <w:sz w:val="20"/>
                <w:szCs w:val="20"/>
              </w:rPr>
              <w:t>Menovitá hodnota</w:t>
            </w:r>
          </w:p>
        </w:tc>
        <w:tc>
          <w:tcPr>
            <w:tcW w:w="2268" w:type="dxa"/>
            <w:vAlign w:val="center"/>
          </w:tcPr>
          <w:p w14:paraId="44BD35D2">
            <w:pPr>
              <w:spacing w:after="0" w:line="240" w:lineRule="auto"/>
              <w:jc w:val="center"/>
              <w:rPr>
                <w:rFonts w:cs="Arial" w:asciiTheme="majorHAnsi" w:hAnsiTheme="majorHAnsi"/>
                <w:sz w:val="20"/>
                <w:szCs w:val="20"/>
              </w:rPr>
            </w:pPr>
          </w:p>
        </w:tc>
      </w:tr>
      <w:tr w14:paraId="7FC066D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Align w:val="center"/>
          </w:tcPr>
          <w:p w14:paraId="43407C90">
            <w:pPr>
              <w:spacing w:after="0" w:line="240" w:lineRule="auto"/>
              <w:jc w:val="both"/>
              <w:rPr>
                <w:rFonts w:cs="Arial" w:asciiTheme="majorHAnsi" w:hAnsiTheme="majorHAnsi"/>
                <w:sz w:val="20"/>
                <w:szCs w:val="20"/>
              </w:rPr>
            </w:pPr>
            <w:r>
              <w:rPr>
                <w:rFonts w:cs="Arial" w:asciiTheme="majorHAnsi" w:hAnsiTheme="majorHAnsi"/>
                <w:sz w:val="20"/>
                <w:szCs w:val="20"/>
              </w:rPr>
              <w:t>Záväzky</w:t>
            </w:r>
          </w:p>
        </w:tc>
        <w:tc>
          <w:tcPr>
            <w:tcW w:w="2065" w:type="dxa"/>
            <w:vAlign w:val="center"/>
          </w:tcPr>
          <w:p w14:paraId="1BF784DE">
            <w:pPr>
              <w:spacing w:after="0" w:line="240" w:lineRule="auto"/>
              <w:jc w:val="center"/>
              <w:rPr>
                <w:rFonts w:cs="Arial" w:asciiTheme="majorHAnsi" w:hAnsiTheme="majorHAnsi"/>
                <w:i/>
                <w:sz w:val="20"/>
                <w:szCs w:val="20"/>
              </w:rPr>
            </w:pPr>
            <w:r>
              <w:rPr>
                <w:rFonts w:cs="Arial" w:asciiTheme="majorHAnsi" w:hAnsiTheme="majorHAnsi"/>
                <w:i/>
                <w:sz w:val="20"/>
                <w:szCs w:val="20"/>
              </w:rPr>
              <w:t>Menovitá hodnota</w:t>
            </w:r>
          </w:p>
        </w:tc>
        <w:tc>
          <w:tcPr>
            <w:tcW w:w="2268" w:type="dxa"/>
            <w:vAlign w:val="center"/>
          </w:tcPr>
          <w:p w14:paraId="01B1095A">
            <w:pPr>
              <w:spacing w:after="0" w:line="240" w:lineRule="auto"/>
              <w:jc w:val="center"/>
              <w:rPr>
                <w:rFonts w:cs="Arial" w:asciiTheme="majorHAnsi" w:hAnsiTheme="majorHAnsi"/>
                <w:sz w:val="20"/>
                <w:szCs w:val="20"/>
              </w:rPr>
            </w:pPr>
          </w:p>
        </w:tc>
      </w:tr>
      <w:tr w14:paraId="0388F89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Align w:val="center"/>
          </w:tcPr>
          <w:p w14:paraId="1336E35D">
            <w:pPr>
              <w:spacing w:after="0" w:line="240" w:lineRule="auto"/>
              <w:jc w:val="both"/>
              <w:rPr>
                <w:rFonts w:cs="Arial" w:asciiTheme="majorHAnsi" w:hAnsiTheme="majorHAnsi"/>
                <w:sz w:val="20"/>
                <w:szCs w:val="20"/>
              </w:rPr>
            </w:pPr>
            <w:r>
              <w:rPr>
                <w:rFonts w:cs="Arial" w:asciiTheme="majorHAnsi" w:hAnsiTheme="majorHAnsi"/>
                <w:sz w:val="20"/>
                <w:szCs w:val="20"/>
              </w:rPr>
              <w:t>Časové rozlíšenie na strane pasív súvahy</w:t>
            </w:r>
          </w:p>
        </w:tc>
        <w:tc>
          <w:tcPr>
            <w:tcW w:w="2065" w:type="dxa"/>
            <w:vAlign w:val="center"/>
          </w:tcPr>
          <w:p w14:paraId="3BBD1E4F">
            <w:pPr>
              <w:spacing w:after="0" w:line="240" w:lineRule="auto"/>
              <w:jc w:val="center"/>
              <w:rPr>
                <w:rFonts w:cs="Arial" w:asciiTheme="majorHAnsi" w:hAnsiTheme="majorHAnsi"/>
                <w:i/>
                <w:sz w:val="20"/>
                <w:szCs w:val="20"/>
              </w:rPr>
            </w:pPr>
            <w:r>
              <w:rPr>
                <w:rFonts w:cs="Arial" w:asciiTheme="majorHAnsi" w:hAnsiTheme="majorHAnsi"/>
                <w:i/>
                <w:sz w:val="20"/>
                <w:szCs w:val="20"/>
              </w:rPr>
              <w:t>Menovitá hodnoty</w:t>
            </w:r>
          </w:p>
        </w:tc>
        <w:tc>
          <w:tcPr>
            <w:tcW w:w="2268" w:type="dxa"/>
            <w:vAlign w:val="center"/>
          </w:tcPr>
          <w:p w14:paraId="61408707">
            <w:pPr>
              <w:spacing w:after="0" w:line="240" w:lineRule="auto"/>
              <w:jc w:val="center"/>
              <w:rPr>
                <w:rFonts w:cs="Arial" w:asciiTheme="majorHAnsi" w:hAnsiTheme="majorHAnsi"/>
                <w:sz w:val="20"/>
                <w:szCs w:val="20"/>
              </w:rPr>
            </w:pPr>
          </w:p>
        </w:tc>
      </w:tr>
      <w:tr w14:paraId="25D0912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Align w:val="center"/>
          </w:tcPr>
          <w:p w14:paraId="38B501DC">
            <w:pPr>
              <w:spacing w:after="0" w:line="240" w:lineRule="auto"/>
              <w:jc w:val="both"/>
              <w:rPr>
                <w:rFonts w:cs="Arial" w:asciiTheme="majorHAnsi" w:hAnsiTheme="majorHAnsi"/>
                <w:sz w:val="20"/>
                <w:szCs w:val="20"/>
              </w:rPr>
            </w:pPr>
            <w:r>
              <w:rPr>
                <w:rFonts w:cs="Arial" w:asciiTheme="majorHAnsi" w:hAnsiTheme="majorHAnsi"/>
                <w:sz w:val="20"/>
                <w:szCs w:val="20"/>
              </w:rPr>
              <w:t>Deriváty</w:t>
            </w:r>
          </w:p>
        </w:tc>
        <w:tc>
          <w:tcPr>
            <w:tcW w:w="2065" w:type="dxa"/>
            <w:vAlign w:val="center"/>
          </w:tcPr>
          <w:p w14:paraId="13152253">
            <w:pPr>
              <w:spacing w:after="0" w:line="240" w:lineRule="auto"/>
              <w:jc w:val="center"/>
              <w:rPr>
                <w:rFonts w:cs="Arial" w:asciiTheme="majorHAnsi" w:hAnsiTheme="majorHAnsi"/>
                <w:i/>
                <w:sz w:val="20"/>
                <w:szCs w:val="20"/>
              </w:rPr>
            </w:pPr>
            <w:r>
              <w:rPr>
                <w:rFonts w:cs="Arial" w:asciiTheme="majorHAnsi" w:hAnsiTheme="majorHAnsi"/>
                <w:i/>
                <w:sz w:val="20"/>
                <w:szCs w:val="20"/>
              </w:rPr>
              <w:t>Menovitá hodnota</w:t>
            </w:r>
          </w:p>
        </w:tc>
        <w:tc>
          <w:tcPr>
            <w:tcW w:w="2268" w:type="dxa"/>
            <w:vAlign w:val="center"/>
          </w:tcPr>
          <w:p w14:paraId="2CD295FB">
            <w:pPr>
              <w:spacing w:after="0" w:line="240" w:lineRule="auto"/>
              <w:jc w:val="center"/>
              <w:rPr>
                <w:rFonts w:cs="Arial" w:asciiTheme="majorHAnsi" w:hAnsiTheme="majorHAnsi"/>
                <w:sz w:val="20"/>
                <w:szCs w:val="20"/>
              </w:rPr>
            </w:pPr>
          </w:p>
        </w:tc>
      </w:tr>
      <w:tr w14:paraId="1EBD6FA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Align w:val="center"/>
          </w:tcPr>
          <w:p w14:paraId="4D5C7BC0">
            <w:pPr>
              <w:spacing w:after="0" w:line="240" w:lineRule="auto"/>
              <w:jc w:val="both"/>
              <w:rPr>
                <w:rFonts w:cs="Arial" w:asciiTheme="majorHAnsi" w:hAnsiTheme="majorHAnsi"/>
                <w:sz w:val="20"/>
                <w:szCs w:val="20"/>
              </w:rPr>
            </w:pPr>
            <w:r>
              <w:rPr>
                <w:rFonts w:cs="Arial" w:asciiTheme="majorHAnsi" w:hAnsiTheme="majorHAnsi"/>
                <w:sz w:val="20"/>
                <w:szCs w:val="20"/>
              </w:rPr>
              <w:t>Majetok a záväzky zabezpečené derivátmi</w:t>
            </w:r>
          </w:p>
        </w:tc>
        <w:tc>
          <w:tcPr>
            <w:tcW w:w="2065" w:type="dxa"/>
            <w:vAlign w:val="center"/>
          </w:tcPr>
          <w:p w14:paraId="700449A4">
            <w:pPr>
              <w:spacing w:after="0" w:line="240" w:lineRule="auto"/>
              <w:jc w:val="center"/>
              <w:rPr>
                <w:rFonts w:cs="Arial" w:asciiTheme="majorHAnsi" w:hAnsiTheme="majorHAnsi"/>
                <w:i/>
                <w:sz w:val="20"/>
                <w:szCs w:val="20"/>
              </w:rPr>
            </w:pPr>
            <w:r>
              <w:rPr>
                <w:rFonts w:cs="Arial" w:asciiTheme="majorHAnsi" w:hAnsiTheme="majorHAnsi"/>
                <w:i/>
                <w:sz w:val="20"/>
                <w:szCs w:val="20"/>
              </w:rPr>
              <w:t>Menovitá hodnota</w:t>
            </w:r>
          </w:p>
        </w:tc>
        <w:tc>
          <w:tcPr>
            <w:tcW w:w="2268" w:type="dxa"/>
            <w:vAlign w:val="center"/>
          </w:tcPr>
          <w:p w14:paraId="6F8A110F">
            <w:pPr>
              <w:spacing w:after="0" w:line="240" w:lineRule="auto"/>
              <w:jc w:val="center"/>
              <w:rPr>
                <w:rFonts w:cs="Arial" w:asciiTheme="majorHAnsi" w:hAnsiTheme="majorHAnsi"/>
                <w:sz w:val="20"/>
                <w:szCs w:val="20"/>
              </w:rPr>
            </w:pPr>
          </w:p>
        </w:tc>
      </w:tr>
      <w:tr w14:paraId="0C7F2B0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Align w:val="center"/>
          </w:tcPr>
          <w:p w14:paraId="64710F3D">
            <w:pPr>
              <w:spacing w:after="0" w:line="240" w:lineRule="auto"/>
              <w:jc w:val="both"/>
              <w:rPr>
                <w:rFonts w:cs="Arial" w:asciiTheme="majorHAnsi" w:hAnsiTheme="majorHAnsi"/>
                <w:sz w:val="20"/>
                <w:szCs w:val="20"/>
              </w:rPr>
            </w:pPr>
            <w:r>
              <w:rPr>
                <w:rFonts w:cs="Arial" w:asciiTheme="majorHAnsi" w:hAnsiTheme="majorHAnsi"/>
                <w:sz w:val="20"/>
                <w:szCs w:val="20"/>
              </w:rPr>
              <w:t>Prenajatý majetok</w:t>
            </w:r>
          </w:p>
        </w:tc>
        <w:tc>
          <w:tcPr>
            <w:tcW w:w="2065" w:type="dxa"/>
            <w:vAlign w:val="center"/>
          </w:tcPr>
          <w:p w14:paraId="6062927E">
            <w:pPr>
              <w:spacing w:after="0" w:line="240" w:lineRule="auto"/>
              <w:jc w:val="center"/>
              <w:rPr>
                <w:rFonts w:cs="Arial" w:asciiTheme="majorHAnsi" w:hAnsiTheme="majorHAnsi"/>
                <w:i/>
                <w:sz w:val="20"/>
                <w:szCs w:val="20"/>
              </w:rPr>
            </w:pPr>
            <w:r>
              <w:rPr>
                <w:rFonts w:cs="Arial" w:asciiTheme="majorHAnsi" w:hAnsiTheme="majorHAnsi"/>
                <w:i/>
                <w:sz w:val="20"/>
                <w:szCs w:val="20"/>
              </w:rPr>
              <w:t>Obstarávacia cena</w:t>
            </w:r>
          </w:p>
        </w:tc>
        <w:tc>
          <w:tcPr>
            <w:tcW w:w="2268" w:type="dxa"/>
            <w:vAlign w:val="center"/>
          </w:tcPr>
          <w:p w14:paraId="409AC4DD">
            <w:pPr>
              <w:spacing w:after="0" w:line="240" w:lineRule="auto"/>
              <w:jc w:val="center"/>
              <w:rPr>
                <w:rFonts w:cs="Arial" w:asciiTheme="majorHAnsi" w:hAnsiTheme="majorHAnsi"/>
                <w:sz w:val="20"/>
                <w:szCs w:val="20"/>
              </w:rPr>
            </w:pPr>
          </w:p>
        </w:tc>
      </w:tr>
      <w:tr w14:paraId="2F7B964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</w:tblPrEx>
        <w:tc>
          <w:tcPr>
            <w:tcW w:w="0" w:type="auto"/>
            <w:vAlign w:val="center"/>
          </w:tcPr>
          <w:p w14:paraId="05A17B3E">
            <w:pPr>
              <w:spacing w:after="0" w:line="240" w:lineRule="auto"/>
              <w:jc w:val="both"/>
              <w:rPr>
                <w:rFonts w:cs="Arial" w:asciiTheme="majorHAnsi" w:hAnsiTheme="majorHAnsi"/>
                <w:sz w:val="20"/>
                <w:szCs w:val="20"/>
              </w:rPr>
            </w:pPr>
            <w:r>
              <w:rPr>
                <w:rFonts w:cs="Arial" w:asciiTheme="majorHAnsi" w:hAnsiTheme="majorHAnsi"/>
                <w:sz w:val="20"/>
                <w:szCs w:val="20"/>
              </w:rPr>
              <w:t>Majetok obstaraný zmluvou o kúpe prenajatej veci</w:t>
            </w:r>
          </w:p>
        </w:tc>
        <w:tc>
          <w:tcPr>
            <w:tcW w:w="2065" w:type="dxa"/>
            <w:vAlign w:val="center"/>
          </w:tcPr>
          <w:p w14:paraId="1F019DA4">
            <w:pPr>
              <w:spacing w:after="0" w:line="240" w:lineRule="auto"/>
              <w:jc w:val="center"/>
              <w:rPr>
                <w:rFonts w:cs="Arial" w:asciiTheme="majorHAnsi" w:hAnsiTheme="majorHAnsi"/>
                <w:i/>
                <w:sz w:val="20"/>
                <w:szCs w:val="20"/>
              </w:rPr>
            </w:pPr>
            <w:r>
              <w:rPr>
                <w:rFonts w:cs="Arial" w:asciiTheme="majorHAnsi" w:hAnsiTheme="majorHAnsi"/>
                <w:i/>
                <w:sz w:val="20"/>
                <w:szCs w:val="20"/>
              </w:rPr>
              <w:t>Obstarávacia cena</w:t>
            </w:r>
          </w:p>
        </w:tc>
        <w:tc>
          <w:tcPr>
            <w:tcW w:w="2268" w:type="dxa"/>
            <w:vAlign w:val="center"/>
          </w:tcPr>
          <w:p w14:paraId="1C096530">
            <w:pPr>
              <w:spacing w:after="0" w:line="240" w:lineRule="auto"/>
              <w:jc w:val="center"/>
              <w:rPr>
                <w:rFonts w:cs="Arial" w:asciiTheme="majorHAnsi" w:hAnsiTheme="majorHAnsi"/>
                <w:sz w:val="20"/>
                <w:szCs w:val="20"/>
              </w:rPr>
            </w:pPr>
          </w:p>
        </w:tc>
      </w:tr>
      <w:tr w14:paraId="60EF0DA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Align w:val="center"/>
          </w:tcPr>
          <w:p w14:paraId="33416309">
            <w:pPr>
              <w:spacing w:after="0" w:line="240" w:lineRule="auto"/>
              <w:jc w:val="both"/>
              <w:rPr>
                <w:rFonts w:cs="Arial" w:asciiTheme="majorHAnsi" w:hAnsiTheme="majorHAnsi"/>
                <w:sz w:val="20"/>
                <w:szCs w:val="20"/>
              </w:rPr>
            </w:pPr>
            <w:r>
              <w:rPr>
                <w:rFonts w:cs="Arial" w:asciiTheme="majorHAnsi" w:hAnsiTheme="majorHAnsi"/>
                <w:sz w:val="20"/>
                <w:szCs w:val="20"/>
              </w:rPr>
              <w:t xml:space="preserve">Iný majetok </w:t>
            </w:r>
            <w:r>
              <w:rPr>
                <w:rFonts w:cs="Arial" w:asciiTheme="majorHAnsi" w:hAnsiTheme="majorHAnsi"/>
                <w:i/>
                <w:sz w:val="20"/>
                <w:szCs w:val="20"/>
              </w:rPr>
              <w:t>(konkretizujte)</w:t>
            </w:r>
          </w:p>
        </w:tc>
        <w:tc>
          <w:tcPr>
            <w:tcW w:w="2065" w:type="dxa"/>
            <w:vAlign w:val="center"/>
          </w:tcPr>
          <w:p w14:paraId="6E81150D">
            <w:pPr>
              <w:spacing w:after="0" w:line="240" w:lineRule="auto"/>
              <w:jc w:val="center"/>
              <w:rPr>
                <w:rFonts w:cs="Arial" w:asciiTheme="majorHAnsi" w:hAnsiTheme="majorHAnsi"/>
                <w:i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69118A2F">
            <w:pPr>
              <w:spacing w:after="0" w:line="240" w:lineRule="auto"/>
              <w:jc w:val="center"/>
              <w:rPr>
                <w:rFonts w:cs="Arial" w:asciiTheme="majorHAnsi" w:hAnsiTheme="majorHAnsi"/>
                <w:sz w:val="20"/>
                <w:szCs w:val="20"/>
              </w:rPr>
            </w:pPr>
          </w:p>
        </w:tc>
      </w:tr>
      <w:tr w14:paraId="060CD0F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Align w:val="center"/>
          </w:tcPr>
          <w:p w14:paraId="4DEBC50A">
            <w:pPr>
              <w:spacing w:after="0" w:line="240" w:lineRule="auto"/>
              <w:jc w:val="both"/>
              <w:rPr>
                <w:rFonts w:cs="Arial" w:asciiTheme="majorHAnsi" w:hAnsiTheme="majorHAnsi"/>
                <w:sz w:val="20"/>
                <w:szCs w:val="20"/>
              </w:rPr>
            </w:pPr>
            <w:r>
              <w:rPr>
                <w:rFonts w:cs="Arial" w:asciiTheme="majorHAnsi" w:hAnsiTheme="majorHAnsi"/>
                <w:sz w:val="20"/>
                <w:szCs w:val="20"/>
              </w:rPr>
              <w:t>Splatná a odložená daň z príjmov</w:t>
            </w:r>
          </w:p>
        </w:tc>
        <w:tc>
          <w:tcPr>
            <w:tcW w:w="2065" w:type="dxa"/>
            <w:vAlign w:val="center"/>
          </w:tcPr>
          <w:p w14:paraId="68F2F6C2">
            <w:pPr>
              <w:spacing w:after="0" w:line="240" w:lineRule="auto"/>
              <w:jc w:val="center"/>
              <w:rPr>
                <w:rFonts w:cs="Arial" w:asciiTheme="majorHAnsi" w:hAnsiTheme="majorHAnsi"/>
                <w:i/>
                <w:sz w:val="20"/>
                <w:szCs w:val="20"/>
              </w:rPr>
            </w:pPr>
            <w:r>
              <w:rPr>
                <w:rFonts w:cs="Arial" w:asciiTheme="majorHAnsi" w:hAnsiTheme="majorHAnsi"/>
                <w:i/>
                <w:sz w:val="20"/>
                <w:szCs w:val="20"/>
              </w:rPr>
              <w:t>Menovitá hodnota</w:t>
            </w:r>
          </w:p>
        </w:tc>
        <w:tc>
          <w:tcPr>
            <w:tcW w:w="2268" w:type="dxa"/>
            <w:vAlign w:val="center"/>
          </w:tcPr>
          <w:p w14:paraId="4BF1606B">
            <w:pPr>
              <w:spacing w:after="0" w:line="240" w:lineRule="auto"/>
              <w:jc w:val="center"/>
              <w:rPr>
                <w:rFonts w:cs="Arial" w:asciiTheme="majorHAnsi" w:hAnsiTheme="majorHAnsi"/>
                <w:sz w:val="20"/>
                <w:szCs w:val="20"/>
              </w:rPr>
            </w:pPr>
          </w:p>
        </w:tc>
      </w:tr>
    </w:tbl>
    <w:p w14:paraId="34B8B938">
      <w:pPr>
        <w:spacing w:after="0" w:line="240" w:lineRule="auto"/>
        <w:jc w:val="both"/>
        <w:rPr>
          <w:rFonts w:cs="Arial" w:asciiTheme="majorHAnsi" w:hAnsiTheme="majorHAnsi"/>
          <w:sz w:val="20"/>
          <w:szCs w:val="20"/>
        </w:rPr>
      </w:pPr>
    </w:p>
    <w:p w14:paraId="2DA66300">
      <w:pPr>
        <w:spacing w:after="0" w:line="240" w:lineRule="auto"/>
        <w:jc w:val="both"/>
        <w:rPr>
          <w:rFonts w:cs="Arial" w:asciiTheme="majorHAnsi" w:hAnsiTheme="majorHAnsi"/>
          <w:sz w:val="20"/>
          <w:szCs w:val="20"/>
        </w:rPr>
      </w:pPr>
    </w:p>
    <w:p w14:paraId="6330BFAE">
      <w:pPr>
        <w:spacing w:line="240" w:lineRule="auto"/>
        <w:jc w:val="both"/>
        <w:rPr>
          <w:rFonts w:cs="Arial" w:asciiTheme="majorHAnsi" w:hAnsiTheme="majorHAnsi"/>
          <w:b/>
        </w:rPr>
      </w:pPr>
    </w:p>
    <w:p w14:paraId="60365764">
      <w:pPr>
        <w:spacing w:line="240" w:lineRule="auto"/>
        <w:jc w:val="both"/>
        <w:rPr>
          <w:rFonts w:cs="Arial" w:asciiTheme="majorHAnsi" w:hAnsiTheme="majorHAnsi"/>
          <w:b/>
        </w:rPr>
      </w:pPr>
    </w:p>
    <w:p w14:paraId="1FC387B9">
      <w:pPr>
        <w:spacing w:line="240" w:lineRule="auto"/>
        <w:jc w:val="both"/>
        <w:rPr>
          <w:rFonts w:cs="Arial" w:asciiTheme="majorHAnsi" w:hAnsiTheme="majorHAnsi"/>
          <w:b/>
        </w:rPr>
      </w:pPr>
      <w:r>
        <w:rPr>
          <w:rFonts w:cs="Arial" w:asciiTheme="majorHAnsi" w:hAnsiTheme="majorHAnsi"/>
          <w:b/>
        </w:rPr>
        <w:t>III.4 b) Odhad zníženia hodnoty majetku a tvorba opravných položiek k majetku:</w:t>
      </w:r>
    </w:p>
    <w:p w14:paraId="2B3A895E">
      <w:pPr>
        <w:spacing w:line="240" w:lineRule="auto"/>
        <w:jc w:val="both"/>
        <w:rPr>
          <w:rFonts w:eastAsia="MS Gothic" w:cs="Arial" w:asciiTheme="majorHAnsi" w:hAnsiTheme="majorHAnsi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cs="Arial" w:asciiTheme="majorHAnsi" w:hAnsiTheme="majorHAnsi"/>
          <w:sz w:val="20"/>
          <w:szCs w:val="20"/>
        </w:rPr>
        <w:t>Spoločnosť v roku 2023 neúčtovala o znížení hodnoty majetku a opravných položkách k majetku.</w:t>
      </w:r>
    </w:p>
    <w:p w14:paraId="7FB4A7B9">
      <w:pPr>
        <w:pStyle w:val="17"/>
        <w:spacing w:after="0" w:line="240" w:lineRule="auto"/>
        <w:ind w:left="0"/>
        <w:jc w:val="both"/>
        <w:rPr>
          <w:rFonts w:cs="Arial" w:asciiTheme="majorHAnsi" w:hAnsiTheme="majorHAnsi"/>
          <w:sz w:val="20"/>
          <w:szCs w:val="20"/>
        </w:rPr>
      </w:pPr>
    </w:p>
    <w:tbl>
      <w:tblPr>
        <w:tblStyle w:val="12"/>
        <w:tblW w:w="0" w:type="auto"/>
        <w:tblInd w:w="108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35"/>
        <w:gridCol w:w="2977"/>
        <w:gridCol w:w="3203"/>
      </w:tblGrid>
      <w:tr w14:paraId="46DF5DD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5" w:type="dxa"/>
            <w:tcBorders>
              <w:top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50935679">
            <w:pPr>
              <w:spacing w:after="0" w:line="240" w:lineRule="auto"/>
              <w:jc w:val="center"/>
              <w:rPr>
                <w:rFonts w:cs="Arial" w:asciiTheme="majorHAnsi" w:hAnsiTheme="majorHAnsi"/>
                <w:b/>
                <w:sz w:val="20"/>
                <w:szCs w:val="20"/>
              </w:rPr>
            </w:pPr>
            <w:r>
              <w:rPr>
                <w:rFonts w:cs="Arial" w:asciiTheme="majorHAnsi" w:hAnsiTheme="majorHAnsi"/>
                <w:b/>
                <w:sz w:val="20"/>
                <w:szCs w:val="20"/>
              </w:rPr>
              <w:t>Charakteristika majetku</w:t>
            </w:r>
          </w:p>
        </w:tc>
        <w:tc>
          <w:tcPr>
            <w:tcW w:w="2977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3F6939F2">
            <w:pPr>
              <w:spacing w:after="0" w:line="240" w:lineRule="auto"/>
              <w:jc w:val="center"/>
              <w:rPr>
                <w:rFonts w:cs="Arial" w:asciiTheme="majorHAnsi" w:hAnsiTheme="majorHAnsi"/>
                <w:b/>
                <w:sz w:val="20"/>
                <w:szCs w:val="20"/>
              </w:rPr>
            </w:pPr>
            <w:r>
              <w:rPr>
                <w:rFonts w:cs="Arial" w:asciiTheme="majorHAnsi" w:hAnsiTheme="majorHAnsi"/>
                <w:b/>
                <w:sz w:val="20"/>
                <w:szCs w:val="20"/>
              </w:rPr>
              <w:t>Odhad zníženia hodnoty majetku</w:t>
            </w:r>
          </w:p>
        </w:tc>
        <w:tc>
          <w:tcPr>
            <w:tcW w:w="3203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</w:tcBorders>
            <w:vAlign w:val="center"/>
          </w:tcPr>
          <w:p w14:paraId="42E0D886">
            <w:pPr>
              <w:spacing w:after="0" w:line="240" w:lineRule="auto"/>
              <w:jc w:val="center"/>
              <w:rPr>
                <w:rFonts w:cs="Arial" w:asciiTheme="majorHAnsi" w:hAnsiTheme="majorHAnsi"/>
                <w:b/>
                <w:sz w:val="20"/>
                <w:szCs w:val="20"/>
              </w:rPr>
            </w:pPr>
            <w:r>
              <w:rPr>
                <w:rFonts w:cs="Arial" w:asciiTheme="majorHAnsi" w:hAnsiTheme="majorHAnsi"/>
                <w:b/>
                <w:sz w:val="20"/>
                <w:szCs w:val="20"/>
              </w:rPr>
              <w:t>Vytvorená opravná položka</w:t>
            </w:r>
          </w:p>
        </w:tc>
      </w:tr>
      <w:tr w14:paraId="6935047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835" w:type="dxa"/>
            <w:tcBorders>
              <w:top w:val="single" w:color="auto" w:sz="12" w:space="0"/>
            </w:tcBorders>
            <w:vAlign w:val="center"/>
          </w:tcPr>
          <w:p w14:paraId="021F5CFF">
            <w:pPr>
              <w:spacing w:after="0" w:line="240" w:lineRule="auto"/>
              <w:jc w:val="center"/>
              <w:rPr>
                <w:rFonts w:cs="Arial" w:asciiTheme="majorHAnsi" w:hAnsiTheme="majorHAnsi"/>
                <w:b/>
                <w:sz w:val="24"/>
                <w:szCs w:val="24"/>
              </w:rPr>
            </w:pPr>
            <w:r>
              <w:rPr>
                <w:rFonts w:cs="Arial" w:asciiTheme="majorHAnsi" w:hAnsiTheme="majorHAnsi"/>
                <w:b/>
                <w:sz w:val="24"/>
                <w:szCs w:val="24"/>
              </w:rPr>
              <w:t xml:space="preserve">Pohľadávky </w:t>
            </w:r>
          </w:p>
        </w:tc>
        <w:tc>
          <w:tcPr>
            <w:tcW w:w="2977" w:type="dxa"/>
            <w:tcBorders>
              <w:top w:val="single" w:color="auto" w:sz="12" w:space="0"/>
            </w:tcBorders>
            <w:vAlign w:val="center"/>
          </w:tcPr>
          <w:p w14:paraId="083F40FD">
            <w:pPr>
              <w:spacing w:after="0" w:line="240" w:lineRule="auto"/>
              <w:jc w:val="center"/>
              <w:rPr>
                <w:rFonts w:cs="Arial" w:asciiTheme="majorHAnsi" w:hAnsiTheme="majorHAnsi"/>
                <w:i/>
              </w:rPr>
            </w:pPr>
          </w:p>
        </w:tc>
        <w:tc>
          <w:tcPr>
            <w:tcW w:w="3203" w:type="dxa"/>
            <w:tcBorders>
              <w:top w:val="single" w:color="auto" w:sz="12" w:space="0"/>
            </w:tcBorders>
            <w:vAlign w:val="center"/>
          </w:tcPr>
          <w:p w14:paraId="7DACCCAD">
            <w:pPr>
              <w:spacing w:after="0" w:line="240" w:lineRule="auto"/>
              <w:jc w:val="center"/>
              <w:rPr>
                <w:rFonts w:cs="Arial" w:asciiTheme="majorHAnsi" w:hAnsiTheme="majorHAnsi"/>
                <w:b/>
                <w:sz w:val="24"/>
                <w:szCs w:val="24"/>
              </w:rPr>
            </w:pPr>
          </w:p>
        </w:tc>
      </w:tr>
      <w:tr w14:paraId="5B99833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835" w:type="dxa"/>
            <w:vAlign w:val="center"/>
          </w:tcPr>
          <w:p w14:paraId="31F9556C">
            <w:pPr>
              <w:spacing w:after="0" w:line="240" w:lineRule="auto"/>
              <w:jc w:val="center"/>
              <w:rPr>
                <w:rFonts w:cs="Arial" w:asciiTheme="majorHAnsi" w:hAnsiTheme="majorHAnsi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14:paraId="454EE44E">
            <w:pPr>
              <w:spacing w:after="0" w:line="240" w:lineRule="auto"/>
              <w:jc w:val="center"/>
              <w:rPr>
                <w:rFonts w:cs="Arial" w:asciiTheme="majorHAnsi" w:hAnsiTheme="majorHAnsi"/>
                <w:b/>
                <w:sz w:val="24"/>
                <w:szCs w:val="24"/>
              </w:rPr>
            </w:pPr>
          </w:p>
        </w:tc>
        <w:tc>
          <w:tcPr>
            <w:tcW w:w="3203" w:type="dxa"/>
            <w:vAlign w:val="center"/>
          </w:tcPr>
          <w:p w14:paraId="7E995687">
            <w:pPr>
              <w:spacing w:after="0" w:line="240" w:lineRule="auto"/>
              <w:jc w:val="center"/>
              <w:rPr>
                <w:rFonts w:cs="Arial" w:asciiTheme="majorHAnsi" w:hAnsiTheme="majorHAnsi"/>
                <w:b/>
                <w:sz w:val="24"/>
                <w:szCs w:val="24"/>
              </w:rPr>
            </w:pPr>
          </w:p>
        </w:tc>
      </w:tr>
      <w:tr w14:paraId="4958883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835" w:type="dxa"/>
            <w:vAlign w:val="center"/>
          </w:tcPr>
          <w:p w14:paraId="2B4B865C">
            <w:pPr>
              <w:spacing w:after="0" w:line="240" w:lineRule="auto"/>
              <w:jc w:val="center"/>
              <w:rPr>
                <w:rFonts w:cs="Arial" w:asciiTheme="majorHAnsi" w:hAnsiTheme="majorHAnsi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14:paraId="0B6E45CD">
            <w:pPr>
              <w:spacing w:after="0" w:line="240" w:lineRule="auto"/>
              <w:jc w:val="center"/>
              <w:rPr>
                <w:rFonts w:cs="Arial" w:asciiTheme="majorHAnsi" w:hAnsiTheme="majorHAnsi"/>
                <w:b/>
                <w:sz w:val="24"/>
                <w:szCs w:val="24"/>
              </w:rPr>
            </w:pPr>
          </w:p>
        </w:tc>
        <w:tc>
          <w:tcPr>
            <w:tcW w:w="3203" w:type="dxa"/>
            <w:vAlign w:val="center"/>
          </w:tcPr>
          <w:p w14:paraId="20787CCD">
            <w:pPr>
              <w:spacing w:after="0" w:line="240" w:lineRule="auto"/>
              <w:jc w:val="center"/>
              <w:rPr>
                <w:rFonts w:cs="Arial" w:asciiTheme="majorHAnsi" w:hAnsiTheme="majorHAnsi"/>
                <w:b/>
                <w:sz w:val="24"/>
                <w:szCs w:val="24"/>
              </w:rPr>
            </w:pPr>
          </w:p>
        </w:tc>
      </w:tr>
      <w:tr w14:paraId="7807903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835" w:type="dxa"/>
            <w:vAlign w:val="center"/>
          </w:tcPr>
          <w:p w14:paraId="646E3AE2">
            <w:pPr>
              <w:spacing w:after="0" w:line="240" w:lineRule="auto"/>
              <w:jc w:val="center"/>
              <w:rPr>
                <w:rFonts w:cs="Arial" w:asciiTheme="majorHAnsi" w:hAnsiTheme="majorHAnsi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14:paraId="73D5E3F0">
            <w:pPr>
              <w:spacing w:after="0" w:line="240" w:lineRule="auto"/>
              <w:jc w:val="center"/>
              <w:rPr>
                <w:rFonts w:cs="Arial" w:asciiTheme="majorHAnsi" w:hAnsiTheme="majorHAnsi"/>
                <w:b/>
                <w:sz w:val="24"/>
                <w:szCs w:val="24"/>
              </w:rPr>
            </w:pPr>
          </w:p>
        </w:tc>
        <w:tc>
          <w:tcPr>
            <w:tcW w:w="3203" w:type="dxa"/>
            <w:vAlign w:val="center"/>
          </w:tcPr>
          <w:p w14:paraId="6F966758">
            <w:pPr>
              <w:spacing w:after="0" w:line="240" w:lineRule="auto"/>
              <w:jc w:val="center"/>
              <w:rPr>
                <w:rFonts w:cs="Arial" w:asciiTheme="majorHAnsi" w:hAnsiTheme="majorHAnsi"/>
                <w:b/>
                <w:sz w:val="24"/>
                <w:szCs w:val="24"/>
              </w:rPr>
            </w:pPr>
          </w:p>
        </w:tc>
      </w:tr>
      <w:tr w14:paraId="735097D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835" w:type="dxa"/>
            <w:vAlign w:val="center"/>
          </w:tcPr>
          <w:p w14:paraId="55350B9D">
            <w:pPr>
              <w:spacing w:after="0" w:line="240" w:lineRule="auto"/>
              <w:jc w:val="center"/>
              <w:rPr>
                <w:rFonts w:cs="Arial" w:asciiTheme="majorHAnsi" w:hAnsiTheme="majorHAnsi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14:paraId="6F0B5A54">
            <w:pPr>
              <w:spacing w:after="0" w:line="240" w:lineRule="auto"/>
              <w:jc w:val="center"/>
              <w:rPr>
                <w:rFonts w:cs="Arial" w:asciiTheme="majorHAnsi" w:hAnsiTheme="majorHAnsi"/>
                <w:b/>
                <w:sz w:val="24"/>
                <w:szCs w:val="24"/>
              </w:rPr>
            </w:pPr>
          </w:p>
        </w:tc>
        <w:tc>
          <w:tcPr>
            <w:tcW w:w="3203" w:type="dxa"/>
            <w:vAlign w:val="center"/>
          </w:tcPr>
          <w:p w14:paraId="21952F9E">
            <w:pPr>
              <w:spacing w:after="0" w:line="240" w:lineRule="auto"/>
              <w:jc w:val="center"/>
              <w:rPr>
                <w:rFonts w:cs="Arial" w:asciiTheme="majorHAnsi" w:hAnsiTheme="majorHAnsi"/>
                <w:b/>
                <w:sz w:val="24"/>
                <w:szCs w:val="24"/>
              </w:rPr>
            </w:pPr>
          </w:p>
        </w:tc>
      </w:tr>
    </w:tbl>
    <w:p w14:paraId="75DDEBF8">
      <w:pPr>
        <w:spacing w:after="0" w:line="240" w:lineRule="auto"/>
        <w:jc w:val="both"/>
        <w:rPr>
          <w:rFonts w:cs="Arial" w:asciiTheme="majorHAnsi" w:hAnsiTheme="majorHAnsi"/>
          <w:sz w:val="20"/>
          <w:szCs w:val="20"/>
        </w:rPr>
      </w:pPr>
    </w:p>
    <w:p w14:paraId="5DB2736A">
      <w:pPr>
        <w:spacing w:after="0" w:line="240" w:lineRule="auto"/>
        <w:jc w:val="both"/>
        <w:rPr>
          <w:rFonts w:cs="Arial" w:asciiTheme="majorHAnsi" w:hAnsiTheme="majorHAnsi"/>
          <w:sz w:val="20"/>
          <w:szCs w:val="20"/>
        </w:rPr>
      </w:pPr>
    </w:p>
    <w:p w14:paraId="2202A01F">
      <w:pPr>
        <w:spacing w:line="240" w:lineRule="auto"/>
        <w:jc w:val="both"/>
        <w:rPr>
          <w:rFonts w:cs="Arial" w:asciiTheme="majorHAnsi" w:hAnsiTheme="majorHAnsi"/>
          <w:sz w:val="20"/>
          <w:szCs w:val="20"/>
        </w:rPr>
      </w:pPr>
      <w:r>
        <w:rPr>
          <w:rFonts w:cs="Arial" w:asciiTheme="majorHAnsi" w:hAnsiTheme="majorHAnsi"/>
          <w:b/>
        </w:rPr>
        <w:t>III. 4 c) Ocenenie záväzkov a stanovenie odhadu ocenenia rezerv:</w:t>
      </w:r>
    </w:p>
    <w:p w14:paraId="59C58D57">
      <w:pPr>
        <w:spacing w:after="0" w:line="240" w:lineRule="auto"/>
        <w:jc w:val="both"/>
        <w:rPr>
          <w:rFonts w:cs="Arial" w:asciiTheme="majorHAnsi" w:hAnsiTheme="majorHAnsi"/>
          <w:sz w:val="20"/>
          <w:szCs w:val="20"/>
        </w:rPr>
      </w:pPr>
    </w:p>
    <w:tbl>
      <w:tblPr>
        <w:tblStyle w:val="12"/>
        <w:tblW w:w="0" w:type="auto"/>
        <w:tblInd w:w="108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98"/>
        <w:gridCol w:w="4574"/>
      </w:tblGrid>
      <w:tr w14:paraId="481D670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498" w:type="dxa"/>
            <w:tcBorders>
              <w:top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ACC38C5">
            <w:pPr>
              <w:spacing w:after="0" w:line="240" w:lineRule="auto"/>
              <w:jc w:val="center"/>
              <w:rPr>
                <w:rFonts w:cs="Arial" w:asciiTheme="majorHAnsi" w:hAnsiTheme="majorHAnsi"/>
                <w:b/>
                <w:sz w:val="20"/>
                <w:szCs w:val="20"/>
              </w:rPr>
            </w:pPr>
            <w:r>
              <w:rPr>
                <w:rFonts w:cs="Arial" w:asciiTheme="majorHAnsi" w:hAnsiTheme="majorHAnsi"/>
                <w:b/>
                <w:sz w:val="20"/>
                <w:szCs w:val="20"/>
              </w:rPr>
              <w:t>Určenie ocenenia záväzkov</w:t>
            </w:r>
          </w:p>
        </w:tc>
        <w:tc>
          <w:tcPr>
            <w:tcW w:w="4574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</w:tcBorders>
            <w:vAlign w:val="center"/>
          </w:tcPr>
          <w:p w14:paraId="57AAA233">
            <w:pPr>
              <w:spacing w:after="0" w:line="240" w:lineRule="auto"/>
              <w:jc w:val="center"/>
              <w:rPr>
                <w:rFonts w:cs="Arial" w:asciiTheme="majorHAnsi" w:hAnsiTheme="majorHAnsi"/>
                <w:b/>
                <w:sz w:val="20"/>
                <w:szCs w:val="20"/>
              </w:rPr>
            </w:pPr>
            <w:r>
              <w:rPr>
                <w:rFonts w:cs="Arial" w:asciiTheme="majorHAnsi" w:hAnsiTheme="majorHAnsi"/>
                <w:b/>
                <w:sz w:val="20"/>
                <w:szCs w:val="20"/>
              </w:rPr>
              <w:t>Odhad ocenenia rezerv</w:t>
            </w:r>
          </w:p>
        </w:tc>
      </w:tr>
      <w:tr w14:paraId="6FB0CD2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498" w:type="dxa"/>
            <w:tcBorders>
              <w:top w:val="single" w:color="auto" w:sz="12" w:space="0"/>
            </w:tcBorders>
            <w:vAlign w:val="center"/>
          </w:tcPr>
          <w:p w14:paraId="2B074679">
            <w:pPr>
              <w:spacing w:after="0" w:line="240" w:lineRule="auto"/>
              <w:jc w:val="center"/>
              <w:rPr>
                <w:rFonts w:cs="Arial" w:asciiTheme="majorHAnsi" w:hAnsiTheme="majorHAnsi"/>
                <w:sz w:val="20"/>
                <w:szCs w:val="20"/>
              </w:rPr>
            </w:pPr>
          </w:p>
        </w:tc>
        <w:tc>
          <w:tcPr>
            <w:tcW w:w="4574" w:type="dxa"/>
            <w:tcBorders>
              <w:top w:val="single" w:color="auto" w:sz="12" w:space="0"/>
            </w:tcBorders>
            <w:vAlign w:val="center"/>
          </w:tcPr>
          <w:p w14:paraId="5127673F">
            <w:pPr>
              <w:spacing w:after="0" w:line="240" w:lineRule="auto"/>
              <w:jc w:val="center"/>
              <w:rPr>
                <w:rFonts w:cs="Arial" w:asciiTheme="majorHAnsi" w:hAnsiTheme="majorHAnsi"/>
                <w:sz w:val="20"/>
                <w:szCs w:val="20"/>
              </w:rPr>
            </w:pPr>
          </w:p>
        </w:tc>
      </w:tr>
      <w:tr w14:paraId="1B3907A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498" w:type="dxa"/>
            <w:vAlign w:val="center"/>
          </w:tcPr>
          <w:p w14:paraId="6CBC29C3">
            <w:pPr>
              <w:spacing w:after="0" w:line="240" w:lineRule="auto"/>
              <w:jc w:val="center"/>
              <w:rPr>
                <w:rFonts w:cs="Arial" w:asciiTheme="majorHAnsi" w:hAnsiTheme="majorHAnsi"/>
                <w:sz w:val="20"/>
                <w:szCs w:val="20"/>
              </w:rPr>
            </w:pPr>
          </w:p>
        </w:tc>
        <w:tc>
          <w:tcPr>
            <w:tcW w:w="4574" w:type="dxa"/>
            <w:vAlign w:val="center"/>
          </w:tcPr>
          <w:p w14:paraId="099B05C5">
            <w:pPr>
              <w:spacing w:after="0" w:line="240" w:lineRule="auto"/>
              <w:jc w:val="center"/>
              <w:rPr>
                <w:rFonts w:cs="Arial" w:asciiTheme="majorHAnsi" w:hAnsiTheme="majorHAnsi"/>
                <w:sz w:val="20"/>
                <w:szCs w:val="20"/>
              </w:rPr>
            </w:pPr>
          </w:p>
        </w:tc>
      </w:tr>
      <w:tr w14:paraId="4FA9FF6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498" w:type="dxa"/>
            <w:vAlign w:val="center"/>
          </w:tcPr>
          <w:p w14:paraId="75E71DCE">
            <w:pPr>
              <w:spacing w:after="0" w:line="240" w:lineRule="auto"/>
              <w:jc w:val="center"/>
              <w:rPr>
                <w:rFonts w:cs="Arial" w:asciiTheme="majorHAnsi" w:hAnsiTheme="majorHAnsi"/>
                <w:sz w:val="20"/>
                <w:szCs w:val="20"/>
              </w:rPr>
            </w:pPr>
          </w:p>
        </w:tc>
        <w:tc>
          <w:tcPr>
            <w:tcW w:w="4574" w:type="dxa"/>
            <w:vAlign w:val="center"/>
          </w:tcPr>
          <w:p w14:paraId="3E6F5202">
            <w:pPr>
              <w:spacing w:after="0" w:line="240" w:lineRule="auto"/>
              <w:jc w:val="center"/>
              <w:rPr>
                <w:rFonts w:cs="Arial" w:asciiTheme="majorHAnsi" w:hAnsiTheme="majorHAnsi"/>
                <w:sz w:val="20"/>
                <w:szCs w:val="20"/>
              </w:rPr>
            </w:pPr>
          </w:p>
        </w:tc>
      </w:tr>
      <w:tr w14:paraId="48F93E9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498" w:type="dxa"/>
            <w:vAlign w:val="center"/>
          </w:tcPr>
          <w:p w14:paraId="47B7E2BE">
            <w:pPr>
              <w:spacing w:after="0" w:line="240" w:lineRule="auto"/>
              <w:jc w:val="center"/>
              <w:rPr>
                <w:rFonts w:cs="Arial" w:asciiTheme="majorHAnsi" w:hAnsiTheme="majorHAnsi"/>
                <w:sz w:val="20"/>
                <w:szCs w:val="20"/>
              </w:rPr>
            </w:pPr>
          </w:p>
        </w:tc>
        <w:tc>
          <w:tcPr>
            <w:tcW w:w="4574" w:type="dxa"/>
            <w:vAlign w:val="center"/>
          </w:tcPr>
          <w:p w14:paraId="74826212">
            <w:pPr>
              <w:spacing w:after="0" w:line="240" w:lineRule="auto"/>
              <w:jc w:val="center"/>
              <w:rPr>
                <w:rFonts w:cs="Arial" w:asciiTheme="majorHAnsi" w:hAnsiTheme="majorHAnsi"/>
                <w:sz w:val="20"/>
                <w:szCs w:val="20"/>
              </w:rPr>
            </w:pPr>
          </w:p>
        </w:tc>
      </w:tr>
      <w:tr w14:paraId="1CCFC8C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498" w:type="dxa"/>
            <w:vAlign w:val="center"/>
          </w:tcPr>
          <w:p w14:paraId="1CE29F4A">
            <w:pPr>
              <w:spacing w:after="0" w:line="240" w:lineRule="auto"/>
              <w:jc w:val="center"/>
              <w:rPr>
                <w:rFonts w:cs="Arial" w:asciiTheme="majorHAnsi" w:hAnsiTheme="majorHAnsi"/>
                <w:sz w:val="20"/>
                <w:szCs w:val="20"/>
              </w:rPr>
            </w:pPr>
          </w:p>
        </w:tc>
        <w:tc>
          <w:tcPr>
            <w:tcW w:w="4574" w:type="dxa"/>
            <w:vAlign w:val="center"/>
          </w:tcPr>
          <w:p w14:paraId="3D05A676">
            <w:pPr>
              <w:spacing w:after="0" w:line="240" w:lineRule="auto"/>
              <w:jc w:val="center"/>
              <w:rPr>
                <w:rFonts w:cs="Arial" w:asciiTheme="majorHAnsi" w:hAnsiTheme="majorHAnsi"/>
                <w:sz w:val="20"/>
                <w:szCs w:val="20"/>
              </w:rPr>
            </w:pPr>
          </w:p>
        </w:tc>
      </w:tr>
    </w:tbl>
    <w:p w14:paraId="6A56077A">
      <w:pPr>
        <w:spacing w:after="0" w:line="240" w:lineRule="auto"/>
        <w:jc w:val="both"/>
        <w:rPr>
          <w:rFonts w:cs="Arial" w:asciiTheme="majorHAnsi" w:hAnsiTheme="majorHAnsi"/>
          <w:sz w:val="20"/>
          <w:szCs w:val="20"/>
        </w:rPr>
      </w:pPr>
    </w:p>
    <w:p w14:paraId="0169D254">
      <w:pPr>
        <w:spacing w:after="0" w:line="240" w:lineRule="auto"/>
        <w:jc w:val="both"/>
        <w:rPr>
          <w:rFonts w:cs="Arial" w:asciiTheme="majorHAnsi" w:hAnsiTheme="majorHAnsi"/>
          <w:sz w:val="20"/>
          <w:szCs w:val="20"/>
        </w:rPr>
      </w:pPr>
    </w:p>
    <w:p w14:paraId="53B68F6B">
      <w:pPr>
        <w:pStyle w:val="17"/>
        <w:spacing w:after="0" w:line="240" w:lineRule="auto"/>
        <w:ind w:left="0"/>
        <w:jc w:val="both"/>
        <w:rPr>
          <w:rFonts w:cs="Arial" w:asciiTheme="majorHAnsi" w:hAnsiTheme="majorHAnsi"/>
        </w:rPr>
      </w:pPr>
      <w:r>
        <w:rPr>
          <w:rFonts w:eastAsia="MS Gothic" w:cs="Arial" w:asciiTheme="majorHAnsi" w:hAnsiTheme="majorHAnsi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 4 d) Ocenenie finančných nástrojov alebo majetku, ktorý nie je finančným nástrojom</w:t>
      </w:r>
    </w:p>
    <w:p w14:paraId="1DA8F0D6">
      <w:pPr>
        <w:pStyle w:val="17"/>
        <w:spacing w:after="0" w:line="240" w:lineRule="auto"/>
        <w:ind w:left="0"/>
        <w:jc w:val="both"/>
        <w:rPr>
          <w:rFonts w:eastAsia="MS Gothic" w:cs="Arial" w:asciiTheme="majorHAnsi" w:hAnsiTheme="majorHAnsi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eastAsia="MS Gothic" w:cs="Arial" w:asciiTheme="majorHAnsi" w:hAnsiTheme="majorHAnsi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pri oceňovaní reálnou hodnotou:</w:t>
      </w:r>
    </w:p>
    <w:p w14:paraId="752C156F">
      <w:pPr>
        <w:pStyle w:val="17"/>
        <w:spacing w:after="0" w:line="240" w:lineRule="auto"/>
        <w:ind w:left="0"/>
        <w:jc w:val="both"/>
        <w:rPr>
          <w:rFonts w:cs="Arial" w:asciiTheme="majorHAnsi" w:hAnsiTheme="majorHAnsi"/>
        </w:rPr>
      </w:pPr>
    </w:p>
    <w:p w14:paraId="373F3F68">
      <w:pPr>
        <w:spacing w:after="0" w:line="240" w:lineRule="auto"/>
        <w:jc w:val="both"/>
        <w:rPr>
          <w:rFonts w:cs="Arial" w:asciiTheme="majorHAnsi" w:hAnsiTheme="majorHAnsi"/>
          <w:sz w:val="20"/>
          <w:szCs w:val="20"/>
        </w:rPr>
      </w:pPr>
      <w:r>
        <w:rPr>
          <w:rFonts w:cs="Arial" w:asciiTheme="majorHAnsi" w:hAnsiTheme="majorHAnsi"/>
          <w:sz w:val="20"/>
          <w:szCs w:val="20"/>
        </w:rPr>
        <w:t>Spoločnosť v roku 2023 neúčtovala o ocenení finančných nástrojov alebo majetku, ktorý nie je finančným nástrojom pri oceňovaní reálnou hodnotou.</w:t>
      </w:r>
    </w:p>
    <w:p w14:paraId="10704AD5">
      <w:pPr>
        <w:spacing w:after="0" w:line="240" w:lineRule="auto"/>
        <w:jc w:val="both"/>
        <w:rPr>
          <w:rFonts w:cs="Arial" w:asciiTheme="majorHAnsi" w:hAnsiTheme="majorHAnsi"/>
          <w:sz w:val="20"/>
          <w:szCs w:val="20"/>
        </w:rPr>
      </w:pPr>
    </w:p>
    <w:tbl>
      <w:tblPr>
        <w:tblStyle w:val="12"/>
        <w:tblW w:w="0" w:type="auto"/>
        <w:tblInd w:w="108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34"/>
        <w:gridCol w:w="2377"/>
        <w:gridCol w:w="1701"/>
        <w:gridCol w:w="1701"/>
        <w:gridCol w:w="1591"/>
      </w:tblGrid>
      <w:tr w14:paraId="4339985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34" w:type="dxa"/>
            <w:tcBorders>
              <w:top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3EF37CE2">
            <w:pPr>
              <w:spacing w:after="0" w:line="240" w:lineRule="auto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>
              <w:rPr>
                <w:rFonts w:ascii="Cambria" w:hAnsi="Cambria" w:cs="Arial"/>
                <w:b/>
                <w:sz w:val="20"/>
                <w:szCs w:val="20"/>
              </w:rPr>
              <w:t>Finančný nástroj (FN) alebo majetok, ktorý nie je FN pri oceňovaní reálnou hodnotou (RH)</w:t>
            </w:r>
          </w:p>
        </w:tc>
        <w:tc>
          <w:tcPr>
            <w:tcW w:w="2377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1E0ACA16">
            <w:pPr>
              <w:spacing w:after="0" w:line="240" w:lineRule="auto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>
              <w:rPr>
                <w:rFonts w:ascii="Cambria" w:hAnsi="Cambria" w:cs="Arial"/>
                <w:b/>
                <w:sz w:val="20"/>
                <w:szCs w:val="20"/>
              </w:rPr>
              <w:t>Aplikácia RH podľa ZoÚ alebo stanovenie významných predpokladov slúžiacich ako základ modelov a postupov ocenenia pri kvalifikovanom odhade</w:t>
            </w:r>
          </w:p>
        </w:tc>
        <w:tc>
          <w:tcPr>
            <w:tcW w:w="1701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1EF77B9F">
            <w:pPr>
              <w:spacing w:after="0" w:line="240" w:lineRule="auto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>
              <w:rPr>
                <w:rFonts w:ascii="Cambria" w:hAnsi="Cambria" w:cs="Arial"/>
                <w:b/>
                <w:sz w:val="20"/>
                <w:szCs w:val="20"/>
              </w:rPr>
              <w:t>Reálna hodnota</w:t>
            </w:r>
          </w:p>
        </w:tc>
        <w:tc>
          <w:tcPr>
            <w:tcW w:w="1701" w:type="dxa"/>
            <w:tcBorders>
              <w:left w:val="single" w:color="auto" w:sz="12" w:space="0"/>
            </w:tcBorders>
            <w:vAlign w:val="center"/>
          </w:tcPr>
          <w:p w14:paraId="174E3D22">
            <w:pPr>
              <w:spacing w:after="0" w:line="240" w:lineRule="auto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>
              <w:rPr>
                <w:rFonts w:ascii="Cambria" w:hAnsi="Cambria" w:cs="Arial"/>
                <w:b/>
                <w:sz w:val="20"/>
                <w:szCs w:val="20"/>
              </w:rPr>
              <w:t>Vplyv reálnej hodnoty</w:t>
            </w:r>
          </w:p>
          <w:p w14:paraId="2F8C07EF">
            <w:pPr>
              <w:spacing w:after="0" w:line="240" w:lineRule="auto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>
              <w:rPr>
                <w:rFonts w:ascii="Cambria" w:hAnsi="Cambria" w:cs="Arial"/>
                <w:b/>
                <w:sz w:val="20"/>
                <w:szCs w:val="20"/>
              </w:rPr>
              <w:t>na výsledok</w:t>
            </w:r>
          </w:p>
          <w:p w14:paraId="2A1939B6">
            <w:pPr>
              <w:spacing w:after="0" w:line="240" w:lineRule="auto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>
              <w:rPr>
                <w:rFonts w:ascii="Cambria" w:hAnsi="Cambria" w:cs="Arial"/>
                <w:b/>
                <w:sz w:val="20"/>
                <w:szCs w:val="20"/>
              </w:rPr>
              <w:t>hospodárenia</w:t>
            </w:r>
          </w:p>
        </w:tc>
        <w:tc>
          <w:tcPr>
            <w:tcW w:w="1591" w:type="dxa"/>
            <w:vAlign w:val="center"/>
          </w:tcPr>
          <w:p w14:paraId="24C7C573">
            <w:pPr>
              <w:spacing w:after="0" w:line="240" w:lineRule="auto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>
              <w:rPr>
                <w:rFonts w:ascii="Cambria" w:hAnsi="Cambria" w:cs="Arial"/>
                <w:b/>
                <w:sz w:val="20"/>
                <w:szCs w:val="20"/>
              </w:rPr>
              <w:t xml:space="preserve">Vplyv reálnej hodnoty </w:t>
            </w:r>
          </w:p>
          <w:p w14:paraId="1EEE8773">
            <w:pPr>
              <w:spacing w:after="0" w:line="240" w:lineRule="auto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>
              <w:rPr>
                <w:rFonts w:ascii="Cambria" w:hAnsi="Cambria" w:cs="Arial"/>
                <w:b/>
                <w:sz w:val="20"/>
                <w:szCs w:val="20"/>
              </w:rPr>
              <w:t>na vlastné imanie (cez</w:t>
            </w:r>
          </w:p>
          <w:p w14:paraId="3FCF02DF">
            <w:pPr>
              <w:spacing w:after="0" w:line="240" w:lineRule="auto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>
              <w:rPr>
                <w:rFonts w:ascii="Cambria" w:hAnsi="Cambria" w:cs="Arial"/>
                <w:b/>
                <w:sz w:val="20"/>
                <w:szCs w:val="20"/>
              </w:rPr>
              <w:t>oceňovacie</w:t>
            </w:r>
          </w:p>
          <w:p w14:paraId="03ADF26B">
            <w:pPr>
              <w:spacing w:after="0" w:line="240" w:lineRule="auto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>
              <w:rPr>
                <w:rFonts w:ascii="Cambria" w:hAnsi="Cambria" w:cs="Arial"/>
                <w:b/>
                <w:sz w:val="20"/>
                <w:szCs w:val="20"/>
              </w:rPr>
              <w:t>rozdiely)</w:t>
            </w:r>
          </w:p>
        </w:tc>
      </w:tr>
      <w:tr w14:paraId="71F7A3F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" w:hRule="atLeast"/>
        </w:trPr>
        <w:tc>
          <w:tcPr>
            <w:tcW w:w="1734" w:type="dxa"/>
            <w:tcBorders>
              <w:top w:val="single" w:color="auto" w:sz="12" w:space="0"/>
            </w:tcBorders>
          </w:tcPr>
          <w:p w14:paraId="1395EE31">
            <w:pPr>
              <w:spacing w:after="0" w:line="240" w:lineRule="auto"/>
              <w:jc w:val="both"/>
              <w:rPr>
                <w:rFonts w:cs="Arial" w:asciiTheme="majorHAnsi" w:hAnsiTheme="majorHAnsi"/>
                <w:sz w:val="20"/>
                <w:szCs w:val="20"/>
              </w:rPr>
            </w:pPr>
          </w:p>
        </w:tc>
        <w:tc>
          <w:tcPr>
            <w:tcW w:w="2377" w:type="dxa"/>
            <w:tcBorders>
              <w:top w:val="single" w:color="auto" w:sz="12" w:space="0"/>
            </w:tcBorders>
          </w:tcPr>
          <w:p w14:paraId="79DF8432">
            <w:pPr>
              <w:spacing w:after="0" w:line="240" w:lineRule="auto"/>
              <w:jc w:val="both"/>
              <w:rPr>
                <w:rFonts w:cs="Arial" w:asciiTheme="majorHAnsi" w:hAnsiTheme="majorHAnsi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color="auto" w:sz="12" w:space="0"/>
            </w:tcBorders>
          </w:tcPr>
          <w:p w14:paraId="0EDF6D6D">
            <w:pPr>
              <w:spacing w:after="0" w:line="240" w:lineRule="auto"/>
              <w:jc w:val="both"/>
              <w:rPr>
                <w:rFonts w:cs="Arial" w:asciiTheme="majorHAnsi" w:hAnsiTheme="majorHAnsi"/>
                <w:sz w:val="20"/>
                <w:szCs w:val="20"/>
              </w:rPr>
            </w:pPr>
          </w:p>
        </w:tc>
        <w:tc>
          <w:tcPr>
            <w:tcW w:w="1701" w:type="dxa"/>
          </w:tcPr>
          <w:p w14:paraId="2C759A6F">
            <w:pPr>
              <w:spacing w:after="0" w:line="240" w:lineRule="auto"/>
              <w:jc w:val="both"/>
              <w:rPr>
                <w:rFonts w:cs="Arial" w:asciiTheme="majorHAnsi" w:hAnsiTheme="majorHAnsi"/>
                <w:sz w:val="20"/>
                <w:szCs w:val="20"/>
              </w:rPr>
            </w:pPr>
          </w:p>
        </w:tc>
        <w:tc>
          <w:tcPr>
            <w:tcW w:w="1591" w:type="dxa"/>
          </w:tcPr>
          <w:p w14:paraId="36B251C4">
            <w:pPr>
              <w:spacing w:after="0" w:line="240" w:lineRule="auto"/>
              <w:jc w:val="both"/>
              <w:rPr>
                <w:rFonts w:cs="Arial" w:asciiTheme="majorHAnsi" w:hAnsiTheme="majorHAnsi"/>
                <w:sz w:val="20"/>
                <w:szCs w:val="20"/>
              </w:rPr>
            </w:pPr>
          </w:p>
        </w:tc>
      </w:tr>
    </w:tbl>
    <w:p w14:paraId="4459494A">
      <w:pPr>
        <w:spacing w:after="0" w:line="240" w:lineRule="auto"/>
        <w:jc w:val="both"/>
        <w:rPr>
          <w:rFonts w:cs="Arial" w:asciiTheme="majorHAnsi" w:hAnsiTheme="majorHAnsi"/>
          <w:sz w:val="20"/>
          <w:szCs w:val="20"/>
        </w:rPr>
      </w:pPr>
    </w:p>
    <w:p w14:paraId="305D75B9">
      <w:pPr>
        <w:pStyle w:val="17"/>
        <w:spacing w:after="0" w:line="240" w:lineRule="auto"/>
        <w:ind w:left="0"/>
        <w:jc w:val="both"/>
        <w:rPr>
          <w:rFonts w:eastAsia="MS Gothic" w:cs="Arial" w:asciiTheme="majorHAnsi" w:hAnsiTheme="majorHAnsi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eastAsia="MS Gothic" w:cs="Arial" w:asciiTheme="majorHAnsi" w:hAnsiTheme="majorHAnsi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 4 e) Ocenenie finančných nástrojov pri oceňovaní obstarávacou cenou alebo vlastnými nákladmi:</w:t>
      </w:r>
    </w:p>
    <w:p w14:paraId="0C7A0BE2">
      <w:pPr>
        <w:spacing w:after="0" w:line="240" w:lineRule="auto"/>
        <w:jc w:val="both"/>
        <w:rPr>
          <w:rFonts w:eastAsia="MS Gothic" w:cs="Arial" w:asciiTheme="majorHAnsi" w:hAnsiTheme="majorHAnsi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41269021">
      <w:pPr>
        <w:spacing w:after="0" w:line="240" w:lineRule="auto"/>
        <w:jc w:val="both"/>
        <w:rPr>
          <w:rFonts w:eastAsia="MS Gothic" w:cs="Arial" w:asciiTheme="majorHAnsi" w:hAnsiTheme="majorHAnsi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eastAsia="MS Gothic" w:cs="Arial" w:asciiTheme="majorHAnsi" w:hAnsiTheme="majorHAnsi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Účtovná jednotka v roku 2023 neúčtovala o oceňovaní finančných nástrojov a derivátov.</w:t>
      </w:r>
    </w:p>
    <w:p w14:paraId="7F741036">
      <w:pPr>
        <w:pStyle w:val="17"/>
        <w:spacing w:after="0" w:line="240" w:lineRule="auto"/>
        <w:ind w:left="0"/>
        <w:jc w:val="both"/>
        <w:rPr>
          <w:rFonts w:cs="Arial" w:asciiTheme="majorHAnsi" w:hAnsiTheme="majorHAnsi"/>
          <w:sz w:val="20"/>
          <w:szCs w:val="20"/>
        </w:rPr>
      </w:pPr>
    </w:p>
    <w:tbl>
      <w:tblPr>
        <w:tblStyle w:val="12"/>
        <w:tblW w:w="0" w:type="auto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70"/>
        <w:gridCol w:w="3071"/>
        <w:gridCol w:w="3071"/>
      </w:tblGrid>
      <w:tr w14:paraId="14B5567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70" w:type="dxa"/>
            <w:tcBorders>
              <w:top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229ED9BC">
            <w:pPr>
              <w:pStyle w:val="17"/>
              <w:spacing w:after="0" w:line="240" w:lineRule="auto"/>
              <w:ind w:left="0"/>
              <w:jc w:val="center"/>
              <w:rPr>
                <w:rFonts w:cs="Arial" w:asciiTheme="majorHAnsi" w:hAnsiTheme="majorHAnsi"/>
                <w:b/>
                <w:sz w:val="20"/>
                <w:szCs w:val="20"/>
              </w:rPr>
            </w:pPr>
            <w:r>
              <w:rPr>
                <w:rFonts w:cs="Arial" w:asciiTheme="majorHAnsi" w:hAnsiTheme="majorHAnsi"/>
                <w:b/>
                <w:sz w:val="20"/>
                <w:szCs w:val="20"/>
              </w:rPr>
              <w:t>Druh derivátových finančných nástrojov</w:t>
            </w:r>
          </w:p>
        </w:tc>
        <w:tc>
          <w:tcPr>
            <w:tcW w:w="3071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4313CD59">
            <w:pPr>
              <w:pStyle w:val="17"/>
              <w:spacing w:after="0" w:line="240" w:lineRule="auto"/>
              <w:ind w:left="0"/>
              <w:jc w:val="center"/>
              <w:rPr>
                <w:rFonts w:cs="Arial" w:asciiTheme="majorHAnsi" w:hAnsiTheme="majorHAnsi"/>
                <w:b/>
                <w:sz w:val="20"/>
                <w:szCs w:val="20"/>
              </w:rPr>
            </w:pPr>
            <w:r>
              <w:rPr>
                <w:rFonts w:cs="Arial" w:asciiTheme="majorHAnsi" w:hAnsiTheme="majorHAnsi"/>
                <w:b/>
                <w:sz w:val="20"/>
                <w:szCs w:val="20"/>
              </w:rPr>
              <w:t>Rozsah a charakteristika FN</w:t>
            </w:r>
          </w:p>
        </w:tc>
        <w:tc>
          <w:tcPr>
            <w:tcW w:w="3071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</w:tcBorders>
          </w:tcPr>
          <w:p w14:paraId="69B9B72E">
            <w:pPr>
              <w:pStyle w:val="17"/>
              <w:spacing w:after="0" w:line="240" w:lineRule="auto"/>
              <w:ind w:left="0"/>
              <w:jc w:val="center"/>
              <w:rPr>
                <w:rFonts w:cs="Arial" w:asciiTheme="majorHAnsi" w:hAnsiTheme="majorHAnsi"/>
                <w:b/>
                <w:sz w:val="20"/>
                <w:szCs w:val="20"/>
              </w:rPr>
            </w:pPr>
            <w:r>
              <w:rPr>
                <w:rFonts w:cs="Arial" w:asciiTheme="majorHAnsi" w:hAnsiTheme="majorHAnsi"/>
                <w:b/>
                <w:sz w:val="20"/>
                <w:szCs w:val="20"/>
              </w:rPr>
              <w:t>Reálna hodnota FN</w:t>
            </w:r>
          </w:p>
        </w:tc>
      </w:tr>
      <w:tr w14:paraId="2114C23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070" w:type="dxa"/>
            <w:tcBorders>
              <w:top w:val="single" w:color="auto" w:sz="12" w:space="0"/>
            </w:tcBorders>
          </w:tcPr>
          <w:p w14:paraId="0BC335FA">
            <w:pPr>
              <w:pStyle w:val="17"/>
              <w:spacing w:after="0" w:line="240" w:lineRule="auto"/>
              <w:ind w:left="0"/>
              <w:jc w:val="both"/>
              <w:rPr>
                <w:rFonts w:cs="Arial" w:asciiTheme="majorHAnsi" w:hAnsiTheme="majorHAnsi"/>
                <w:sz w:val="20"/>
                <w:szCs w:val="20"/>
              </w:rPr>
            </w:pPr>
          </w:p>
        </w:tc>
        <w:tc>
          <w:tcPr>
            <w:tcW w:w="3071" w:type="dxa"/>
            <w:tcBorders>
              <w:top w:val="single" w:color="auto" w:sz="12" w:space="0"/>
            </w:tcBorders>
          </w:tcPr>
          <w:p w14:paraId="5AFA7F60">
            <w:pPr>
              <w:pStyle w:val="17"/>
              <w:spacing w:after="0" w:line="240" w:lineRule="auto"/>
              <w:ind w:left="0"/>
              <w:jc w:val="both"/>
              <w:rPr>
                <w:rFonts w:cs="Arial" w:asciiTheme="majorHAnsi" w:hAnsiTheme="majorHAnsi"/>
                <w:sz w:val="20"/>
                <w:szCs w:val="20"/>
              </w:rPr>
            </w:pPr>
          </w:p>
        </w:tc>
        <w:tc>
          <w:tcPr>
            <w:tcW w:w="3071" w:type="dxa"/>
            <w:tcBorders>
              <w:top w:val="single" w:color="auto" w:sz="12" w:space="0"/>
            </w:tcBorders>
          </w:tcPr>
          <w:p w14:paraId="56F5719F">
            <w:pPr>
              <w:pStyle w:val="17"/>
              <w:spacing w:after="0" w:line="240" w:lineRule="auto"/>
              <w:ind w:left="0"/>
              <w:jc w:val="both"/>
              <w:rPr>
                <w:rFonts w:cs="Arial" w:asciiTheme="majorHAnsi" w:hAnsiTheme="majorHAnsi"/>
                <w:sz w:val="20"/>
                <w:szCs w:val="20"/>
              </w:rPr>
            </w:pPr>
          </w:p>
        </w:tc>
      </w:tr>
      <w:tr w14:paraId="2DAA6C1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070" w:type="dxa"/>
          </w:tcPr>
          <w:p w14:paraId="346CAA6D">
            <w:pPr>
              <w:pStyle w:val="17"/>
              <w:spacing w:after="0" w:line="240" w:lineRule="auto"/>
              <w:ind w:left="0"/>
              <w:jc w:val="both"/>
              <w:rPr>
                <w:rFonts w:cs="Arial" w:asciiTheme="majorHAnsi" w:hAnsiTheme="majorHAnsi"/>
                <w:sz w:val="20"/>
                <w:szCs w:val="20"/>
              </w:rPr>
            </w:pPr>
          </w:p>
        </w:tc>
        <w:tc>
          <w:tcPr>
            <w:tcW w:w="3071" w:type="dxa"/>
          </w:tcPr>
          <w:p w14:paraId="47D2F2A3">
            <w:pPr>
              <w:pStyle w:val="17"/>
              <w:spacing w:after="0" w:line="240" w:lineRule="auto"/>
              <w:ind w:left="0"/>
              <w:jc w:val="both"/>
              <w:rPr>
                <w:rFonts w:cs="Arial" w:asciiTheme="majorHAnsi" w:hAnsiTheme="majorHAnsi"/>
                <w:sz w:val="20"/>
                <w:szCs w:val="20"/>
              </w:rPr>
            </w:pPr>
          </w:p>
        </w:tc>
        <w:tc>
          <w:tcPr>
            <w:tcW w:w="3071" w:type="dxa"/>
          </w:tcPr>
          <w:p w14:paraId="02B3254B">
            <w:pPr>
              <w:pStyle w:val="17"/>
              <w:spacing w:after="0" w:line="240" w:lineRule="auto"/>
              <w:ind w:left="0"/>
              <w:jc w:val="both"/>
              <w:rPr>
                <w:rFonts w:cs="Arial" w:asciiTheme="majorHAnsi" w:hAnsiTheme="majorHAnsi"/>
                <w:sz w:val="20"/>
                <w:szCs w:val="20"/>
              </w:rPr>
            </w:pPr>
          </w:p>
        </w:tc>
      </w:tr>
      <w:tr w14:paraId="328A5AE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070" w:type="dxa"/>
          </w:tcPr>
          <w:p w14:paraId="7E007608">
            <w:pPr>
              <w:pStyle w:val="17"/>
              <w:spacing w:after="0" w:line="240" w:lineRule="auto"/>
              <w:ind w:left="0"/>
              <w:jc w:val="both"/>
              <w:rPr>
                <w:rFonts w:cs="Arial" w:asciiTheme="majorHAnsi" w:hAnsiTheme="majorHAnsi"/>
                <w:sz w:val="20"/>
                <w:szCs w:val="20"/>
              </w:rPr>
            </w:pPr>
          </w:p>
        </w:tc>
        <w:tc>
          <w:tcPr>
            <w:tcW w:w="3071" w:type="dxa"/>
          </w:tcPr>
          <w:p w14:paraId="72BD080A">
            <w:pPr>
              <w:pStyle w:val="17"/>
              <w:spacing w:after="0" w:line="240" w:lineRule="auto"/>
              <w:ind w:left="0"/>
              <w:jc w:val="both"/>
              <w:rPr>
                <w:rFonts w:cs="Arial" w:asciiTheme="majorHAnsi" w:hAnsiTheme="majorHAnsi"/>
                <w:sz w:val="20"/>
                <w:szCs w:val="20"/>
              </w:rPr>
            </w:pPr>
          </w:p>
        </w:tc>
        <w:tc>
          <w:tcPr>
            <w:tcW w:w="3071" w:type="dxa"/>
          </w:tcPr>
          <w:p w14:paraId="58EA60A4">
            <w:pPr>
              <w:pStyle w:val="17"/>
              <w:spacing w:after="0" w:line="240" w:lineRule="auto"/>
              <w:ind w:left="0"/>
              <w:jc w:val="both"/>
              <w:rPr>
                <w:rFonts w:cs="Arial" w:asciiTheme="majorHAnsi" w:hAnsiTheme="majorHAnsi"/>
                <w:sz w:val="20"/>
                <w:szCs w:val="20"/>
              </w:rPr>
            </w:pPr>
          </w:p>
        </w:tc>
      </w:tr>
    </w:tbl>
    <w:p w14:paraId="00CE3C45">
      <w:pPr>
        <w:pStyle w:val="17"/>
        <w:spacing w:after="0" w:line="240" w:lineRule="auto"/>
        <w:ind w:left="0"/>
        <w:jc w:val="both"/>
        <w:rPr>
          <w:rFonts w:cs="Arial" w:asciiTheme="majorHAnsi" w:hAnsiTheme="majorHAnsi"/>
          <w:sz w:val="20"/>
          <w:szCs w:val="20"/>
        </w:rPr>
      </w:pPr>
    </w:p>
    <w:p w14:paraId="02EAC935">
      <w:pPr>
        <w:pStyle w:val="17"/>
        <w:spacing w:after="0" w:line="240" w:lineRule="auto"/>
        <w:ind w:left="0"/>
        <w:jc w:val="both"/>
        <w:rPr>
          <w:rFonts w:cs="Arial" w:asciiTheme="majorHAnsi" w:hAnsiTheme="majorHAnsi"/>
          <w:sz w:val="20"/>
          <w:szCs w:val="20"/>
        </w:rPr>
      </w:pPr>
    </w:p>
    <w:p w14:paraId="0435BB31">
      <w:pPr>
        <w:spacing w:after="0" w:line="240" w:lineRule="auto"/>
        <w:jc w:val="both"/>
        <w:rPr>
          <w:rFonts w:cs="Arial" w:asciiTheme="majorHAnsi" w:hAnsiTheme="majorHAnsi"/>
          <w:sz w:val="20"/>
          <w:szCs w:val="20"/>
        </w:rPr>
      </w:pPr>
    </w:p>
    <w:tbl>
      <w:tblPr>
        <w:tblStyle w:val="12"/>
        <w:tblW w:w="0" w:type="auto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03"/>
        <w:gridCol w:w="2303"/>
        <w:gridCol w:w="2303"/>
        <w:gridCol w:w="2303"/>
      </w:tblGrid>
      <w:tr w14:paraId="306CE1E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</w:tblPrEx>
        <w:tc>
          <w:tcPr>
            <w:tcW w:w="2303" w:type="dxa"/>
            <w:tcBorders>
              <w:top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1C5B09F9">
            <w:pPr>
              <w:spacing w:after="0" w:line="240" w:lineRule="auto"/>
              <w:jc w:val="both"/>
              <w:rPr>
                <w:rFonts w:cs="Arial" w:asciiTheme="majorHAnsi" w:hAnsiTheme="majorHAnsi"/>
                <w:b/>
                <w:sz w:val="20"/>
                <w:szCs w:val="20"/>
              </w:rPr>
            </w:pPr>
            <w:r>
              <w:rPr>
                <w:rFonts w:cs="Arial" w:asciiTheme="majorHAnsi" w:hAnsiTheme="majorHAnsi"/>
                <w:b/>
                <w:sz w:val="20"/>
                <w:szCs w:val="20"/>
              </w:rPr>
              <w:t>Dlhodobý finančný majetok</w:t>
            </w:r>
          </w:p>
        </w:tc>
        <w:tc>
          <w:tcPr>
            <w:tcW w:w="2303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6B9A6560">
            <w:pPr>
              <w:spacing w:after="0" w:line="240" w:lineRule="auto"/>
              <w:jc w:val="both"/>
              <w:rPr>
                <w:rFonts w:cs="Arial" w:asciiTheme="majorHAnsi" w:hAnsiTheme="majorHAnsi"/>
                <w:b/>
                <w:sz w:val="20"/>
                <w:szCs w:val="20"/>
              </w:rPr>
            </w:pPr>
            <w:r>
              <w:rPr>
                <w:rFonts w:cs="Arial" w:asciiTheme="majorHAnsi" w:hAnsiTheme="majorHAnsi"/>
                <w:b/>
                <w:sz w:val="20"/>
                <w:szCs w:val="20"/>
              </w:rPr>
              <w:t>Účtovná hodnota (ÚH)</w:t>
            </w:r>
          </w:p>
        </w:tc>
        <w:tc>
          <w:tcPr>
            <w:tcW w:w="2303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1D300565">
            <w:pPr>
              <w:spacing w:after="0" w:line="240" w:lineRule="auto"/>
              <w:jc w:val="both"/>
              <w:rPr>
                <w:rFonts w:cs="Arial" w:asciiTheme="majorHAnsi" w:hAnsiTheme="majorHAnsi"/>
                <w:b/>
                <w:sz w:val="20"/>
                <w:szCs w:val="20"/>
              </w:rPr>
            </w:pPr>
            <w:r>
              <w:rPr>
                <w:rFonts w:cs="Arial" w:asciiTheme="majorHAnsi" w:hAnsiTheme="majorHAnsi"/>
                <w:b/>
                <w:sz w:val="20"/>
                <w:szCs w:val="20"/>
              </w:rPr>
              <w:t>Reálna hodnota (RH)</w:t>
            </w:r>
          </w:p>
        </w:tc>
        <w:tc>
          <w:tcPr>
            <w:tcW w:w="2303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</w:tcBorders>
          </w:tcPr>
          <w:p w14:paraId="564BAE5C">
            <w:pPr>
              <w:spacing w:after="0" w:line="240" w:lineRule="auto"/>
              <w:jc w:val="both"/>
              <w:rPr>
                <w:rFonts w:cs="Arial" w:asciiTheme="majorHAnsi" w:hAnsiTheme="majorHAnsi"/>
                <w:b/>
                <w:sz w:val="20"/>
                <w:szCs w:val="20"/>
              </w:rPr>
            </w:pPr>
            <w:r>
              <w:rPr>
                <w:rFonts w:cs="Arial" w:asciiTheme="majorHAnsi" w:hAnsiTheme="majorHAnsi"/>
                <w:b/>
                <w:sz w:val="20"/>
                <w:szCs w:val="20"/>
              </w:rPr>
              <w:t>Dôvod nezníženia ÚH (ak je ÚH &gt; RH)</w:t>
            </w:r>
          </w:p>
        </w:tc>
      </w:tr>
      <w:tr w14:paraId="56285A4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03" w:type="dxa"/>
            <w:tcBorders>
              <w:top w:val="single" w:color="auto" w:sz="12" w:space="0"/>
            </w:tcBorders>
          </w:tcPr>
          <w:p w14:paraId="5C224223">
            <w:pPr>
              <w:spacing w:after="0" w:line="240" w:lineRule="auto"/>
              <w:jc w:val="both"/>
              <w:rPr>
                <w:rFonts w:cs="Arial" w:asciiTheme="majorHAnsi" w:hAnsiTheme="majorHAnsi"/>
                <w:sz w:val="20"/>
                <w:szCs w:val="20"/>
              </w:rPr>
            </w:pPr>
          </w:p>
        </w:tc>
        <w:tc>
          <w:tcPr>
            <w:tcW w:w="2303" w:type="dxa"/>
            <w:tcBorders>
              <w:top w:val="single" w:color="auto" w:sz="12" w:space="0"/>
            </w:tcBorders>
          </w:tcPr>
          <w:p w14:paraId="29502AE8">
            <w:pPr>
              <w:spacing w:after="0" w:line="240" w:lineRule="auto"/>
              <w:jc w:val="both"/>
              <w:rPr>
                <w:rFonts w:cs="Arial" w:asciiTheme="majorHAnsi" w:hAnsiTheme="majorHAnsi"/>
                <w:sz w:val="20"/>
                <w:szCs w:val="20"/>
              </w:rPr>
            </w:pPr>
          </w:p>
        </w:tc>
        <w:tc>
          <w:tcPr>
            <w:tcW w:w="2303" w:type="dxa"/>
            <w:tcBorders>
              <w:top w:val="single" w:color="auto" w:sz="12" w:space="0"/>
            </w:tcBorders>
          </w:tcPr>
          <w:p w14:paraId="038AD93B">
            <w:pPr>
              <w:spacing w:after="0" w:line="240" w:lineRule="auto"/>
              <w:jc w:val="both"/>
              <w:rPr>
                <w:rFonts w:cs="Arial" w:asciiTheme="majorHAnsi" w:hAnsiTheme="majorHAnsi"/>
                <w:sz w:val="20"/>
                <w:szCs w:val="20"/>
              </w:rPr>
            </w:pPr>
          </w:p>
        </w:tc>
        <w:tc>
          <w:tcPr>
            <w:tcW w:w="2303" w:type="dxa"/>
            <w:tcBorders>
              <w:top w:val="single" w:color="auto" w:sz="12" w:space="0"/>
            </w:tcBorders>
          </w:tcPr>
          <w:p w14:paraId="00BC62D6">
            <w:pPr>
              <w:spacing w:after="0" w:line="240" w:lineRule="auto"/>
              <w:jc w:val="both"/>
              <w:rPr>
                <w:rFonts w:cs="Arial" w:asciiTheme="majorHAnsi" w:hAnsiTheme="majorHAnsi"/>
                <w:sz w:val="20"/>
                <w:szCs w:val="20"/>
              </w:rPr>
            </w:pPr>
          </w:p>
        </w:tc>
      </w:tr>
      <w:tr w14:paraId="04FACAE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03" w:type="dxa"/>
          </w:tcPr>
          <w:p w14:paraId="651C018D">
            <w:pPr>
              <w:spacing w:after="0" w:line="240" w:lineRule="auto"/>
              <w:jc w:val="both"/>
              <w:rPr>
                <w:rFonts w:cs="Arial" w:asciiTheme="majorHAnsi" w:hAnsiTheme="majorHAnsi"/>
                <w:sz w:val="20"/>
                <w:szCs w:val="20"/>
              </w:rPr>
            </w:pPr>
          </w:p>
        </w:tc>
        <w:tc>
          <w:tcPr>
            <w:tcW w:w="2303" w:type="dxa"/>
          </w:tcPr>
          <w:p w14:paraId="7E746685">
            <w:pPr>
              <w:spacing w:after="0" w:line="240" w:lineRule="auto"/>
              <w:jc w:val="both"/>
              <w:rPr>
                <w:rFonts w:cs="Arial" w:asciiTheme="majorHAnsi" w:hAnsiTheme="majorHAnsi"/>
                <w:sz w:val="20"/>
                <w:szCs w:val="20"/>
              </w:rPr>
            </w:pPr>
          </w:p>
        </w:tc>
        <w:tc>
          <w:tcPr>
            <w:tcW w:w="2303" w:type="dxa"/>
          </w:tcPr>
          <w:p w14:paraId="528DF686">
            <w:pPr>
              <w:spacing w:after="0" w:line="240" w:lineRule="auto"/>
              <w:jc w:val="both"/>
              <w:rPr>
                <w:rFonts w:cs="Arial" w:asciiTheme="majorHAnsi" w:hAnsiTheme="majorHAnsi"/>
                <w:sz w:val="20"/>
                <w:szCs w:val="20"/>
              </w:rPr>
            </w:pPr>
          </w:p>
        </w:tc>
        <w:tc>
          <w:tcPr>
            <w:tcW w:w="2303" w:type="dxa"/>
          </w:tcPr>
          <w:p w14:paraId="2B375669">
            <w:pPr>
              <w:spacing w:after="0" w:line="240" w:lineRule="auto"/>
              <w:jc w:val="both"/>
              <w:rPr>
                <w:rFonts w:cs="Arial" w:asciiTheme="majorHAnsi" w:hAnsiTheme="majorHAnsi"/>
                <w:sz w:val="20"/>
                <w:szCs w:val="20"/>
              </w:rPr>
            </w:pPr>
          </w:p>
        </w:tc>
      </w:tr>
      <w:tr w14:paraId="0631A5A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03" w:type="dxa"/>
          </w:tcPr>
          <w:p w14:paraId="24476BDF">
            <w:pPr>
              <w:spacing w:after="0" w:line="240" w:lineRule="auto"/>
              <w:jc w:val="both"/>
              <w:rPr>
                <w:rFonts w:cs="Arial" w:asciiTheme="majorHAnsi" w:hAnsiTheme="majorHAnsi"/>
                <w:sz w:val="20"/>
                <w:szCs w:val="20"/>
              </w:rPr>
            </w:pPr>
          </w:p>
        </w:tc>
        <w:tc>
          <w:tcPr>
            <w:tcW w:w="2303" w:type="dxa"/>
          </w:tcPr>
          <w:p w14:paraId="6301FCF6">
            <w:pPr>
              <w:spacing w:after="0" w:line="240" w:lineRule="auto"/>
              <w:jc w:val="both"/>
              <w:rPr>
                <w:rFonts w:cs="Arial" w:asciiTheme="majorHAnsi" w:hAnsiTheme="majorHAnsi"/>
                <w:sz w:val="20"/>
                <w:szCs w:val="20"/>
              </w:rPr>
            </w:pPr>
          </w:p>
        </w:tc>
        <w:tc>
          <w:tcPr>
            <w:tcW w:w="2303" w:type="dxa"/>
          </w:tcPr>
          <w:p w14:paraId="5E5256FC">
            <w:pPr>
              <w:spacing w:after="0" w:line="240" w:lineRule="auto"/>
              <w:jc w:val="both"/>
              <w:rPr>
                <w:rFonts w:cs="Arial" w:asciiTheme="majorHAnsi" w:hAnsiTheme="majorHAnsi"/>
                <w:sz w:val="20"/>
                <w:szCs w:val="20"/>
              </w:rPr>
            </w:pPr>
          </w:p>
        </w:tc>
        <w:tc>
          <w:tcPr>
            <w:tcW w:w="2303" w:type="dxa"/>
          </w:tcPr>
          <w:p w14:paraId="17DFF7C9">
            <w:pPr>
              <w:spacing w:after="0" w:line="240" w:lineRule="auto"/>
              <w:jc w:val="both"/>
              <w:rPr>
                <w:rFonts w:cs="Arial" w:asciiTheme="majorHAnsi" w:hAnsiTheme="majorHAnsi"/>
                <w:sz w:val="20"/>
                <w:szCs w:val="20"/>
              </w:rPr>
            </w:pPr>
          </w:p>
        </w:tc>
      </w:tr>
    </w:tbl>
    <w:p w14:paraId="39ABA92B">
      <w:pPr>
        <w:spacing w:after="0" w:line="240" w:lineRule="auto"/>
        <w:jc w:val="both"/>
        <w:rPr>
          <w:rFonts w:cs="Arial" w:asciiTheme="majorHAnsi" w:hAnsiTheme="majorHAnsi"/>
          <w:sz w:val="20"/>
          <w:szCs w:val="20"/>
        </w:rPr>
      </w:pPr>
    </w:p>
    <w:p w14:paraId="09859963">
      <w:pPr>
        <w:pStyle w:val="17"/>
        <w:spacing w:after="0" w:line="240" w:lineRule="auto"/>
        <w:ind w:left="0"/>
        <w:jc w:val="both"/>
        <w:rPr>
          <w:rFonts w:eastAsia="MS Gothic" w:cs="Arial" w:asciiTheme="majorHAnsi" w:hAnsiTheme="majorHAnsi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655A185F">
      <w:pPr>
        <w:pStyle w:val="17"/>
        <w:spacing w:after="0" w:line="240" w:lineRule="auto"/>
        <w:ind w:left="0"/>
        <w:jc w:val="both"/>
        <w:rPr>
          <w:rFonts w:eastAsia="MS Gothic" w:cs="Arial" w:asciiTheme="majorHAnsi" w:hAnsiTheme="majorHAnsi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eastAsia="MS Gothic" w:cs="Arial" w:asciiTheme="majorHAnsi" w:hAnsiTheme="majorHAnsi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 4 f)  Stanovenie metódy vlastného imania</w:t>
      </w:r>
    </w:p>
    <w:p w14:paraId="4C65D133">
      <w:pPr>
        <w:pStyle w:val="17"/>
        <w:spacing w:after="0" w:line="240" w:lineRule="auto"/>
        <w:ind w:left="0"/>
        <w:jc w:val="both"/>
        <w:rPr>
          <w:rFonts w:eastAsia="MS Gothic" w:cs="Arial" w:asciiTheme="majorHAnsi" w:hAnsiTheme="majorHAnsi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79175F73">
      <w:pPr>
        <w:spacing w:after="0" w:line="240" w:lineRule="auto"/>
        <w:jc w:val="both"/>
        <w:rPr>
          <w:rFonts w:eastAsia="MS Gothic" w:cs="Arial" w:asciiTheme="majorHAnsi" w:hAnsiTheme="majorHAnsi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eastAsia="MS Gothic" w:cs="Arial" w:asciiTheme="majorHAnsi" w:hAnsiTheme="majorHAnsi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Nakoľko spoločnosť nemá dcérsku spoločnosť neúčtuje o stanovení precenenia majetku metódou vlastného imania  .</w:t>
      </w:r>
    </w:p>
    <w:p w14:paraId="10B5BB63">
      <w:pPr>
        <w:pStyle w:val="17"/>
        <w:spacing w:after="0" w:line="240" w:lineRule="auto"/>
        <w:ind w:left="0"/>
        <w:jc w:val="both"/>
        <w:rPr>
          <w:rFonts w:cs="Arial" w:asciiTheme="majorHAnsi" w:hAnsiTheme="majorHAnsi"/>
        </w:rPr>
      </w:pPr>
    </w:p>
    <w:p w14:paraId="26E27B24">
      <w:pPr>
        <w:spacing w:after="0" w:line="240" w:lineRule="auto"/>
        <w:jc w:val="both"/>
        <w:rPr>
          <w:rFonts w:cs="Arial" w:asciiTheme="majorHAnsi" w:hAnsiTheme="majorHAnsi"/>
          <w:sz w:val="20"/>
          <w:szCs w:val="20"/>
        </w:rPr>
      </w:pPr>
    </w:p>
    <w:p w14:paraId="599AD411">
      <w:pPr>
        <w:pStyle w:val="17"/>
        <w:spacing w:after="0" w:line="240" w:lineRule="auto"/>
        <w:ind w:left="0"/>
        <w:jc w:val="both"/>
        <w:rPr>
          <w:rFonts w:cs="Arial" w:asciiTheme="majorHAnsi" w:hAnsiTheme="majorHAnsi"/>
        </w:rPr>
      </w:pPr>
      <w:r>
        <w:rPr>
          <w:rFonts w:eastAsia="MS Gothic" w:cs="Arial" w:asciiTheme="majorHAnsi" w:hAnsiTheme="majorHAnsi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 4 g) Spôsob zostavenia odpisového plánu dlhodobého majetku</w:t>
      </w:r>
    </w:p>
    <w:p w14:paraId="23C66EAA">
      <w:pPr>
        <w:spacing w:after="0" w:line="240" w:lineRule="auto"/>
        <w:jc w:val="both"/>
        <w:rPr>
          <w:rFonts w:cs="Arial" w:asciiTheme="majorHAnsi" w:hAnsiTheme="majorHAnsi"/>
          <w:sz w:val="20"/>
          <w:szCs w:val="20"/>
        </w:rPr>
      </w:pPr>
    </w:p>
    <w:p w14:paraId="0E90251C">
      <w:pPr>
        <w:spacing w:line="240" w:lineRule="auto"/>
        <w:jc w:val="both"/>
        <w:rPr>
          <w:rFonts w:cs="Arial" w:asciiTheme="majorHAnsi" w:hAnsiTheme="majorHAnsi"/>
          <w:sz w:val="20"/>
          <w:szCs w:val="20"/>
        </w:rPr>
      </w:pPr>
      <w:r>
        <w:rPr>
          <w:rFonts w:cs="Arial" w:asciiTheme="majorHAnsi" w:hAnsiTheme="majorHAnsi"/>
          <w:sz w:val="20"/>
          <w:szCs w:val="20"/>
        </w:rPr>
        <w:t>Spôsob zostavenia účtovného odpisového plánu pre dlhodobý hmotný majetok a dlhodobý nehmotný majetok, doba odpisovania a použité sadzby a odpisové metódy pri stanovení účtovných odpisov:</w:t>
      </w:r>
    </w:p>
    <w:tbl>
      <w:tblPr>
        <w:tblStyle w:val="12"/>
        <w:tblW w:w="0" w:type="auto"/>
        <w:tblInd w:w="108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95"/>
        <w:gridCol w:w="2303"/>
        <w:gridCol w:w="2303"/>
        <w:gridCol w:w="2303"/>
      </w:tblGrid>
      <w:tr w14:paraId="73712C3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195" w:type="dxa"/>
            <w:tcBorders>
              <w:top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4AEC633C">
            <w:pPr>
              <w:spacing w:after="0" w:line="240" w:lineRule="auto"/>
              <w:jc w:val="both"/>
              <w:rPr>
                <w:rFonts w:cs="Arial" w:asciiTheme="majorHAnsi" w:hAnsiTheme="majorHAnsi"/>
                <w:b/>
                <w:sz w:val="20"/>
                <w:szCs w:val="20"/>
              </w:rPr>
            </w:pPr>
            <w:r>
              <w:rPr>
                <w:rFonts w:cs="Arial" w:asciiTheme="majorHAnsi" w:hAnsiTheme="majorHAnsi"/>
                <w:b/>
                <w:sz w:val="20"/>
                <w:szCs w:val="20"/>
              </w:rPr>
              <w:t>Druh majetku</w:t>
            </w:r>
          </w:p>
        </w:tc>
        <w:tc>
          <w:tcPr>
            <w:tcW w:w="2303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69A7DA3F">
            <w:pPr>
              <w:spacing w:after="0" w:line="240" w:lineRule="auto"/>
              <w:jc w:val="both"/>
              <w:rPr>
                <w:rFonts w:cs="Arial" w:asciiTheme="majorHAnsi" w:hAnsiTheme="majorHAnsi"/>
                <w:b/>
                <w:sz w:val="20"/>
                <w:szCs w:val="20"/>
              </w:rPr>
            </w:pPr>
            <w:r>
              <w:rPr>
                <w:rFonts w:cs="Arial" w:asciiTheme="majorHAnsi" w:hAnsiTheme="majorHAnsi"/>
                <w:b/>
                <w:sz w:val="20"/>
                <w:szCs w:val="20"/>
              </w:rPr>
              <w:t>Doba odpisovania</w:t>
            </w:r>
          </w:p>
        </w:tc>
        <w:tc>
          <w:tcPr>
            <w:tcW w:w="2303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676CA0D7">
            <w:pPr>
              <w:spacing w:after="0" w:line="240" w:lineRule="auto"/>
              <w:jc w:val="both"/>
              <w:rPr>
                <w:rFonts w:cs="Arial" w:asciiTheme="majorHAnsi" w:hAnsiTheme="majorHAnsi"/>
                <w:b/>
                <w:sz w:val="20"/>
                <w:szCs w:val="20"/>
              </w:rPr>
            </w:pPr>
            <w:r>
              <w:rPr>
                <w:rFonts w:cs="Arial" w:asciiTheme="majorHAnsi" w:hAnsiTheme="majorHAnsi"/>
                <w:b/>
                <w:sz w:val="20"/>
                <w:szCs w:val="20"/>
              </w:rPr>
              <w:t>Sadzba odpisov</w:t>
            </w:r>
          </w:p>
        </w:tc>
        <w:tc>
          <w:tcPr>
            <w:tcW w:w="2303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</w:tcBorders>
            <w:vAlign w:val="center"/>
          </w:tcPr>
          <w:p w14:paraId="4D633EE8">
            <w:pPr>
              <w:spacing w:after="0" w:line="240" w:lineRule="auto"/>
              <w:jc w:val="both"/>
              <w:rPr>
                <w:rFonts w:cs="Arial" w:asciiTheme="majorHAnsi" w:hAnsiTheme="majorHAnsi"/>
                <w:b/>
                <w:sz w:val="20"/>
                <w:szCs w:val="20"/>
              </w:rPr>
            </w:pPr>
            <w:r>
              <w:rPr>
                <w:rFonts w:cs="Arial" w:asciiTheme="majorHAnsi" w:hAnsiTheme="majorHAnsi"/>
                <w:b/>
                <w:sz w:val="20"/>
                <w:szCs w:val="20"/>
              </w:rPr>
              <w:t>Odpisová metóda</w:t>
            </w:r>
          </w:p>
        </w:tc>
      </w:tr>
      <w:tr w14:paraId="5170040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195" w:type="dxa"/>
            <w:tcBorders>
              <w:top w:val="single" w:color="auto" w:sz="12" w:space="0"/>
            </w:tcBorders>
          </w:tcPr>
          <w:p w14:paraId="57B9FCF7">
            <w:pPr>
              <w:spacing w:after="0" w:line="240" w:lineRule="auto"/>
              <w:jc w:val="both"/>
              <w:rPr>
                <w:rFonts w:cs="Arial" w:asciiTheme="majorHAnsi" w:hAnsiTheme="majorHAnsi"/>
                <w:sz w:val="20"/>
                <w:szCs w:val="20"/>
              </w:rPr>
            </w:pPr>
            <w:r>
              <w:rPr>
                <w:rFonts w:cs="Arial" w:asciiTheme="majorHAnsi" w:hAnsiTheme="majorHAnsi"/>
                <w:sz w:val="20"/>
                <w:szCs w:val="20"/>
              </w:rPr>
              <w:t>Budovy a stavby</w:t>
            </w:r>
          </w:p>
        </w:tc>
        <w:tc>
          <w:tcPr>
            <w:tcW w:w="2303" w:type="dxa"/>
            <w:tcBorders>
              <w:top w:val="single" w:color="auto" w:sz="12" w:space="0"/>
            </w:tcBorders>
          </w:tcPr>
          <w:p w14:paraId="152A788F">
            <w:pPr>
              <w:spacing w:after="0" w:line="240" w:lineRule="auto"/>
              <w:jc w:val="both"/>
              <w:rPr>
                <w:rFonts w:cs="Arial" w:asciiTheme="majorHAnsi" w:hAnsiTheme="majorHAnsi"/>
                <w:sz w:val="20"/>
                <w:szCs w:val="20"/>
              </w:rPr>
            </w:pPr>
            <w:r>
              <w:rPr>
                <w:rFonts w:cs="Arial" w:asciiTheme="majorHAnsi" w:hAnsiTheme="majorHAnsi"/>
                <w:sz w:val="20"/>
                <w:szCs w:val="20"/>
              </w:rPr>
              <w:t>20 rokov , 40 rokov</w:t>
            </w:r>
          </w:p>
        </w:tc>
        <w:tc>
          <w:tcPr>
            <w:tcW w:w="2303" w:type="dxa"/>
            <w:tcBorders>
              <w:top w:val="single" w:color="auto" w:sz="12" w:space="0"/>
            </w:tcBorders>
          </w:tcPr>
          <w:p w14:paraId="195FBDD9">
            <w:pPr>
              <w:spacing w:after="0" w:line="240" w:lineRule="auto"/>
              <w:jc w:val="both"/>
              <w:rPr>
                <w:rFonts w:cs="Arial" w:asciiTheme="majorHAnsi" w:hAnsiTheme="majorHAnsi"/>
                <w:sz w:val="20"/>
                <w:szCs w:val="20"/>
              </w:rPr>
            </w:pPr>
          </w:p>
        </w:tc>
        <w:tc>
          <w:tcPr>
            <w:tcW w:w="2303" w:type="dxa"/>
            <w:tcBorders>
              <w:top w:val="single" w:color="auto" w:sz="12" w:space="0"/>
            </w:tcBorders>
          </w:tcPr>
          <w:p w14:paraId="0902F4A5">
            <w:pPr>
              <w:spacing w:after="0" w:line="240" w:lineRule="auto"/>
              <w:jc w:val="both"/>
              <w:rPr>
                <w:rFonts w:cs="Arial" w:asciiTheme="majorHAnsi" w:hAnsiTheme="majorHAnsi"/>
                <w:sz w:val="20"/>
                <w:szCs w:val="20"/>
              </w:rPr>
            </w:pPr>
            <w:r>
              <w:rPr>
                <w:rFonts w:cs="Arial" w:asciiTheme="majorHAnsi" w:hAnsiTheme="majorHAnsi"/>
                <w:sz w:val="20"/>
                <w:szCs w:val="20"/>
              </w:rPr>
              <w:t>rovnomerne</w:t>
            </w:r>
          </w:p>
        </w:tc>
      </w:tr>
      <w:tr w14:paraId="7122C0A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195" w:type="dxa"/>
          </w:tcPr>
          <w:p w14:paraId="51567EB1">
            <w:pPr>
              <w:spacing w:after="0" w:line="240" w:lineRule="auto"/>
              <w:jc w:val="both"/>
              <w:rPr>
                <w:rFonts w:cs="Arial" w:asciiTheme="majorHAnsi" w:hAnsiTheme="majorHAnsi"/>
                <w:sz w:val="20"/>
                <w:szCs w:val="20"/>
              </w:rPr>
            </w:pPr>
            <w:r>
              <w:rPr>
                <w:rFonts w:cs="Arial" w:asciiTheme="majorHAnsi" w:hAnsiTheme="majorHAnsi"/>
                <w:sz w:val="20"/>
                <w:szCs w:val="20"/>
              </w:rPr>
              <w:t>Autá, stroje a inventár</w:t>
            </w:r>
          </w:p>
        </w:tc>
        <w:tc>
          <w:tcPr>
            <w:tcW w:w="2303" w:type="dxa"/>
          </w:tcPr>
          <w:p w14:paraId="7E472E74">
            <w:pPr>
              <w:spacing w:after="0" w:line="240" w:lineRule="auto"/>
              <w:jc w:val="both"/>
              <w:rPr>
                <w:rFonts w:cs="Arial" w:asciiTheme="majorHAnsi" w:hAnsiTheme="majorHAnsi"/>
                <w:sz w:val="20"/>
                <w:szCs w:val="20"/>
              </w:rPr>
            </w:pPr>
            <w:r>
              <w:rPr>
                <w:rFonts w:cs="Arial" w:asciiTheme="majorHAnsi" w:hAnsiTheme="majorHAnsi"/>
                <w:sz w:val="20"/>
                <w:szCs w:val="20"/>
              </w:rPr>
              <w:t>4 roky</w:t>
            </w:r>
          </w:p>
        </w:tc>
        <w:tc>
          <w:tcPr>
            <w:tcW w:w="2303" w:type="dxa"/>
          </w:tcPr>
          <w:p w14:paraId="0BCE1666">
            <w:pPr>
              <w:spacing w:after="0" w:line="240" w:lineRule="auto"/>
              <w:jc w:val="both"/>
              <w:rPr>
                <w:rFonts w:cs="Arial" w:asciiTheme="majorHAnsi" w:hAnsiTheme="majorHAnsi"/>
                <w:sz w:val="20"/>
                <w:szCs w:val="20"/>
              </w:rPr>
            </w:pPr>
          </w:p>
        </w:tc>
        <w:tc>
          <w:tcPr>
            <w:tcW w:w="2303" w:type="dxa"/>
          </w:tcPr>
          <w:p w14:paraId="7C3DFD13">
            <w:pPr>
              <w:spacing w:after="0" w:line="240" w:lineRule="auto"/>
              <w:jc w:val="both"/>
              <w:rPr>
                <w:rFonts w:cs="Arial" w:asciiTheme="majorHAnsi" w:hAnsiTheme="majorHAnsi"/>
                <w:sz w:val="20"/>
                <w:szCs w:val="20"/>
              </w:rPr>
            </w:pPr>
            <w:r>
              <w:rPr>
                <w:rFonts w:cs="Arial" w:asciiTheme="majorHAnsi" w:hAnsiTheme="majorHAnsi"/>
                <w:sz w:val="20"/>
                <w:szCs w:val="20"/>
              </w:rPr>
              <w:t>rovnomerne</w:t>
            </w:r>
          </w:p>
        </w:tc>
      </w:tr>
      <w:tr w14:paraId="0E2A94B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195" w:type="dxa"/>
          </w:tcPr>
          <w:p w14:paraId="5D46B9F0">
            <w:pPr>
              <w:spacing w:after="0" w:line="240" w:lineRule="auto"/>
              <w:jc w:val="both"/>
              <w:rPr>
                <w:rFonts w:cs="Arial" w:asciiTheme="majorHAnsi" w:hAnsiTheme="majorHAnsi"/>
                <w:sz w:val="20"/>
                <w:szCs w:val="20"/>
              </w:rPr>
            </w:pPr>
            <w:r>
              <w:rPr>
                <w:rFonts w:cs="Arial" w:asciiTheme="majorHAnsi" w:hAnsiTheme="majorHAnsi"/>
                <w:sz w:val="20"/>
                <w:szCs w:val="20"/>
              </w:rPr>
              <w:t>Stroje a inventár</w:t>
            </w:r>
          </w:p>
        </w:tc>
        <w:tc>
          <w:tcPr>
            <w:tcW w:w="2303" w:type="dxa"/>
          </w:tcPr>
          <w:p w14:paraId="7D580739">
            <w:pPr>
              <w:spacing w:after="0" w:line="240" w:lineRule="auto"/>
              <w:jc w:val="both"/>
              <w:rPr>
                <w:rFonts w:cs="Arial" w:asciiTheme="majorHAnsi" w:hAnsiTheme="majorHAnsi"/>
                <w:sz w:val="20"/>
                <w:szCs w:val="20"/>
              </w:rPr>
            </w:pPr>
            <w:r>
              <w:rPr>
                <w:rFonts w:cs="Arial" w:asciiTheme="majorHAnsi" w:hAnsiTheme="majorHAnsi"/>
                <w:sz w:val="20"/>
                <w:szCs w:val="20"/>
              </w:rPr>
              <w:t>4 roky</w:t>
            </w:r>
          </w:p>
        </w:tc>
        <w:tc>
          <w:tcPr>
            <w:tcW w:w="2303" w:type="dxa"/>
          </w:tcPr>
          <w:p w14:paraId="351A0A26">
            <w:pPr>
              <w:spacing w:after="0" w:line="240" w:lineRule="auto"/>
              <w:jc w:val="both"/>
              <w:rPr>
                <w:rFonts w:cs="Arial" w:asciiTheme="majorHAnsi" w:hAnsiTheme="majorHAnsi"/>
                <w:sz w:val="20"/>
                <w:szCs w:val="20"/>
              </w:rPr>
            </w:pPr>
          </w:p>
        </w:tc>
        <w:tc>
          <w:tcPr>
            <w:tcW w:w="2303" w:type="dxa"/>
          </w:tcPr>
          <w:p w14:paraId="430411C5">
            <w:pPr>
              <w:spacing w:after="0" w:line="240" w:lineRule="auto"/>
              <w:jc w:val="both"/>
              <w:rPr>
                <w:rFonts w:cs="Arial" w:asciiTheme="majorHAnsi" w:hAnsiTheme="majorHAnsi"/>
                <w:sz w:val="20"/>
                <w:szCs w:val="20"/>
              </w:rPr>
            </w:pPr>
            <w:r>
              <w:rPr>
                <w:rFonts w:cs="Arial" w:asciiTheme="majorHAnsi" w:hAnsiTheme="majorHAnsi"/>
                <w:sz w:val="20"/>
                <w:szCs w:val="20"/>
              </w:rPr>
              <w:t>rovnomerne</w:t>
            </w:r>
          </w:p>
        </w:tc>
      </w:tr>
      <w:tr w14:paraId="74E633C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195" w:type="dxa"/>
          </w:tcPr>
          <w:p w14:paraId="1298551A">
            <w:pPr>
              <w:spacing w:after="0" w:line="240" w:lineRule="auto"/>
              <w:jc w:val="both"/>
              <w:rPr>
                <w:rFonts w:cs="Arial" w:asciiTheme="majorHAnsi" w:hAnsiTheme="majorHAnsi"/>
                <w:sz w:val="20"/>
                <w:szCs w:val="20"/>
              </w:rPr>
            </w:pPr>
            <w:r>
              <w:rPr>
                <w:rFonts w:cs="Arial" w:asciiTheme="majorHAnsi" w:hAnsiTheme="majorHAnsi"/>
                <w:sz w:val="20"/>
                <w:szCs w:val="20"/>
              </w:rPr>
              <w:t xml:space="preserve">Nábytok a bicykle </w:t>
            </w:r>
          </w:p>
        </w:tc>
        <w:tc>
          <w:tcPr>
            <w:tcW w:w="2303" w:type="dxa"/>
          </w:tcPr>
          <w:p w14:paraId="79057C64">
            <w:pPr>
              <w:spacing w:after="0" w:line="240" w:lineRule="auto"/>
              <w:jc w:val="both"/>
              <w:rPr>
                <w:rFonts w:cs="Arial" w:asciiTheme="majorHAnsi" w:hAnsiTheme="majorHAnsi"/>
                <w:sz w:val="20"/>
                <w:szCs w:val="20"/>
              </w:rPr>
            </w:pPr>
            <w:r>
              <w:rPr>
                <w:rFonts w:cs="Arial" w:asciiTheme="majorHAnsi" w:hAnsiTheme="majorHAnsi"/>
                <w:sz w:val="20"/>
                <w:szCs w:val="20"/>
              </w:rPr>
              <w:t>6 rokov</w:t>
            </w:r>
          </w:p>
        </w:tc>
        <w:tc>
          <w:tcPr>
            <w:tcW w:w="2303" w:type="dxa"/>
          </w:tcPr>
          <w:p w14:paraId="62820023">
            <w:pPr>
              <w:spacing w:after="0" w:line="240" w:lineRule="auto"/>
              <w:jc w:val="both"/>
              <w:rPr>
                <w:rFonts w:cs="Arial" w:asciiTheme="majorHAnsi" w:hAnsiTheme="majorHAnsi"/>
                <w:sz w:val="20"/>
                <w:szCs w:val="20"/>
              </w:rPr>
            </w:pPr>
          </w:p>
        </w:tc>
        <w:tc>
          <w:tcPr>
            <w:tcW w:w="2303" w:type="dxa"/>
          </w:tcPr>
          <w:p w14:paraId="304C29A4">
            <w:pPr>
              <w:spacing w:after="0" w:line="240" w:lineRule="auto"/>
              <w:jc w:val="both"/>
              <w:rPr>
                <w:rFonts w:cs="Arial" w:asciiTheme="majorHAnsi" w:hAnsiTheme="majorHAnsi"/>
                <w:sz w:val="20"/>
                <w:szCs w:val="20"/>
              </w:rPr>
            </w:pPr>
            <w:r>
              <w:rPr>
                <w:rFonts w:cs="Arial" w:asciiTheme="majorHAnsi" w:hAnsiTheme="majorHAnsi"/>
                <w:sz w:val="20"/>
                <w:szCs w:val="20"/>
              </w:rPr>
              <w:t>rovnomerne</w:t>
            </w:r>
          </w:p>
        </w:tc>
      </w:tr>
      <w:tr w14:paraId="42C2418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195" w:type="dxa"/>
          </w:tcPr>
          <w:p w14:paraId="3E5CF970">
            <w:pPr>
              <w:spacing w:after="0" w:line="240" w:lineRule="auto"/>
              <w:jc w:val="both"/>
              <w:rPr>
                <w:rFonts w:cs="Arial" w:asciiTheme="majorHAnsi" w:hAnsiTheme="majorHAnsi"/>
                <w:sz w:val="20"/>
                <w:szCs w:val="20"/>
              </w:rPr>
            </w:pPr>
          </w:p>
        </w:tc>
        <w:tc>
          <w:tcPr>
            <w:tcW w:w="2303" w:type="dxa"/>
          </w:tcPr>
          <w:p w14:paraId="0FDA14AF">
            <w:pPr>
              <w:spacing w:after="0" w:line="240" w:lineRule="auto"/>
              <w:jc w:val="both"/>
              <w:rPr>
                <w:rFonts w:cs="Arial" w:asciiTheme="majorHAnsi" w:hAnsiTheme="majorHAnsi"/>
                <w:sz w:val="20"/>
                <w:szCs w:val="20"/>
              </w:rPr>
            </w:pPr>
          </w:p>
        </w:tc>
        <w:tc>
          <w:tcPr>
            <w:tcW w:w="2303" w:type="dxa"/>
          </w:tcPr>
          <w:p w14:paraId="3C582CA1">
            <w:pPr>
              <w:spacing w:after="0" w:line="240" w:lineRule="auto"/>
              <w:jc w:val="both"/>
              <w:rPr>
                <w:rFonts w:cs="Arial" w:asciiTheme="majorHAnsi" w:hAnsiTheme="majorHAnsi"/>
                <w:sz w:val="20"/>
                <w:szCs w:val="20"/>
              </w:rPr>
            </w:pPr>
          </w:p>
        </w:tc>
        <w:tc>
          <w:tcPr>
            <w:tcW w:w="2303" w:type="dxa"/>
          </w:tcPr>
          <w:p w14:paraId="1DB4F907">
            <w:pPr>
              <w:spacing w:after="0" w:line="240" w:lineRule="auto"/>
              <w:jc w:val="both"/>
              <w:rPr>
                <w:rFonts w:cs="Arial" w:asciiTheme="majorHAnsi" w:hAnsiTheme="majorHAnsi"/>
                <w:sz w:val="20"/>
                <w:szCs w:val="20"/>
              </w:rPr>
            </w:pPr>
          </w:p>
        </w:tc>
      </w:tr>
    </w:tbl>
    <w:p w14:paraId="3158DCE4">
      <w:pPr>
        <w:spacing w:after="0" w:line="240" w:lineRule="auto"/>
        <w:jc w:val="both"/>
        <w:rPr>
          <w:rFonts w:cs="Arial" w:asciiTheme="majorHAnsi" w:hAnsiTheme="majorHAnsi"/>
          <w:sz w:val="20"/>
          <w:szCs w:val="20"/>
        </w:rPr>
      </w:pPr>
    </w:p>
    <w:p w14:paraId="391EF28B">
      <w:pPr>
        <w:spacing w:after="0" w:line="240" w:lineRule="auto"/>
        <w:jc w:val="both"/>
        <w:rPr>
          <w:rFonts w:cs="Arial" w:asciiTheme="majorHAnsi" w:hAnsiTheme="majorHAnsi"/>
          <w:sz w:val="20"/>
          <w:szCs w:val="20"/>
        </w:rPr>
      </w:pPr>
    </w:p>
    <w:p w14:paraId="734B7E8F">
      <w:pPr>
        <w:spacing w:after="0" w:line="240" w:lineRule="auto"/>
        <w:jc w:val="both"/>
        <w:rPr>
          <w:rFonts w:eastAsia="MS Gothic" w:cs="Arial" w:asciiTheme="majorHAnsi" w:hAnsiTheme="majorHAnsi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eastAsia="MS Gothic" w:cs="Arial" w:asciiTheme="majorHAnsi" w:hAnsiTheme="majorHAnsi"/>
            <w:b/>
          </w:rPr>
          <w:id w:val="-1262520514"/>
          <w14:checkbox>
            <w14:checked w14:val="1"/>
            <w14:checkedState w14:val="2612" w14:font="MS Gothic"/>
            <w14:uncheckedState w14:val="2610" w14:font="MS Gothic"/>
          </w14:checkbox>
        </w:sdtPr>
        <w:sdtEndPr>
          <w:rPr>
            <w:rFonts w:eastAsia="MS Gothic" w:cs="Arial" w:asciiTheme="majorHAnsi" w:hAnsiTheme="majorHAnsi"/>
            <w:b/>
          </w:rPr>
        </w:sdtEndPr>
        <w:sdtContent>
          <w:r>
            <w:rPr>
              <w:rFonts w:hint="eastAsia" w:ascii="MS Gothic" w:hAnsi="MS Gothic" w:eastAsia="MS Gothic" w:cs="Arial"/>
              <w:b/>
            </w:rPr>
            <w:t>☒</w:t>
          </w:r>
        </w:sdtContent>
      </w:sdt>
      <w:r>
        <w:rPr>
          <w:rFonts w:eastAsia="MS Gothic" w:cs="Arial" w:asciiTheme="majorHAnsi" w:hAnsiTheme="majorHAnsi"/>
          <w:b/>
        </w:rPr>
        <w:tab/>
      </w:r>
      <w:r>
        <w:rPr>
          <w:rFonts w:eastAsia="MS Gothic" w:cs="Arial" w:asciiTheme="majorHAnsi" w:hAnsiTheme="majorHAnsi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Odpisový plán účtovných odpisov </w:t>
      </w:r>
      <w:r>
        <w:rPr>
          <w:rFonts w:eastAsia="MS Gothic" w:cs="Arial" w:asciiTheme="majorHAnsi" w:hAnsiTheme="majorHAnsi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dlhodobého nehmotného majetku</w:t>
      </w:r>
      <w:r>
        <w:rPr>
          <w:rFonts w:eastAsia="MS Gothic" w:cs="Arial" w:asciiTheme="majorHAnsi" w:hAnsiTheme="majorHAnsi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zostavený účtovnou jednotkou vychádza z predpokladanej doby použiteľnosti dlhodobého nehmotného majetku a/alebo iných objektívnych predpokladov (uviesť)</w:t>
      </w:r>
      <w:r>
        <w:rPr>
          <w:rFonts w:eastAsia="MS Gothic" w:cs="Arial" w:asciiTheme="majorHAnsi" w:hAnsiTheme="majorHAnsi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:</w:t>
      </w:r>
    </w:p>
    <w:p w14:paraId="32431967">
      <w:pPr>
        <w:spacing w:after="0" w:line="240" w:lineRule="auto"/>
        <w:jc w:val="both"/>
        <w:rPr>
          <w:rFonts w:eastAsia="MS Gothic" w:cs="Arial" w:asciiTheme="majorHAnsi" w:hAnsiTheme="majorHAnsi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53325C28">
      <w:pPr>
        <w:spacing w:after="0" w:line="240" w:lineRule="auto"/>
        <w:jc w:val="both"/>
        <w:rPr>
          <w:rFonts w:eastAsia="MS Gothic" w:cs="Arial" w:asciiTheme="majorHAnsi" w:hAnsiTheme="majorHAnsi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4E065F45">
      <w:pPr>
        <w:spacing w:after="0" w:line="240" w:lineRule="auto"/>
        <w:jc w:val="both"/>
        <w:rPr>
          <w:rFonts w:eastAsia="MS Gothic" w:cs="Arial" w:asciiTheme="majorHAnsi" w:hAnsiTheme="majorHAnsi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6581B3C1">
      <w:pPr>
        <w:spacing w:after="0" w:line="240" w:lineRule="auto"/>
        <w:jc w:val="both"/>
        <w:rPr>
          <w:rFonts w:eastAsia="MS Gothic" w:cs="Arial" w:asciiTheme="majorHAnsi" w:hAnsiTheme="majorHAnsi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eastAsia="MS Gothic" w:cs="Arial" w:asciiTheme="majorHAnsi" w:hAnsiTheme="majorHAnsi"/>
            <w:b/>
          </w:rPr>
          <w:id w:val="1514113284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Fonts w:eastAsia="MS Gothic" w:cs="Arial" w:asciiTheme="majorHAnsi" w:hAnsiTheme="majorHAnsi"/>
            <w:b/>
          </w:rPr>
        </w:sdtEndPr>
        <w:sdtContent>
          <w:r>
            <w:rPr>
              <w:rFonts w:hint="eastAsia" w:ascii="MS Mincho" w:hAnsi="MS Mincho" w:eastAsia="MS Mincho" w:cs="MS Mincho"/>
              <w:b/>
            </w:rPr>
            <w:t>☐</w:t>
          </w:r>
        </w:sdtContent>
      </w:sdt>
      <w:r>
        <w:rPr>
          <w:rFonts w:eastAsia="MS Gothic" w:cs="Arial" w:asciiTheme="majorHAnsi" w:hAnsiTheme="majorHAnsi"/>
          <w:b/>
        </w:rPr>
        <w:tab/>
      </w:r>
      <w:r>
        <w:rPr>
          <w:rFonts w:eastAsia="MS Gothic" w:cs="Arial" w:asciiTheme="majorHAnsi" w:hAnsiTheme="majorHAnsi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Odpisový plán bol ovplyvnený týmito rozhodnutiami:</w:t>
      </w:r>
    </w:p>
    <w:p w14:paraId="3BD9DD36">
      <w:pPr>
        <w:spacing w:after="0" w:line="240" w:lineRule="auto"/>
        <w:jc w:val="both"/>
        <w:rPr>
          <w:rFonts w:eastAsia="MS Gothic" w:cs="Arial" w:asciiTheme="majorHAnsi" w:hAnsiTheme="majorHAnsi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30084240">
      <w:pPr>
        <w:spacing w:after="0" w:line="240" w:lineRule="auto"/>
        <w:jc w:val="both"/>
        <w:rPr>
          <w:rFonts w:eastAsia="MS Gothic" w:cs="Arial" w:asciiTheme="majorHAnsi" w:hAnsiTheme="majorHAnsi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47E25EBA">
      <w:pPr>
        <w:spacing w:after="0" w:line="240" w:lineRule="auto"/>
        <w:jc w:val="both"/>
        <w:rPr>
          <w:rFonts w:eastAsia="MS Gothic" w:cs="Arial" w:asciiTheme="majorHAnsi" w:hAnsiTheme="majorHAnsi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eastAsia="MS Gothic" w:cs="Arial" w:asciiTheme="majorHAnsi" w:hAnsiTheme="majorHAnsi"/>
            <w:b/>
          </w:rPr>
          <w:id w:val="-1529326073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Fonts w:eastAsia="MS Gothic" w:cs="Arial" w:asciiTheme="majorHAnsi" w:hAnsiTheme="majorHAnsi"/>
            <w:b/>
          </w:rPr>
        </w:sdtEndPr>
        <w:sdtContent>
          <w:r>
            <w:rPr>
              <w:rFonts w:hint="eastAsia" w:ascii="MS Mincho" w:hAnsi="MS Mincho" w:eastAsia="MS Mincho" w:cs="MS Mincho"/>
              <w:b/>
            </w:rPr>
            <w:t>☐</w:t>
          </w:r>
        </w:sdtContent>
      </w:sdt>
      <w:r>
        <w:rPr>
          <w:rFonts w:eastAsia="MS Gothic" w:cs="Arial" w:asciiTheme="majorHAnsi" w:hAnsiTheme="majorHAnsi"/>
          <w:b/>
        </w:rPr>
        <w:tab/>
      </w:r>
      <w:r>
        <w:rPr>
          <w:rFonts w:eastAsia="MS Gothic" w:cs="Arial" w:asciiTheme="majorHAnsi" w:hAnsiTheme="majorHAnsi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Odpisový plán účtovných odpisov </w:t>
      </w:r>
      <w:r>
        <w:rPr>
          <w:rFonts w:eastAsia="MS Gothic" w:cs="Arial" w:asciiTheme="majorHAnsi" w:hAnsiTheme="majorHAnsi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dlhodobého hmotného majetku</w:t>
      </w:r>
      <w:r>
        <w:rPr>
          <w:rFonts w:eastAsia="MS Gothic" w:cs="Arial" w:asciiTheme="majorHAnsi" w:hAnsiTheme="majorHAnsi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zostavený účtovnou jednotkou interným predpisom vychádzal z predpokladaného opotrebenia zaraďovaného majetku zodpovedajúceho miere opotrebenia v bežných podmienkach jeho používania. Odpisové sadzby pre účtovné a daňové odpisy  </w:t>
      </w:r>
      <w:r>
        <w:rPr>
          <w:rFonts w:eastAsia="MS Gothic" w:cs="Arial" w:asciiTheme="majorHAnsi" w:hAnsiTheme="majorHAnsi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sa nerovnajú</w:t>
      </w:r>
      <w:r>
        <w:rPr>
          <w:rFonts w:eastAsia="MS Gothic" w:cs="Arial" w:asciiTheme="majorHAnsi" w:hAnsiTheme="majorHAnsi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</w:p>
    <w:p w14:paraId="5258D85E">
      <w:pPr>
        <w:spacing w:after="0" w:line="240" w:lineRule="auto"/>
        <w:jc w:val="both"/>
        <w:rPr>
          <w:rFonts w:eastAsia="MS Gothic" w:cs="Arial" w:asciiTheme="majorHAnsi" w:hAnsiTheme="majorHAnsi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35715CF9">
      <w:pPr>
        <w:spacing w:after="0" w:line="240" w:lineRule="auto"/>
        <w:jc w:val="both"/>
        <w:rPr>
          <w:rFonts w:eastAsia="MS Gothic" w:cs="Arial" w:asciiTheme="majorHAnsi" w:hAnsiTheme="majorHAnsi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eastAsia="MS Gothic" w:cs="Arial" w:asciiTheme="majorHAnsi" w:hAnsiTheme="majorHAnsi"/>
            <w:b/>
          </w:rPr>
          <w:id w:val="-1799293422"/>
          <w14:checkbox>
            <w14:checked w14:val="1"/>
            <w14:checkedState w14:val="2612" w14:font="MS Gothic"/>
            <w14:uncheckedState w14:val="2610" w14:font="MS Gothic"/>
          </w14:checkbox>
        </w:sdtPr>
        <w:sdtEndPr>
          <w:rPr>
            <w:rFonts w:eastAsia="MS Gothic" w:cs="Arial" w:asciiTheme="majorHAnsi" w:hAnsiTheme="majorHAnsi"/>
            <w:b/>
          </w:rPr>
        </w:sdtEndPr>
        <w:sdtContent>
          <w:r>
            <w:rPr>
              <w:rFonts w:hint="eastAsia" w:ascii="MS Gothic" w:hAnsi="MS Gothic" w:eastAsia="MS Gothic" w:cs="Arial"/>
              <w:b/>
            </w:rPr>
            <w:t>☒</w:t>
          </w:r>
        </w:sdtContent>
      </w:sdt>
      <w:r>
        <w:rPr>
          <w:rFonts w:eastAsia="MS Gothic" w:cs="Arial" w:asciiTheme="majorHAnsi" w:hAnsiTheme="majorHAnsi"/>
          <w:b/>
        </w:rPr>
        <w:tab/>
      </w:r>
      <w:r>
        <w:rPr>
          <w:rFonts w:eastAsia="MS Gothic" w:cs="Arial" w:asciiTheme="majorHAnsi" w:hAnsiTheme="majorHAnsi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Odpisový plán účtovných odpisov </w:t>
      </w:r>
      <w:r>
        <w:rPr>
          <w:rFonts w:eastAsia="MS Gothic" w:cs="Arial" w:asciiTheme="majorHAnsi" w:hAnsiTheme="majorHAnsi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dlhodobého hmotného majetku</w:t>
      </w:r>
      <w:r>
        <w:rPr>
          <w:rFonts w:eastAsia="MS Gothic" w:cs="Arial" w:asciiTheme="majorHAnsi" w:hAnsiTheme="majorHAnsi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bol zostavený účtovnou jednotkou interným predpisom tak, že za základ odhadu miery opotrebenia dlhodobého hmotného majetku vzal metódy používané pri vyčísľovaní daňových odpisov. Odpisové sadzby pre účtovné a daňové odpisy </w:t>
      </w:r>
      <w:r>
        <w:rPr>
          <w:rFonts w:eastAsia="MS Gothic" w:cs="Arial" w:asciiTheme="majorHAnsi" w:hAnsiTheme="majorHAnsi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sa rovnajú</w:t>
      </w:r>
      <w:r>
        <w:rPr>
          <w:rFonts w:eastAsia="MS Gothic" w:cs="Arial" w:asciiTheme="majorHAnsi" w:hAnsiTheme="majorHAnsi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 Ročný účtovný odpis sa môže odlišovať od daňového podľa počtu mesiacov od zaradenia majetku do konca roka.</w:t>
      </w:r>
    </w:p>
    <w:p w14:paraId="59089997">
      <w:pPr>
        <w:spacing w:after="0" w:line="240" w:lineRule="auto"/>
        <w:jc w:val="both"/>
        <w:rPr>
          <w:rFonts w:eastAsia="MS Gothic" w:cs="Arial" w:asciiTheme="majorHAnsi" w:hAnsiTheme="majorHAnsi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39F92D97">
      <w:pPr>
        <w:spacing w:after="0" w:line="240" w:lineRule="auto"/>
        <w:jc w:val="both"/>
        <w:rPr>
          <w:rFonts w:eastAsia="MS Gothic" w:cs="Arial" w:asciiTheme="majorHAnsi" w:hAnsiTheme="majorHAnsi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2756DDBD">
      <w:pPr>
        <w:pStyle w:val="17"/>
        <w:spacing w:after="0" w:line="240" w:lineRule="auto"/>
        <w:ind w:left="0"/>
        <w:jc w:val="both"/>
        <w:rPr>
          <w:rFonts w:cs="Arial" w:asciiTheme="majorHAnsi" w:hAnsiTheme="majorHAnsi"/>
          <w:b/>
        </w:rPr>
      </w:pPr>
      <w:r>
        <w:rPr>
          <w:rFonts w:cs="Arial" w:asciiTheme="majorHAnsi" w:hAnsiTheme="majorHAnsi"/>
          <w:b/>
        </w:rPr>
        <w:t>III. 4 h) Dotácie poskytnuté na obstaranie majetku:</w:t>
      </w:r>
    </w:p>
    <w:p w14:paraId="4A855402">
      <w:pPr>
        <w:spacing w:after="0" w:line="240" w:lineRule="auto"/>
        <w:jc w:val="both"/>
        <w:rPr>
          <w:rFonts w:eastAsia="MS Gothic" w:cs="Arial" w:asciiTheme="majorHAnsi" w:hAnsiTheme="majorHAnsi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77F49AFA">
      <w:pPr>
        <w:spacing w:after="0" w:line="240" w:lineRule="auto"/>
        <w:jc w:val="both"/>
        <w:rPr>
          <w:rFonts w:eastAsia="MS Gothic" w:cs="Arial" w:asciiTheme="majorHAnsi" w:hAnsiTheme="majorHAnsi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eastAsia="MS Gothic" w:cs="Arial" w:asciiTheme="majorHAnsi" w:hAnsiTheme="majorHAnsi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Účtovná jednotka v roku 2023 neúčtovala a poskytnutých dotáciách.</w:t>
      </w:r>
    </w:p>
    <w:p w14:paraId="7DEA693E">
      <w:pPr>
        <w:spacing w:after="0" w:line="240" w:lineRule="auto"/>
        <w:jc w:val="both"/>
        <w:rPr>
          <w:rFonts w:eastAsia="MS Gothic" w:cs="Arial" w:asciiTheme="majorHAnsi" w:hAnsiTheme="majorHAnsi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24D47C9E">
      <w:pPr>
        <w:spacing w:before="240" w:line="240" w:lineRule="auto"/>
        <w:ind w:left="426" w:hanging="426"/>
        <w:jc w:val="both"/>
        <w:rPr>
          <w:rFonts w:cs="Arial" w:asciiTheme="majorHAnsi" w:hAnsiTheme="majorHAnsi"/>
          <w:b/>
        </w:rPr>
      </w:pPr>
      <w:r>
        <w:rPr>
          <w:rFonts w:cs="Arial" w:asciiTheme="majorHAnsi" w:hAnsiTheme="majorHAnsi"/>
          <w:b/>
        </w:rPr>
        <w:t>III.5  Oprava významných a nevýznamných chýb minulých účtovných období vykonaných v bežnom účtovnom období:</w:t>
      </w:r>
    </w:p>
    <w:p w14:paraId="06BD6E14">
      <w:pPr>
        <w:spacing w:after="0" w:line="240" w:lineRule="auto"/>
        <w:jc w:val="both"/>
        <w:rPr>
          <w:rFonts w:eastAsia="MS Gothic" w:cs="Arial" w:asciiTheme="majorHAnsi" w:hAnsiTheme="majorHAnsi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eastAsia="MS Gothic" w:cs="Arial" w:asciiTheme="majorHAnsi" w:hAnsiTheme="majorHAnsi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Účtovná jednotka v roku 2023 neúčtovala o nevýznamných chybách minulých období.</w:t>
      </w:r>
    </w:p>
    <w:p w14:paraId="2C349CFB">
      <w:pPr>
        <w:spacing w:after="0" w:line="240" w:lineRule="auto"/>
        <w:jc w:val="both"/>
        <w:rPr>
          <w:rFonts w:eastAsia="MS Gothic" w:cs="Arial" w:asciiTheme="majorHAnsi" w:hAnsiTheme="majorHAnsi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797706FF">
      <w:pPr>
        <w:jc w:val="both"/>
        <w:rPr>
          <w:rFonts w:cs="Arial" w:asciiTheme="majorHAnsi" w:hAnsiTheme="majorHAnsi"/>
          <w:b/>
          <w:sz w:val="24"/>
          <w:szCs w:val="24"/>
        </w:rPr>
      </w:pPr>
      <w:r>
        <w:rPr>
          <w:rFonts w:cs="Arial" w:asciiTheme="majorHAnsi" w:hAnsiTheme="majorHAnsi"/>
          <w:b/>
          <w:sz w:val="24"/>
          <w:szCs w:val="24"/>
        </w:rPr>
        <w:t>Článok IV - Informácie, ktoré vysvetľujú a dopĺňajú súvahu a výkaz ziskov a strát</w:t>
      </w:r>
    </w:p>
    <w:p w14:paraId="66545F38">
      <w:pPr>
        <w:spacing w:before="240" w:line="240" w:lineRule="auto"/>
        <w:ind w:left="426" w:hanging="426"/>
        <w:jc w:val="both"/>
        <w:rPr>
          <w:rFonts w:cs="Arial" w:asciiTheme="majorHAnsi" w:hAnsiTheme="majorHAnsi"/>
          <w:b/>
        </w:rPr>
      </w:pPr>
      <w:r>
        <w:rPr>
          <w:rFonts w:cs="Arial" w:asciiTheme="majorHAnsi" w:hAnsiTheme="majorHAnsi"/>
          <w:b/>
        </w:rPr>
        <w:t>IV.1</w:t>
      </w:r>
      <w:r>
        <w:rPr>
          <w:rFonts w:cs="Arial" w:asciiTheme="majorHAnsi" w:hAnsiTheme="majorHAnsi"/>
          <w:b/>
        </w:rPr>
        <w:tab/>
      </w:r>
      <w:r>
        <w:rPr>
          <w:rFonts w:cs="Arial" w:asciiTheme="majorHAnsi" w:hAnsiTheme="majorHAnsi"/>
          <w:b/>
        </w:rPr>
        <w:t xml:space="preserve"> Informácie ku goodwillu alebo zápornému goodwillu</w:t>
      </w:r>
    </w:p>
    <w:p w14:paraId="4DD5C77A">
      <w:pPr>
        <w:spacing w:after="0" w:line="240" w:lineRule="auto"/>
        <w:jc w:val="both"/>
        <w:rPr>
          <w:rFonts w:eastAsia="MS Gothic" w:cs="Arial" w:asciiTheme="majorHAnsi" w:hAnsiTheme="majorHAnsi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eastAsia="MS Gothic" w:cs="Arial" w:asciiTheme="majorHAnsi" w:hAnsiTheme="majorHAnsi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Účtovná jednotka v roku 2023 neúčtovala o goodwile  alebo zápornom goodwile .</w:t>
      </w:r>
    </w:p>
    <w:p w14:paraId="1D526EE3">
      <w:pPr>
        <w:spacing w:after="0" w:line="240" w:lineRule="auto"/>
        <w:jc w:val="both"/>
        <w:rPr>
          <w:rFonts w:eastAsia="MS Gothic" w:cs="Arial" w:asciiTheme="majorHAnsi" w:hAnsiTheme="majorHAnsi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7E74AC97">
      <w:pPr>
        <w:pStyle w:val="17"/>
        <w:spacing w:after="0" w:line="240" w:lineRule="auto"/>
        <w:ind w:left="0"/>
        <w:jc w:val="both"/>
        <w:rPr>
          <w:rFonts w:eastAsia="MS Gothic" w:cs="Arial" w:asciiTheme="majorHAnsi" w:hAnsiTheme="majorHAnsi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eastAsia="MS Gothic" w:cs="Arial" w:asciiTheme="majorHAnsi" w:hAnsiTheme="majorHAnsi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IV. 2  Informácie o významných položkách majetku a záväzkov zabezpečených derivátmi</w:t>
      </w:r>
    </w:p>
    <w:p w14:paraId="5D0E0A8D">
      <w:pPr>
        <w:spacing w:after="0" w:line="240" w:lineRule="auto"/>
        <w:jc w:val="both"/>
        <w:rPr>
          <w:rFonts w:eastAsia="MS Gothic" w:cs="Arial" w:asciiTheme="majorHAnsi" w:hAnsiTheme="majorHAnsi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7EB79A10">
      <w:pPr>
        <w:spacing w:after="0" w:line="240" w:lineRule="auto"/>
        <w:jc w:val="both"/>
        <w:rPr>
          <w:rFonts w:eastAsia="MS Gothic" w:cs="Arial" w:asciiTheme="majorHAnsi" w:hAnsiTheme="majorHAnsi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eastAsia="MS Gothic" w:cs="Arial" w:asciiTheme="majorHAnsi" w:hAnsiTheme="majorHAnsi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Účtovná jednotka v roku 2023 neúčtovala o majetku a záväzkoch zabezpečeného derivátmi. .</w:t>
      </w:r>
    </w:p>
    <w:p w14:paraId="649E45A8">
      <w:pPr>
        <w:spacing w:after="0" w:line="240" w:lineRule="auto"/>
        <w:jc w:val="both"/>
        <w:rPr>
          <w:rFonts w:eastAsia="MS Gothic" w:cs="Arial" w:asciiTheme="majorHAnsi" w:hAnsiTheme="majorHAnsi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26E322F6">
      <w:pPr>
        <w:pStyle w:val="17"/>
        <w:spacing w:after="0" w:line="240" w:lineRule="auto"/>
        <w:ind w:left="0"/>
        <w:jc w:val="both"/>
        <w:rPr>
          <w:rFonts w:cs="Arial" w:asciiTheme="majorHAnsi" w:hAnsiTheme="majorHAnsi"/>
          <w:b/>
          <w:sz w:val="20"/>
          <w:szCs w:val="20"/>
        </w:rPr>
      </w:pPr>
    </w:p>
    <w:tbl>
      <w:tblPr>
        <w:tblStyle w:val="12"/>
        <w:tblW w:w="0" w:type="auto"/>
        <w:tblInd w:w="108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02"/>
        <w:gridCol w:w="2835"/>
        <w:gridCol w:w="2835"/>
      </w:tblGrid>
      <w:tr w14:paraId="0C2E490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02" w:type="dxa"/>
            <w:vMerge w:val="restart"/>
            <w:tcBorders>
              <w:top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72C1048A">
            <w:pPr>
              <w:pStyle w:val="17"/>
              <w:spacing w:after="0" w:line="240" w:lineRule="auto"/>
              <w:ind w:left="0"/>
              <w:jc w:val="center"/>
              <w:rPr>
                <w:rFonts w:cs="Arial" w:asciiTheme="majorHAnsi" w:hAnsiTheme="majorHAnsi"/>
                <w:b/>
                <w:sz w:val="20"/>
                <w:szCs w:val="20"/>
              </w:rPr>
            </w:pPr>
            <w:r>
              <w:rPr>
                <w:rFonts w:cs="Arial" w:asciiTheme="majorHAnsi" w:hAnsiTheme="majorHAnsi"/>
                <w:b/>
                <w:sz w:val="20"/>
                <w:szCs w:val="20"/>
              </w:rPr>
              <w:t>Zabezpečovaná položka</w:t>
            </w:r>
          </w:p>
        </w:tc>
        <w:tc>
          <w:tcPr>
            <w:tcW w:w="2835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12" w:space="0"/>
            </w:tcBorders>
            <w:vAlign w:val="center"/>
          </w:tcPr>
          <w:p w14:paraId="71D825C7">
            <w:pPr>
              <w:spacing w:after="0" w:line="240" w:lineRule="auto"/>
              <w:jc w:val="center"/>
              <w:rPr>
                <w:rFonts w:eastAsia="Times New Roman" w:cs="Arial" w:asciiTheme="majorHAnsi" w:hAnsiTheme="majorHAnsi"/>
                <w:b/>
                <w:bCs/>
                <w:color w:val="000000"/>
                <w:sz w:val="20"/>
                <w:szCs w:val="20"/>
                <w:lang w:eastAsia="sk-SK"/>
              </w:rPr>
            </w:pPr>
            <w:r>
              <w:rPr>
                <w:rFonts w:eastAsia="Times New Roman" w:cs="Arial" w:asciiTheme="majorHAnsi" w:hAnsiTheme="majorHAnsi"/>
                <w:b/>
                <w:bCs/>
                <w:color w:val="000000"/>
                <w:sz w:val="20"/>
                <w:szCs w:val="20"/>
                <w:lang w:eastAsia="sk-SK"/>
              </w:rPr>
              <w:t>Reálna hodnota</w:t>
            </w:r>
          </w:p>
        </w:tc>
      </w:tr>
      <w:tr w14:paraId="346C13E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02" w:type="dxa"/>
            <w:vMerge w:val="continue"/>
            <w:tcBorders>
              <w:top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66B4E750">
            <w:pPr>
              <w:pStyle w:val="17"/>
              <w:spacing w:after="0" w:line="240" w:lineRule="auto"/>
              <w:ind w:left="0"/>
              <w:jc w:val="center"/>
              <w:rPr>
                <w:rFonts w:cs="Arial" w:asciiTheme="majorHAnsi" w:hAnsiTheme="majorHAnsi"/>
                <w:b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451ACA5E">
            <w:pPr>
              <w:pStyle w:val="17"/>
              <w:spacing w:after="0" w:line="240" w:lineRule="auto"/>
              <w:ind w:left="0"/>
              <w:jc w:val="center"/>
              <w:rPr>
                <w:rFonts w:cs="Arial" w:asciiTheme="majorHAnsi" w:hAnsiTheme="majorHAnsi"/>
                <w:b/>
                <w:sz w:val="20"/>
                <w:szCs w:val="20"/>
              </w:rPr>
            </w:pPr>
            <w:r>
              <w:rPr>
                <w:rFonts w:cs="Arial" w:asciiTheme="majorHAnsi" w:hAnsiTheme="majorHAnsi"/>
                <w:b/>
                <w:sz w:val="20"/>
                <w:szCs w:val="20"/>
              </w:rPr>
              <w:t>Bežné obdobie</w:t>
            </w:r>
          </w:p>
        </w:tc>
        <w:tc>
          <w:tcPr>
            <w:tcW w:w="2835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</w:tcBorders>
            <w:vAlign w:val="center"/>
          </w:tcPr>
          <w:p w14:paraId="2FD25DFA">
            <w:pPr>
              <w:pStyle w:val="17"/>
              <w:spacing w:after="0" w:line="240" w:lineRule="auto"/>
              <w:ind w:left="0"/>
              <w:jc w:val="center"/>
              <w:rPr>
                <w:rFonts w:cs="Arial" w:asciiTheme="majorHAnsi" w:hAnsiTheme="majorHAnsi"/>
                <w:b/>
                <w:sz w:val="20"/>
                <w:szCs w:val="20"/>
              </w:rPr>
            </w:pPr>
            <w:r>
              <w:rPr>
                <w:rFonts w:cs="Arial" w:asciiTheme="majorHAnsi" w:hAnsiTheme="majorHAnsi"/>
                <w:b/>
                <w:sz w:val="20"/>
                <w:szCs w:val="20"/>
              </w:rPr>
              <w:t>Bezprostredne predchádzajúce obdobie</w:t>
            </w:r>
          </w:p>
        </w:tc>
      </w:tr>
      <w:tr w14:paraId="4E27794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02" w:type="dxa"/>
            <w:tcBorders>
              <w:top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3143E407">
            <w:pPr>
              <w:pStyle w:val="17"/>
              <w:spacing w:after="0" w:line="240" w:lineRule="auto"/>
              <w:ind w:left="0"/>
              <w:jc w:val="center"/>
              <w:rPr>
                <w:rFonts w:cs="Arial" w:asciiTheme="majorHAnsi" w:hAnsiTheme="majorHAnsi"/>
                <w:b/>
                <w:sz w:val="20"/>
                <w:szCs w:val="20"/>
              </w:rPr>
            </w:pPr>
            <w:r>
              <w:rPr>
                <w:rFonts w:cs="Arial" w:asciiTheme="majorHAnsi" w:hAnsiTheme="majorHAnsi"/>
                <w:b/>
                <w:sz w:val="20"/>
                <w:szCs w:val="20"/>
              </w:rPr>
              <w:t>a</w:t>
            </w:r>
          </w:p>
        </w:tc>
        <w:tc>
          <w:tcPr>
            <w:tcW w:w="2835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148F9DFD">
            <w:pPr>
              <w:pStyle w:val="17"/>
              <w:spacing w:after="0" w:line="240" w:lineRule="auto"/>
              <w:ind w:left="0"/>
              <w:jc w:val="center"/>
              <w:rPr>
                <w:rFonts w:cs="Arial" w:asciiTheme="majorHAnsi" w:hAnsiTheme="majorHAnsi"/>
                <w:b/>
                <w:sz w:val="20"/>
                <w:szCs w:val="20"/>
              </w:rPr>
            </w:pPr>
            <w:r>
              <w:rPr>
                <w:rFonts w:cs="Arial" w:asciiTheme="majorHAnsi" w:hAnsiTheme="majorHAnsi"/>
                <w:b/>
                <w:sz w:val="20"/>
                <w:szCs w:val="20"/>
              </w:rPr>
              <w:t>b</w:t>
            </w:r>
          </w:p>
        </w:tc>
        <w:tc>
          <w:tcPr>
            <w:tcW w:w="2835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</w:tcBorders>
            <w:vAlign w:val="center"/>
          </w:tcPr>
          <w:p w14:paraId="64ACA449">
            <w:pPr>
              <w:pStyle w:val="17"/>
              <w:spacing w:after="0" w:line="240" w:lineRule="auto"/>
              <w:ind w:left="0"/>
              <w:jc w:val="center"/>
              <w:rPr>
                <w:rFonts w:cs="Arial" w:asciiTheme="majorHAnsi" w:hAnsiTheme="majorHAnsi"/>
                <w:b/>
                <w:sz w:val="20"/>
                <w:szCs w:val="20"/>
              </w:rPr>
            </w:pPr>
            <w:r>
              <w:rPr>
                <w:rFonts w:cs="Arial" w:asciiTheme="majorHAnsi" w:hAnsiTheme="majorHAnsi"/>
                <w:b/>
                <w:sz w:val="20"/>
                <w:szCs w:val="20"/>
              </w:rPr>
              <w:t>c</w:t>
            </w:r>
          </w:p>
        </w:tc>
      </w:tr>
      <w:tr w14:paraId="2A7D614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402" w:type="dxa"/>
            <w:tcBorders>
              <w:top w:val="single" w:color="auto" w:sz="12" w:space="0"/>
            </w:tcBorders>
            <w:vAlign w:val="center"/>
          </w:tcPr>
          <w:p w14:paraId="5B63B2AA">
            <w:pPr>
              <w:spacing w:after="0" w:line="240" w:lineRule="auto"/>
              <w:jc w:val="both"/>
              <w:rPr>
                <w:rFonts w:cs="Arial" w:asciiTheme="majorHAnsi" w:hAnsiTheme="majorHAnsi"/>
                <w:sz w:val="20"/>
                <w:szCs w:val="20"/>
              </w:rPr>
            </w:pPr>
            <w:r>
              <w:rPr>
                <w:rFonts w:cs="Arial" w:asciiTheme="majorHAnsi" w:hAnsiTheme="majorHAnsi"/>
                <w:sz w:val="20"/>
                <w:szCs w:val="20"/>
              </w:rPr>
              <w:t>Majetok vykázaný v súvahe</w:t>
            </w:r>
          </w:p>
        </w:tc>
        <w:tc>
          <w:tcPr>
            <w:tcW w:w="2835" w:type="dxa"/>
            <w:tcBorders>
              <w:top w:val="single" w:color="auto" w:sz="12" w:space="0"/>
            </w:tcBorders>
            <w:vAlign w:val="center"/>
          </w:tcPr>
          <w:p w14:paraId="1ACA0DDC">
            <w:pPr>
              <w:pStyle w:val="17"/>
              <w:spacing w:after="0" w:line="240" w:lineRule="auto"/>
              <w:ind w:left="0"/>
              <w:jc w:val="both"/>
              <w:rPr>
                <w:rFonts w:cs="Arial" w:asciiTheme="majorHAnsi" w:hAnsiTheme="majorHAnsi"/>
                <w:b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color="auto" w:sz="12" w:space="0"/>
            </w:tcBorders>
            <w:vAlign w:val="center"/>
          </w:tcPr>
          <w:p w14:paraId="54826C30">
            <w:pPr>
              <w:pStyle w:val="17"/>
              <w:spacing w:after="0" w:line="240" w:lineRule="auto"/>
              <w:ind w:left="0"/>
              <w:jc w:val="both"/>
              <w:rPr>
                <w:rFonts w:cs="Arial" w:asciiTheme="majorHAnsi" w:hAnsiTheme="majorHAnsi"/>
                <w:b/>
                <w:sz w:val="20"/>
                <w:szCs w:val="20"/>
              </w:rPr>
            </w:pPr>
          </w:p>
        </w:tc>
      </w:tr>
      <w:tr w14:paraId="68ACFDB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402" w:type="dxa"/>
            <w:vAlign w:val="center"/>
          </w:tcPr>
          <w:p w14:paraId="2709B397">
            <w:pPr>
              <w:spacing w:after="0" w:line="240" w:lineRule="auto"/>
              <w:jc w:val="both"/>
              <w:rPr>
                <w:rFonts w:cs="Arial" w:asciiTheme="majorHAnsi" w:hAnsiTheme="majorHAnsi"/>
                <w:sz w:val="20"/>
                <w:szCs w:val="20"/>
              </w:rPr>
            </w:pPr>
            <w:r>
              <w:rPr>
                <w:rFonts w:cs="Arial" w:asciiTheme="majorHAnsi" w:hAnsiTheme="majorHAnsi"/>
                <w:sz w:val="20"/>
                <w:szCs w:val="20"/>
              </w:rPr>
              <w:t>Záväzok vykázaný v súvahe</w:t>
            </w:r>
          </w:p>
        </w:tc>
        <w:tc>
          <w:tcPr>
            <w:tcW w:w="2835" w:type="dxa"/>
            <w:vAlign w:val="center"/>
          </w:tcPr>
          <w:p w14:paraId="3A3B76AE">
            <w:pPr>
              <w:pStyle w:val="17"/>
              <w:spacing w:after="0" w:line="240" w:lineRule="auto"/>
              <w:ind w:left="0"/>
              <w:jc w:val="both"/>
              <w:rPr>
                <w:rFonts w:cs="Arial" w:asciiTheme="majorHAnsi" w:hAnsiTheme="majorHAnsi"/>
                <w:b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14:paraId="1644CE5A">
            <w:pPr>
              <w:pStyle w:val="17"/>
              <w:spacing w:after="0" w:line="240" w:lineRule="auto"/>
              <w:ind w:left="0"/>
              <w:jc w:val="both"/>
              <w:rPr>
                <w:rFonts w:cs="Arial" w:asciiTheme="majorHAnsi" w:hAnsiTheme="majorHAnsi"/>
                <w:b/>
                <w:sz w:val="20"/>
                <w:szCs w:val="20"/>
              </w:rPr>
            </w:pPr>
          </w:p>
        </w:tc>
      </w:tr>
      <w:tr w14:paraId="3ED7735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02" w:type="dxa"/>
            <w:vAlign w:val="center"/>
          </w:tcPr>
          <w:p w14:paraId="4F8DC645">
            <w:pPr>
              <w:spacing w:after="0" w:line="240" w:lineRule="auto"/>
              <w:jc w:val="both"/>
              <w:rPr>
                <w:rFonts w:cs="Arial" w:asciiTheme="majorHAnsi" w:hAnsiTheme="majorHAnsi"/>
                <w:sz w:val="20"/>
                <w:szCs w:val="20"/>
              </w:rPr>
            </w:pPr>
            <w:r>
              <w:rPr>
                <w:rFonts w:cs="Arial" w:asciiTheme="majorHAnsi" w:hAnsiTheme="majorHAnsi"/>
                <w:sz w:val="20"/>
                <w:szCs w:val="20"/>
              </w:rPr>
              <w:t>Zmluvy, ktoré sa neúčtujú</w:t>
            </w:r>
          </w:p>
          <w:p w14:paraId="0CFC23C7">
            <w:pPr>
              <w:spacing w:after="0" w:line="240" w:lineRule="auto"/>
              <w:jc w:val="both"/>
              <w:rPr>
                <w:rFonts w:cs="Arial" w:asciiTheme="majorHAnsi" w:hAnsiTheme="majorHAnsi"/>
                <w:sz w:val="20"/>
                <w:szCs w:val="20"/>
              </w:rPr>
            </w:pPr>
            <w:r>
              <w:rPr>
                <w:rFonts w:cs="Arial" w:asciiTheme="majorHAnsi" w:hAnsiTheme="majorHAnsi"/>
                <w:sz w:val="20"/>
                <w:szCs w:val="20"/>
              </w:rPr>
              <w:t>na súvahových účtoch</w:t>
            </w:r>
          </w:p>
        </w:tc>
        <w:tc>
          <w:tcPr>
            <w:tcW w:w="2835" w:type="dxa"/>
            <w:vAlign w:val="center"/>
          </w:tcPr>
          <w:p w14:paraId="3FF5538C">
            <w:pPr>
              <w:pStyle w:val="17"/>
              <w:spacing w:after="0" w:line="240" w:lineRule="auto"/>
              <w:ind w:left="0"/>
              <w:jc w:val="both"/>
              <w:rPr>
                <w:rFonts w:cs="Arial" w:asciiTheme="majorHAnsi" w:hAnsiTheme="majorHAnsi"/>
                <w:b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14:paraId="4192FBEC">
            <w:pPr>
              <w:pStyle w:val="17"/>
              <w:spacing w:after="0" w:line="240" w:lineRule="auto"/>
              <w:ind w:left="0"/>
              <w:jc w:val="both"/>
              <w:rPr>
                <w:rFonts w:cs="Arial" w:asciiTheme="majorHAnsi" w:hAnsiTheme="majorHAnsi"/>
                <w:b/>
                <w:sz w:val="20"/>
                <w:szCs w:val="20"/>
              </w:rPr>
            </w:pPr>
          </w:p>
        </w:tc>
      </w:tr>
      <w:tr w14:paraId="58EC4D4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02" w:type="dxa"/>
            <w:vAlign w:val="center"/>
          </w:tcPr>
          <w:p w14:paraId="6A6F9116">
            <w:pPr>
              <w:spacing w:after="0" w:line="240" w:lineRule="auto"/>
              <w:jc w:val="both"/>
              <w:rPr>
                <w:rFonts w:cs="Arial" w:asciiTheme="majorHAnsi" w:hAnsiTheme="majorHAnsi"/>
                <w:sz w:val="20"/>
                <w:szCs w:val="20"/>
              </w:rPr>
            </w:pPr>
            <w:r>
              <w:rPr>
                <w:rFonts w:cs="Arial" w:asciiTheme="majorHAnsi" w:hAnsiTheme="majorHAnsi"/>
                <w:sz w:val="20"/>
                <w:szCs w:val="20"/>
              </w:rPr>
              <w:t>Očakávané budúce obchody</w:t>
            </w:r>
          </w:p>
          <w:p w14:paraId="551DEEB4">
            <w:pPr>
              <w:spacing w:after="0" w:line="240" w:lineRule="auto"/>
              <w:jc w:val="both"/>
              <w:rPr>
                <w:rFonts w:cs="Arial" w:asciiTheme="majorHAnsi" w:hAnsiTheme="majorHAnsi"/>
                <w:sz w:val="20"/>
                <w:szCs w:val="20"/>
              </w:rPr>
            </w:pPr>
            <w:r>
              <w:rPr>
                <w:rFonts w:cs="Arial" w:asciiTheme="majorHAnsi" w:hAnsiTheme="majorHAnsi"/>
                <w:sz w:val="20"/>
                <w:szCs w:val="20"/>
              </w:rPr>
              <w:t>dosiaľ zmluvne nezabezpečené</w:t>
            </w:r>
          </w:p>
        </w:tc>
        <w:tc>
          <w:tcPr>
            <w:tcW w:w="2835" w:type="dxa"/>
            <w:vAlign w:val="center"/>
          </w:tcPr>
          <w:p w14:paraId="785B56F0">
            <w:pPr>
              <w:pStyle w:val="17"/>
              <w:spacing w:after="0" w:line="240" w:lineRule="auto"/>
              <w:ind w:left="0"/>
              <w:jc w:val="both"/>
              <w:rPr>
                <w:rFonts w:cs="Arial" w:asciiTheme="majorHAnsi" w:hAnsiTheme="majorHAnsi"/>
                <w:b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14:paraId="63233670">
            <w:pPr>
              <w:pStyle w:val="17"/>
              <w:spacing w:after="0" w:line="240" w:lineRule="auto"/>
              <w:ind w:left="0"/>
              <w:jc w:val="both"/>
              <w:rPr>
                <w:rFonts w:cs="Arial" w:asciiTheme="majorHAnsi" w:hAnsiTheme="majorHAnsi"/>
                <w:b/>
                <w:sz w:val="20"/>
                <w:szCs w:val="20"/>
              </w:rPr>
            </w:pPr>
          </w:p>
        </w:tc>
      </w:tr>
      <w:tr w14:paraId="2A5D328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402" w:type="dxa"/>
            <w:vAlign w:val="center"/>
          </w:tcPr>
          <w:p w14:paraId="7C5CF6BA">
            <w:pPr>
              <w:spacing w:after="0" w:line="240" w:lineRule="auto"/>
              <w:jc w:val="both"/>
              <w:rPr>
                <w:rFonts w:cs="Arial" w:asciiTheme="majorHAnsi" w:hAnsiTheme="majorHAnsi"/>
                <w:b/>
                <w:sz w:val="20"/>
                <w:szCs w:val="20"/>
              </w:rPr>
            </w:pPr>
            <w:r>
              <w:rPr>
                <w:rFonts w:cs="Arial" w:asciiTheme="majorHAnsi" w:hAnsiTheme="majorHAnsi"/>
                <w:b/>
                <w:sz w:val="20"/>
                <w:szCs w:val="20"/>
              </w:rPr>
              <w:t>Spolu</w:t>
            </w:r>
          </w:p>
        </w:tc>
        <w:tc>
          <w:tcPr>
            <w:tcW w:w="2835" w:type="dxa"/>
            <w:vAlign w:val="center"/>
          </w:tcPr>
          <w:p w14:paraId="15723349">
            <w:pPr>
              <w:pStyle w:val="17"/>
              <w:spacing w:after="0" w:line="240" w:lineRule="auto"/>
              <w:ind w:left="0"/>
              <w:jc w:val="both"/>
              <w:rPr>
                <w:rFonts w:cs="Arial" w:asciiTheme="majorHAnsi" w:hAnsiTheme="majorHAnsi"/>
                <w:b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14:paraId="592638C8">
            <w:pPr>
              <w:pStyle w:val="17"/>
              <w:spacing w:after="0" w:line="240" w:lineRule="auto"/>
              <w:ind w:left="0"/>
              <w:jc w:val="both"/>
              <w:rPr>
                <w:rFonts w:cs="Arial" w:asciiTheme="majorHAnsi" w:hAnsiTheme="majorHAnsi"/>
                <w:b/>
                <w:sz w:val="20"/>
                <w:szCs w:val="20"/>
              </w:rPr>
            </w:pPr>
          </w:p>
        </w:tc>
      </w:tr>
    </w:tbl>
    <w:p w14:paraId="5467ADF8">
      <w:pPr>
        <w:pStyle w:val="17"/>
        <w:spacing w:after="0" w:line="240" w:lineRule="auto"/>
        <w:ind w:left="0"/>
        <w:jc w:val="both"/>
        <w:rPr>
          <w:rFonts w:cs="Arial" w:asciiTheme="majorHAnsi" w:hAnsiTheme="majorHAnsi"/>
          <w:b/>
          <w:sz w:val="20"/>
          <w:szCs w:val="20"/>
        </w:rPr>
      </w:pPr>
    </w:p>
    <w:p w14:paraId="2889EFE4">
      <w:pPr>
        <w:spacing w:after="0" w:line="240" w:lineRule="auto"/>
        <w:jc w:val="both"/>
        <w:rPr>
          <w:rFonts w:eastAsia="MS Gothic" w:cs="Arial" w:asciiTheme="majorHAnsi" w:hAnsiTheme="majorHAnsi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4EC4CDC7">
      <w:pPr>
        <w:spacing w:after="0" w:line="240" w:lineRule="auto"/>
        <w:jc w:val="both"/>
        <w:rPr>
          <w:rFonts w:eastAsia="MS Gothic" w:cs="Arial" w:asciiTheme="majorHAnsi" w:hAnsiTheme="majorHAnsi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6F171DDD">
      <w:pPr>
        <w:spacing w:after="0" w:line="240" w:lineRule="auto"/>
        <w:jc w:val="both"/>
        <w:rPr>
          <w:rFonts w:eastAsia="MS Gothic" w:cs="Arial" w:asciiTheme="majorHAnsi" w:hAnsiTheme="majorHAnsi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64E18791">
      <w:pPr>
        <w:spacing w:after="0" w:line="240" w:lineRule="auto"/>
        <w:jc w:val="both"/>
        <w:rPr>
          <w:rFonts w:eastAsia="MS Gothic" w:cs="Arial" w:asciiTheme="majorHAnsi" w:hAnsiTheme="majorHAnsi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3B1AAF40">
      <w:pPr>
        <w:spacing w:after="0" w:line="240" w:lineRule="auto"/>
        <w:jc w:val="both"/>
        <w:rPr>
          <w:rFonts w:eastAsia="MS Gothic" w:cs="Arial" w:asciiTheme="majorHAnsi" w:hAnsiTheme="majorHAnsi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eastAsia="MS Gothic" w:cs="Arial" w:asciiTheme="majorHAnsi" w:hAnsiTheme="majorHAnsi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IV. 3 a) Záväzky so zostatkovou dobou splatnosti dlhšou ako 5 rokov:</w:t>
      </w:r>
    </w:p>
    <w:p w14:paraId="09C20178">
      <w:pPr>
        <w:spacing w:after="0" w:line="240" w:lineRule="auto"/>
        <w:jc w:val="both"/>
        <w:rPr>
          <w:rFonts w:eastAsia="MS Gothic" w:cs="Arial" w:asciiTheme="majorHAnsi" w:hAnsiTheme="majorHAnsi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72BF1C8D">
      <w:pPr>
        <w:spacing w:after="0" w:line="240" w:lineRule="auto"/>
        <w:jc w:val="both"/>
        <w:rPr>
          <w:rFonts w:eastAsia="MS Gothic" w:cs="Arial" w:asciiTheme="majorHAnsi" w:hAnsiTheme="majorHAnsi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eastAsia="MS Gothic" w:cs="Arial" w:asciiTheme="majorHAnsi" w:hAnsiTheme="majorHAnsi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Účtovná jednotka v roku 2024 neúčtovala o záväzkoch s dobou splatnosti viac ako 5 rokov .</w:t>
      </w:r>
    </w:p>
    <w:p w14:paraId="28B743C3">
      <w:pPr>
        <w:spacing w:after="0" w:line="240" w:lineRule="auto"/>
        <w:jc w:val="both"/>
        <w:rPr>
          <w:rFonts w:eastAsia="MS Gothic" w:cs="Arial" w:asciiTheme="majorHAnsi" w:hAnsiTheme="majorHAnsi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19AF511B">
      <w:pPr>
        <w:spacing w:after="0" w:line="240" w:lineRule="auto"/>
        <w:jc w:val="both"/>
        <w:rPr>
          <w:rFonts w:eastAsia="MS Gothic" w:cs="Arial" w:asciiTheme="majorHAnsi" w:hAnsiTheme="majorHAnsi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eastAsia="MS Gothic" w:cs="Arial" w:asciiTheme="majorHAnsi" w:hAnsiTheme="majorHAnsi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IV. 3 b) Zabezpečené záväzky, opis a spôsob ich zabezpečenia</w:t>
      </w:r>
    </w:p>
    <w:p w14:paraId="75C7344C">
      <w:pPr>
        <w:spacing w:after="0" w:line="240" w:lineRule="auto"/>
        <w:jc w:val="both"/>
        <w:rPr>
          <w:rFonts w:eastAsia="MS Gothic" w:cs="Arial" w:asciiTheme="majorHAnsi" w:hAnsiTheme="majorHAnsi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762E505A">
      <w:pPr>
        <w:spacing w:after="0" w:line="240" w:lineRule="auto"/>
        <w:jc w:val="both"/>
        <w:rPr>
          <w:rFonts w:eastAsia="MS Gothic" w:cs="Arial" w:asciiTheme="majorHAnsi" w:hAnsiTheme="majorHAnsi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eastAsia="MS Gothic" w:cs="Arial" w:asciiTheme="majorHAnsi" w:hAnsiTheme="majorHAnsi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Účtovná jednotka v roku 2024 neúčtovala o zabezpečených záväzkoch.</w:t>
      </w:r>
    </w:p>
    <w:p w14:paraId="69CD7990">
      <w:pPr>
        <w:pStyle w:val="17"/>
        <w:spacing w:before="240" w:line="240" w:lineRule="auto"/>
        <w:ind w:left="0" w:right="-141"/>
        <w:jc w:val="both"/>
        <w:rPr>
          <w:rFonts w:eastAsia="MS Gothic" w:cs="Arial" w:asciiTheme="majorHAnsi" w:hAnsiTheme="majorHAnsi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eastAsia="MS Gothic" w:cs="Arial" w:asciiTheme="majorHAnsi" w:hAnsiTheme="majorHAnsi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IV. 4 a) - c) Informácie o vlastných akciách:</w:t>
      </w:r>
    </w:p>
    <w:p w14:paraId="0ABD86AC">
      <w:pPr>
        <w:spacing w:after="0" w:line="240" w:lineRule="auto"/>
        <w:jc w:val="both"/>
        <w:rPr>
          <w:rFonts w:eastAsia="MS Gothic" w:cs="Arial" w:asciiTheme="majorHAnsi" w:hAnsiTheme="majorHAnsi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eastAsia="MS Gothic" w:cs="Arial" w:asciiTheme="majorHAnsi" w:hAnsiTheme="majorHAnsi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Účtovná jednotka v roku 2024 neúčtovala o vlastných akciách.</w:t>
      </w:r>
    </w:p>
    <w:p w14:paraId="23E4238B">
      <w:pPr>
        <w:spacing w:after="0" w:line="240" w:lineRule="auto"/>
        <w:jc w:val="both"/>
        <w:rPr>
          <w:rFonts w:eastAsia="MS Gothic" w:cs="Arial" w:asciiTheme="majorHAnsi" w:hAnsiTheme="majorHAnsi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023441AC">
      <w:pPr>
        <w:spacing w:line="240" w:lineRule="auto"/>
        <w:ind w:left="993" w:hanging="993"/>
        <w:jc w:val="both"/>
        <w:rPr>
          <w:rFonts w:eastAsia="MS Gothic" w:cs="Times New Roman" w:asciiTheme="majorHAnsi" w:hAnsiTheme="majorHAnsi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eastAsia="MS Gothic" w:cs="Times New Roman" w:asciiTheme="majorHAnsi" w:hAnsiTheme="majorHAnsi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IV. 5</w:t>
      </w:r>
      <w:r>
        <w:rPr>
          <w:rFonts w:eastAsia="MS Gothic" w:cs="Times New Roman" w:asciiTheme="majorHAnsi" w:hAnsiTheme="majorHAnsi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>
        <w:rPr>
          <w:rFonts w:eastAsia="MS Gothic" w:cs="Times New Roman" w:asciiTheme="majorHAnsi" w:hAnsiTheme="majorHAnsi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výnosoch a nákladoch, ktoré majú výnimočný rozsah alebo výskyt</w:t>
      </w:r>
    </w:p>
    <w:p w14:paraId="29C8237A">
      <w:pPr>
        <w:spacing w:after="0" w:line="240" w:lineRule="auto"/>
        <w:jc w:val="both"/>
        <w:rPr>
          <w:rFonts w:eastAsia="MS Gothic" w:cs="Arial" w:asciiTheme="majorHAnsi" w:hAnsiTheme="majorHAnsi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eastAsia="MS Gothic" w:cs="Arial" w:asciiTheme="majorHAnsi" w:hAnsiTheme="majorHAnsi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Účtovná jednotka v roku 2024 neúčtovala o takýchto nákladoch a výnosoch.</w:t>
      </w:r>
    </w:p>
    <w:p w14:paraId="7E05B771">
      <w:pPr>
        <w:spacing w:after="0" w:line="240" w:lineRule="auto"/>
        <w:jc w:val="both"/>
        <w:rPr>
          <w:rFonts w:eastAsia="MS Gothic" w:cs="Arial" w:asciiTheme="majorHAnsi" w:hAnsiTheme="majorHAnsi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3C5B5CC4">
      <w:pPr>
        <w:rPr>
          <w:rFonts w:cs="Arial" w:asciiTheme="majorHAnsi" w:hAnsiTheme="majorHAnsi"/>
          <w:b/>
          <w:sz w:val="24"/>
          <w:szCs w:val="24"/>
        </w:rPr>
      </w:pPr>
      <w:r>
        <w:rPr>
          <w:rFonts w:cs="Arial" w:asciiTheme="majorHAnsi" w:hAnsiTheme="majorHAnsi"/>
          <w:b/>
          <w:sz w:val="24"/>
          <w:szCs w:val="24"/>
        </w:rPr>
        <w:t>Článok V - Informácie o iných aktívach a iných pasívach</w:t>
      </w:r>
    </w:p>
    <w:p w14:paraId="1802A8A4">
      <w:pPr>
        <w:pStyle w:val="17"/>
        <w:spacing w:after="0" w:line="240" w:lineRule="auto"/>
        <w:ind w:left="0"/>
        <w:jc w:val="both"/>
        <w:rPr>
          <w:rFonts w:eastAsia="MS Gothic" w:cs="Arial" w:asciiTheme="majorHAnsi" w:hAnsiTheme="majorHAnsi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eastAsia="MS Gothic" w:cs="Arial" w:asciiTheme="majorHAnsi" w:hAnsiTheme="majorHAnsi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V. 1 a) Informácie o podmienenom majetku</w:t>
      </w:r>
    </w:p>
    <w:p w14:paraId="390C6276">
      <w:pPr>
        <w:spacing w:after="0" w:line="240" w:lineRule="auto"/>
        <w:jc w:val="both"/>
        <w:rPr>
          <w:rFonts w:eastAsia="MS Gothic" w:cs="Arial" w:asciiTheme="majorHAnsi" w:hAnsiTheme="majorHAnsi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2B2A1C44">
      <w:pPr>
        <w:spacing w:after="0" w:line="240" w:lineRule="auto"/>
        <w:jc w:val="both"/>
        <w:rPr>
          <w:rFonts w:eastAsia="MS Gothic" w:cs="Arial" w:asciiTheme="majorHAnsi" w:hAnsiTheme="majorHAnsi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eastAsia="MS Gothic" w:cs="Arial" w:asciiTheme="majorHAnsi" w:hAnsiTheme="majorHAnsi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Účtovná jednotka nemá žiadny podmienený majetok.</w:t>
      </w:r>
    </w:p>
    <w:p w14:paraId="098B168D">
      <w:pPr>
        <w:pStyle w:val="17"/>
        <w:spacing w:after="0" w:line="240" w:lineRule="auto"/>
        <w:ind w:left="0"/>
        <w:jc w:val="both"/>
        <w:rPr>
          <w:rFonts w:eastAsia="MS Gothic" w:cs="Arial" w:asciiTheme="majorHAnsi" w:hAnsiTheme="majorHAnsi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37ECDB64">
      <w:pPr>
        <w:spacing w:before="240" w:line="240" w:lineRule="auto"/>
        <w:jc w:val="both"/>
        <w:rPr>
          <w:rFonts w:eastAsia="MS Gothic" w:cs="Arial" w:asciiTheme="majorHAnsi" w:hAnsiTheme="majorHAnsi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eastAsia="MS Gothic" w:cs="Arial" w:asciiTheme="majorHAnsi" w:hAnsiTheme="majorHAnsi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V. 1 b) Informácie o podmienených záväzkoch:</w:t>
      </w:r>
    </w:p>
    <w:p w14:paraId="14A95FB3">
      <w:pPr>
        <w:spacing w:after="0" w:line="240" w:lineRule="auto"/>
        <w:jc w:val="both"/>
        <w:rPr>
          <w:rFonts w:eastAsia="MS Gothic" w:cs="Arial" w:asciiTheme="majorHAnsi" w:hAnsiTheme="majorHAnsi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eastAsia="MS Gothic" w:cs="Arial" w:asciiTheme="majorHAnsi" w:hAnsiTheme="majorHAnsi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Účtovná jednotka nemá žiadne podmienené záväzky.</w:t>
      </w:r>
    </w:p>
    <w:p w14:paraId="40C91DBC">
      <w:pPr>
        <w:spacing w:after="0" w:line="240" w:lineRule="auto"/>
        <w:jc w:val="both"/>
        <w:rPr>
          <w:rFonts w:eastAsia="MS Gothic" w:cs="Arial" w:asciiTheme="majorHAnsi" w:hAnsiTheme="majorHAnsi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7E86889D">
      <w:pPr>
        <w:pStyle w:val="17"/>
        <w:spacing w:after="0" w:line="240" w:lineRule="auto"/>
        <w:ind w:left="0"/>
        <w:jc w:val="both"/>
        <w:rPr>
          <w:rFonts w:eastAsia="MS Gothic" w:cs="Arial" w:asciiTheme="majorHAnsi" w:hAnsiTheme="majorHAnsi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0A33EEA4">
      <w:pPr>
        <w:pStyle w:val="17"/>
        <w:spacing w:after="0" w:line="240" w:lineRule="auto"/>
        <w:ind w:left="0"/>
        <w:jc w:val="both"/>
        <w:rPr>
          <w:rFonts w:eastAsia="MS Gothic" w:cs="Arial" w:asciiTheme="majorHAnsi" w:hAnsiTheme="majorHAnsi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eastAsia="MS Gothic" w:cs="Arial" w:asciiTheme="majorHAnsi" w:hAnsiTheme="majorHAnsi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V. 2  Ostatné významné finančné povinnosti nevykázané v účtovných výkazoch</w:t>
      </w:r>
    </w:p>
    <w:p w14:paraId="0556C9F2">
      <w:pPr>
        <w:pStyle w:val="17"/>
        <w:spacing w:after="0" w:line="240" w:lineRule="auto"/>
        <w:ind w:left="0"/>
        <w:jc w:val="both"/>
        <w:rPr>
          <w:rFonts w:eastAsia="MS Gothic" w:cs="Arial" w:asciiTheme="majorHAnsi" w:hAnsiTheme="majorHAnsi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6D8DFD83">
      <w:pPr>
        <w:spacing w:after="0" w:line="240" w:lineRule="auto"/>
        <w:jc w:val="both"/>
        <w:rPr>
          <w:rFonts w:eastAsia="MS Gothic" w:cs="Arial" w:asciiTheme="majorHAnsi" w:hAnsiTheme="majorHAnsi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eastAsia="MS Gothic" w:cs="Arial" w:asciiTheme="majorHAnsi" w:hAnsiTheme="majorHAnsi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Účtovná jednotka nemá žiadne finančné povinnosti nevykázané v účtovných výkazoch</w:t>
      </w:r>
    </w:p>
    <w:p w14:paraId="7B43780F">
      <w:pPr>
        <w:pStyle w:val="17"/>
        <w:spacing w:after="0" w:line="240" w:lineRule="auto"/>
        <w:ind w:left="0"/>
        <w:jc w:val="both"/>
        <w:rPr>
          <w:rFonts w:eastAsia="MS Gothic" w:cs="Arial" w:asciiTheme="majorHAnsi" w:hAnsiTheme="majorHAnsi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6661BFD3">
      <w:pPr>
        <w:pStyle w:val="17"/>
        <w:spacing w:after="0" w:line="240" w:lineRule="auto"/>
        <w:ind w:left="0"/>
        <w:jc w:val="both"/>
        <w:rPr>
          <w:rFonts w:eastAsia="MS Gothic" w:cs="Arial" w:asciiTheme="majorHAnsi" w:hAnsiTheme="majorHAnsi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4F08DC8A">
      <w:pPr>
        <w:pStyle w:val="17"/>
        <w:spacing w:after="0" w:line="240" w:lineRule="auto"/>
        <w:ind w:left="0"/>
        <w:jc w:val="both"/>
        <w:rPr>
          <w:rFonts w:eastAsia="MS Gothic" w:cs="Arial" w:asciiTheme="majorHAnsi" w:hAnsiTheme="majorHAnsi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eastAsia="MS Gothic" w:cs="Arial" w:asciiTheme="majorHAnsi" w:hAnsiTheme="majorHAnsi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V. 3  Informácie o údajoch na podsúvahových účtoch</w:t>
      </w:r>
    </w:p>
    <w:p w14:paraId="220180A3">
      <w:pPr>
        <w:pStyle w:val="17"/>
        <w:spacing w:after="0" w:line="240" w:lineRule="auto"/>
        <w:ind w:left="0"/>
        <w:jc w:val="both"/>
        <w:rPr>
          <w:rFonts w:eastAsia="MS Gothic" w:cs="Arial" w:asciiTheme="majorHAnsi" w:hAnsiTheme="majorHAnsi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2EB0B346">
      <w:pPr>
        <w:spacing w:after="0" w:line="240" w:lineRule="auto"/>
        <w:jc w:val="both"/>
        <w:rPr>
          <w:rFonts w:eastAsia="MS Gothic" w:cs="Arial" w:asciiTheme="majorHAnsi" w:hAnsiTheme="majorHAnsi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eastAsia="MS Gothic" w:cs="Arial" w:asciiTheme="majorHAnsi" w:hAnsiTheme="majorHAnsi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Účtovná jednotka nemá žiadne údaje na podsúvahových účtoch.</w:t>
      </w:r>
    </w:p>
    <w:p w14:paraId="4BDA57E6">
      <w:pPr>
        <w:pStyle w:val="17"/>
        <w:spacing w:after="0" w:line="240" w:lineRule="auto"/>
        <w:ind w:left="0"/>
        <w:jc w:val="both"/>
        <w:rPr>
          <w:rFonts w:eastAsia="MS Gothic" w:cs="Arial" w:asciiTheme="majorHAnsi" w:hAnsiTheme="majorHAnsi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126AF9BC">
      <w:pPr>
        <w:jc w:val="both"/>
        <w:rPr>
          <w:rFonts w:cs="Arial" w:asciiTheme="majorHAnsi" w:hAnsiTheme="majorHAnsi"/>
          <w:b/>
          <w:sz w:val="24"/>
          <w:szCs w:val="24"/>
        </w:rPr>
      </w:pPr>
      <w:r>
        <w:rPr>
          <w:rFonts w:cs="Arial" w:asciiTheme="majorHAnsi" w:hAnsiTheme="majorHAnsi"/>
          <w:b/>
          <w:sz w:val="24"/>
          <w:szCs w:val="24"/>
        </w:rPr>
        <w:t>Článok VI - Udalosti, ktoré nastali po dni, ku ktorému sa zostavuje účtovná závierka</w:t>
      </w:r>
    </w:p>
    <w:p w14:paraId="2CFB5958">
      <w:pPr>
        <w:jc w:val="both"/>
        <w:rPr>
          <w:rFonts w:cs="Arial" w:asciiTheme="majorHAnsi" w:hAnsiTheme="majorHAnsi"/>
          <w:b/>
          <w:sz w:val="24"/>
          <w:szCs w:val="24"/>
        </w:rPr>
      </w:pPr>
      <w:r>
        <w:rPr>
          <w:rFonts w:eastAsia="MS Gothic" w:cs="Arial" w:asciiTheme="majorHAnsi" w:hAnsiTheme="majorHAnsi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Na účtovnú jednotku sa nevzťahuje</w:t>
      </w:r>
    </w:p>
    <w:p w14:paraId="419F59B6">
      <w:pPr>
        <w:jc w:val="both"/>
        <w:rPr>
          <w:rFonts w:cs="Arial" w:asciiTheme="majorHAnsi" w:hAnsiTheme="majorHAnsi"/>
          <w:b/>
          <w:sz w:val="24"/>
          <w:szCs w:val="24"/>
        </w:rPr>
      </w:pPr>
    </w:p>
    <w:p w14:paraId="194185AB">
      <w:pPr>
        <w:jc w:val="both"/>
        <w:rPr>
          <w:rFonts w:cs="Arial" w:asciiTheme="majorHAnsi" w:hAnsiTheme="majorHAnsi"/>
          <w:b/>
          <w:sz w:val="24"/>
          <w:szCs w:val="24"/>
        </w:rPr>
      </w:pPr>
      <w:r>
        <w:rPr>
          <w:rFonts w:cs="Arial" w:asciiTheme="majorHAnsi" w:hAnsiTheme="majorHAnsi"/>
          <w:b/>
          <w:sz w:val="24"/>
          <w:szCs w:val="24"/>
        </w:rPr>
        <w:t>Článok VII - Ostatné informácie</w:t>
      </w:r>
    </w:p>
    <w:p w14:paraId="01B1AFD7">
      <w:pPr>
        <w:jc w:val="both"/>
        <w:rPr>
          <w:rFonts w:cs="Arial" w:asciiTheme="majorHAnsi" w:hAnsiTheme="majorHAnsi"/>
          <w:b/>
        </w:rPr>
      </w:pPr>
      <w:r>
        <w:rPr>
          <w:rFonts w:cs="Arial" w:asciiTheme="majorHAnsi" w:hAnsiTheme="majorHAnsi"/>
          <w:b/>
        </w:rPr>
        <w:t xml:space="preserve">VII. 1 a) – c)  </w:t>
      </w:r>
      <w:r>
        <w:rPr>
          <w:rFonts w:eastAsia="MS Gothic" w:cs="Arial" w:asciiTheme="majorHAnsi" w:hAnsiTheme="majorHAnsi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Informácie </w:t>
      </w:r>
      <w:r>
        <w:rPr>
          <w:rFonts w:cs="Arial" w:asciiTheme="majorHAnsi" w:hAnsiTheme="majorHAnsi"/>
          <w:b/>
        </w:rPr>
        <w:t>o výlučných právach alebo osobitných právach udelených účtovnej jednotke</w:t>
      </w:r>
    </w:p>
    <w:p w14:paraId="18B37FDC">
      <w:pPr>
        <w:spacing w:after="0" w:line="240" w:lineRule="auto"/>
        <w:jc w:val="both"/>
        <w:rPr>
          <w:rFonts w:eastAsia="MS Gothic" w:cs="Arial" w:asciiTheme="majorHAnsi" w:hAnsiTheme="majorHAnsi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eastAsia="MS Gothic" w:cs="Arial" w:asciiTheme="majorHAnsi" w:hAnsiTheme="majorHAnsi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Účtovná jednotka nemá žiadne  výlučné ani osobitné práva.</w:t>
      </w:r>
    </w:p>
    <w:p w14:paraId="393CC99B">
      <w:pPr>
        <w:jc w:val="both"/>
        <w:rPr>
          <w:rFonts w:cs="Arial" w:asciiTheme="majorHAnsi" w:hAnsiTheme="majorHAnsi"/>
          <w:b/>
        </w:rPr>
      </w:pPr>
    </w:p>
    <w:p w14:paraId="6C0F1001">
      <w:pPr>
        <w:spacing w:before="240" w:line="240" w:lineRule="auto"/>
        <w:jc w:val="both"/>
        <w:rPr>
          <w:rFonts w:eastAsia="MS Gothic" w:cs="Arial" w:asciiTheme="majorHAnsi" w:hAnsiTheme="majorHAnsi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eastAsia="MS Gothic" w:cs="Arial" w:asciiTheme="majorHAnsi" w:hAnsiTheme="majorHAnsi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VII. 2 a) a b) Informácie týkajúce sa účtovnej jednotky, na ktorú sa vzťahuje § 23d ods. 6 ZoÚ, jej činnosť   je zaradená do kategórie priemyselnej výroby a jej čistý obrat za</w:t>
      </w:r>
      <w:r>
        <w:rPr>
          <w:rFonts w:cs="Arial" w:asciiTheme="majorHAnsi" w:hAnsiTheme="majorHAnsi"/>
        </w:rPr>
        <w:t xml:space="preserve"> </w:t>
      </w:r>
      <w:r>
        <w:rPr>
          <w:rFonts w:eastAsia="MS Gothic" w:cs="Arial" w:asciiTheme="majorHAnsi" w:hAnsiTheme="majorHAnsi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bezprostredne predchádzajúce účtovné obdobie bol väčší ako 250 000 000 €:</w:t>
      </w:r>
    </w:p>
    <w:p w14:paraId="18E5E842">
      <w:pPr>
        <w:spacing w:after="0" w:line="240" w:lineRule="auto"/>
        <w:jc w:val="both"/>
        <w:rPr>
          <w:rFonts w:eastAsia="MS Gothic" w:cs="Arial" w:asciiTheme="majorHAnsi" w:hAnsiTheme="majorHAnsi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eastAsia="MS Gothic" w:cs="Arial" w:asciiTheme="majorHAnsi" w:hAnsiTheme="majorHAnsi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Na účtovnú jednotku sa nevzťahuje uvedený paragraf.</w:t>
      </w:r>
    </w:p>
    <w:p w14:paraId="470BE30C">
      <w:pPr>
        <w:spacing w:after="0" w:line="240" w:lineRule="auto"/>
        <w:jc w:val="both"/>
        <w:rPr>
          <w:rFonts w:eastAsia="MS Gothic" w:cs="Arial" w:asciiTheme="majorHAnsi" w:hAnsiTheme="majorHAnsi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2E12309B">
      <w:pPr>
        <w:spacing w:after="0" w:line="240" w:lineRule="auto"/>
        <w:jc w:val="both"/>
        <w:rPr>
          <w:rFonts w:eastAsia="MS Gothic" w:cs="Arial" w:asciiTheme="majorHAnsi" w:hAnsiTheme="majorHAnsi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0ADF7DB5">
      <w:pPr>
        <w:spacing w:after="0" w:line="240" w:lineRule="auto"/>
        <w:jc w:val="both"/>
        <w:rPr>
          <w:rFonts w:eastAsia="MS Gothic" w:cs="Arial" w:asciiTheme="majorHAnsi" w:hAnsiTheme="majorHAnsi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3AE64299">
      <w:pPr>
        <w:spacing w:after="0" w:line="240" w:lineRule="auto"/>
        <w:jc w:val="both"/>
        <w:rPr>
          <w:rFonts w:eastAsia="MS Gothic" w:cs="Arial" w:asciiTheme="majorHAnsi" w:hAnsiTheme="majorHAnsi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eastAsia="MS Gothic" w:cs="Arial" w:asciiTheme="majorHAnsi" w:hAnsiTheme="majorHAnsi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VII. 2 c) – g)  I</w:t>
      </w:r>
      <w:r>
        <w:rPr>
          <w:rFonts w:eastAsia="MS Gothic" w:cs="Arial" w:asciiTheme="majorHAnsi" w:hAnsiTheme="majorHAnsi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nformácie týkajúce sa účtovnej jednotky, na ktorú sa vzťahuje § 23d ods. 6 ZoÚ, jej činnosť je zaradená do kategórie priemyselnej výroby a jej čistý obrat za</w:t>
      </w:r>
      <w:r>
        <w:rPr>
          <w:rFonts w:cs="Arial" w:asciiTheme="majorHAnsi" w:hAnsiTheme="majorHAnsi"/>
          <w:sz w:val="20"/>
          <w:szCs w:val="20"/>
        </w:rPr>
        <w:t xml:space="preserve"> </w:t>
      </w:r>
      <w:r>
        <w:rPr>
          <w:rFonts w:eastAsia="MS Gothic" w:cs="Arial" w:asciiTheme="majorHAnsi" w:hAnsiTheme="majorHAnsi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bezprostredne predchádzajúce účtovné obdobie bol väčší ako 250 000 000 €:</w:t>
      </w:r>
    </w:p>
    <w:p w14:paraId="2E95CA1D">
      <w:pPr>
        <w:spacing w:after="0" w:line="240" w:lineRule="auto"/>
        <w:jc w:val="both"/>
        <w:rPr>
          <w:rFonts w:eastAsia="MS Gothic" w:cs="Arial" w:asciiTheme="majorHAnsi" w:hAnsiTheme="majorHAnsi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43778EE8">
      <w:pPr>
        <w:spacing w:after="0" w:line="240" w:lineRule="auto"/>
        <w:jc w:val="both"/>
        <w:rPr>
          <w:rFonts w:eastAsia="MS Gothic" w:cs="Arial" w:asciiTheme="majorHAnsi" w:hAnsiTheme="majorHAnsi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eastAsia="MS Gothic" w:cs="Arial" w:asciiTheme="majorHAnsi" w:hAnsiTheme="majorHAnsi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Na účtovnú jednotku sa nevzťahuje uvedený paragraf.</w:t>
      </w:r>
    </w:p>
    <w:p w14:paraId="5CB221FC">
      <w:pPr>
        <w:spacing w:after="0" w:line="240" w:lineRule="auto"/>
        <w:jc w:val="both"/>
        <w:rPr>
          <w:rFonts w:eastAsia="MS Gothic" w:cs="Arial" w:asciiTheme="majorHAnsi" w:hAnsiTheme="majorHAnsi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38CEBA3B">
      <w:pPr>
        <w:pStyle w:val="17"/>
        <w:spacing w:after="0" w:line="240" w:lineRule="auto"/>
        <w:ind w:left="0"/>
        <w:jc w:val="both"/>
        <w:rPr>
          <w:rFonts w:eastAsia="MS Gothic" w:cs="Arial" w:asciiTheme="majorHAnsi" w:hAnsiTheme="majorHAnsi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6DCB42AC">
      <w:pPr>
        <w:pStyle w:val="17"/>
        <w:spacing w:after="0" w:line="240" w:lineRule="auto"/>
        <w:ind w:left="0"/>
        <w:jc w:val="both"/>
        <w:rPr>
          <w:rFonts w:eastAsia="MS Gothic" w:cs="Arial" w:asciiTheme="majorHAnsi" w:hAnsiTheme="majorHAnsi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eastAsia="MS Gothic" w:cs="Arial" w:asciiTheme="majorHAnsi" w:hAnsiTheme="majorHAnsi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VII. 3  Informácie týkajúce sa účtovnej jednotky, na ktorú sa vzťahuje § 23d ods. 6 ZoÚ, jej činnosť je zaradená do kategórie priemyselnej výroby a jej čistý obrat za bezprostredne predchádzajúce účtovné obdobie bol väčší ako 250 000 000 € -  finančné vzťahy  medzi orgánom verejnej moci a účtovnou jednotkou:</w:t>
      </w:r>
    </w:p>
    <w:p w14:paraId="29C9A723">
      <w:pPr>
        <w:pStyle w:val="17"/>
        <w:spacing w:after="0" w:line="240" w:lineRule="auto"/>
        <w:ind w:left="0"/>
        <w:jc w:val="both"/>
        <w:rPr>
          <w:rFonts w:eastAsia="MS Gothic" w:cs="Arial" w:asciiTheme="majorHAnsi" w:hAnsiTheme="majorHAnsi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381DBDDC">
      <w:pPr>
        <w:spacing w:after="0" w:line="240" w:lineRule="auto"/>
        <w:jc w:val="both"/>
        <w:rPr>
          <w:rFonts w:eastAsia="MS Gothic" w:cs="Arial" w:asciiTheme="majorHAnsi" w:hAnsiTheme="majorHAnsi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eastAsia="MS Gothic" w:cs="Arial" w:asciiTheme="majorHAnsi" w:hAnsiTheme="majorHAnsi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Na účtovnú jednotku sa nevzťahuje uvedený paragraf.</w:t>
      </w:r>
    </w:p>
    <w:p w14:paraId="68097A16">
      <w:pPr>
        <w:pStyle w:val="17"/>
        <w:spacing w:after="0" w:line="240" w:lineRule="auto"/>
        <w:ind w:left="0"/>
        <w:jc w:val="both"/>
        <w:rPr>
          <w:rFonts w:eastAsia="MS Gothic" w:cs="Arial" w:asciiTheme="majorHAnsi" w:hAnsiTheme="majorHAnsi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4E9D7DAD">
      <w:pPr>
        <w:spacing w:after="0" w:line="240" w:lineRule="auto"/>
        <w:jc w:val="both"/>
        <w:rPr>
          <w:rFonts w:eastAsia="MS Gothic" w:cs="Arial" w:asciiTheme="majorHAnsi" w:hAnsiTheme="majorHAnsi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0AEB2DF8">
      <w:pPr>
        <w:spacing w:after="0" w:line="240" w:lineRule="auto"/>
        <w:jc w:val="both"/>
        <w:rPr>
          <w:rFonts w:eastAsia="MS Gothic" w:cs="Arial" w:asciiTheme="majorHAnsi" w:hAnsiTheme="majorHAnsi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7B4F2795">
      <w:pPr>
        <w:spacing w:before="240" w:line="240" w:lineRule="auto"/>
        <w:jc w:val="both"/>
        <w:rPr>
          <w:rFonts w:eastAsia="MS Gothic" w:cs="Arial" w:asciiTheme="majorHAnsi" w:hAnsiTheme="majorHAnsi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26AE6A94">
      <w:pPr>
        <w:spacing w:before="240" w:line="240" w:lineRule="auto"/>
        <w:jc w:val="both"/>
        <w:rPr>
          <w:rFonts w:eastAsia="MS Gothic" w:cs="Arial" w:asciiTheme="majorHAnsi" w:hAnsiTheme="majorHAnsi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bookmarkStart w:id="0" w:name="OLE_LINK1"/>
      <w:r>
        <w:rPr>
          <w:rFonts w:eastAsia="MS Gothic" w:cs="Arial" w:asciiTheme="majorHAnsi" w:hAnsiTheme="majorHAnsi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Bratislava     07.03.2025</w:t>
      </w:r>
    </w:p>
    <w:bookmarkEnd w:id="0"/>
    <w:p w14:paraId="0C3B7587">
      <w:pPr>
        <w:spacing w:before="240" w:line="240" w:lineRule="auto"/>
        <w:jc w:val="both"/>
        <w:rPr>
          <w:rFonts w:eastAsia="MS Gothic" w:cs="Arial" w:asciiTheme="majorHAnsi" w:hAnsiTheme="majorHAnsi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eastAsia="MS Gothic" w:cs="Arial" w:asciiTheme="majorHAnsi" w:hAnsiTheme="majorHAnsi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</w:p>
    <w:p w14:paraId="601873A3">
      <w:pPr>
        <w:spacing w:before="240" w:line="240" w:lineRule="auto"/>
        <w:jc w:val="both"/>
        <w:rPr>
          <w:rFonts w:eastAsia="MS Gothic" w:cs="Arial" w:asciiTheme="majorHAnsi" w:hAnsiTheme="majorHAnsi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25192BE1">
      <w:pPr>
        <w:spacing w:before="240" w:line="240" w:lineRule="auto"/>
        <w:jc w:val="both"/>
        <w:rPr>
          <w:rFonts w:eastAsia="MS Gothic" w:cs="Arial" w:asciiTheme="majorHAnsi" w:hAnsiTheme="majorHAnsi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51B50D49">
      <w:pPr>
        <w:spacing w:before="240" w:line="240" w:lineRule="auto"/>
        <w:jc w:val="both"/>
        <w:rPr>
          <w:rFonts w:eastAsia="MS Gothic" w:cs="Arial" w:asciiTheme="majorHAnsi" w:hAnsiTheme="majorHAnsi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eastAsia="MS Gothic" w:cs="Arial" w:asciiTheme="majorHAnsi" w:hAnsiTheme="majorHAnsi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>
        <w:rPr>
          <w:rFonts w:eastAsia="MS Gothic" w:cs="Arial" w:asciiTheme="majorHAnsi" w:hAnsiTheme="majorHAnsi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>
        <w:rPr>
          <w:rFonts w:eastAsia="MS Gothic" w:cs="Arial" w:asciiTheme="majorHAnsi" w:hAnsiTheme="majorHAnsi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>
        <w:rPr>
          <w:rFonts w:eastAsia="MS Gothic" w:cs="Arial" w:asciiTheme="majorHAnsi" w:hAnsiTheme="majorHAnsi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>
        <w:rPr>
          <w:rFonts w:eastAsia="MS Gothic" w:cs="Arial" w:asciiTheme="majorHAnsi" w:hAnsiTheme="majorHAnsi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>
        <w:rPr>
          <w:rFonts w:eastAsia="MS Gothic" w:cs="Arial" w:asciiTheme="majorHAnsi" w:hAnsiTheme="majorHAnsi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>
        <w:rPr>
          <w:rFonts w:eastAsia="MS Gothic" w:cs="Arial" w:asciiTheme="majorHAnsi" w:hAnsiTheme="majorHAnsi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>
        <w:rPr>
          <w:rFonts w:eastAsia="MS Gothic" w:cs="Arial" w:asciiTheme="majorHAnsi" w:hAnsiTheme="majorHAnsi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>
        <w:rPr>
          <w:rFonts w:eastAsia="MS Gothic" w:cs="Arial" w:asciiTheme="majorHAnsi" w:hAnsiTheme="majorHAnsi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..................................................................</w:t>
      </w:r>
    </w:p>
    <w:p w14:paraId="29CB8C5A">
      <w:pPr>
        <w:spacing w:before="240" w:line="240" w:lineRule="auto"/>
        <w:jc w:val="both"/>
        <w:rPr>
          <w:rFonts w:eastAsia="MS Gothic" w:cs="Arial" w:asciiTheme="majorHAnsi" w:hAnsiTheme="majorHAnsi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eastAsia="MS Gothic" w:cs="Arial" w:asciiTheme="majorHAnsi" w:hAnsiTheme="majorHAnsi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>
        <w:rPr>
          <w:rFonts w:eastAsia="MS Gothic" w:cs="Arial" w:asciiTheme="majorHAnsi" w:hAnsiTheme="majorHAnsi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>
        <w:rPr>
          <w:rFonts w:eastAsia="MS Gothic" w:cs="Arial" w:asciiTheme="majorHAnsi" w:hAnsiTheme="majorHAnsi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>
        <w:rPr>
          <w:rFonts w:eastAsia="MS Gothic" w:cs="Arial" w:asciiTheme="majorHAnsi" w:hAnsiTheme="majorHAnsi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>
        <w:rPr>
          <w:rFonts w:eastAsia="MS Gothic" w:cs="Arial" w:asciiTheme="majorHAnsi" w:hAnsiTheme="majorHAnsi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>
        <w:rPr>
          <w:rFonts w:eastAsia="MS Gothic" w:cs="Arial" w:asciiTheme="majorHAnsi" w:hAnsiTheme="majorHAnsi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>
        <w:rPr>
          <w:rFonts w:eastAsia="MS Gothic" w:cs="Arial" w:asciiTheme="majorHAnsi" w:hAnsiTheme="majorHAnsi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>
        <w:rPr>
          <w:rFonts w:eastAsia="MS Gothic" w:cs="Arial" w:asciiTheme="majorHAnsi" w:hAnsiTheme="majorHAnsi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</w:t>
      </w:r>
      <w:r>
        <w:rPr>
          <w:rFonts w:eastAsia="MS Gothic" w:cs="Arial" w:asciiTheme="majorHAnsi" w:hAnsiTheme="majorHAnsi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>
        <w:rPr>
          <w:rFonts w:eastAsia="MS Gothic" w:cs="Arial" w:asciiTheme="majorHAnsi" w:hAnsiTheme="majorHAnsi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        konateľ spoločnosti </w:t>
      </w:r>
    </w:p>
    <w:sectPr>
      <w:headerReference r:id="rId5" w:type="default"/>
      <w:footerReference r:id="rId6" w:type="default"/>
      <w:pgSz w:w="11906" w:h="16838"/>
      <w:pgMar w:top="1417" w:right="1417" w:bottom="1417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EE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Cambria">
    <w:panose1 w:val="02040503050406030204"/>
    <w:charset w:val="EE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EE"/>
    <w:family w:val="swiss"/>
    <w:pitch w:val="default"/>
    <w:sig w:usb0="E1002EFF" w:usb1="C000605B" w:usb2="00000029" w:usb3="00000000" w:csb0="200101FF" w:csb1="20280000"/>
  </w:font>
  <w:font w:name="Arial">
    <w:panose1 w:val="020B0604020202020204"/>
    <w:charset w:val="EE"/>
    <w:family w:val="swiss"/>
    <w:pitch w:val="default"/>
    <w:sig w:usb0="E0002EFF" w:usb1="C000785B" w:usb2="00000009" w:usb3="00000000" w:csb0="400001FF" w:csb1="FFFF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MS Mincho">
    <w:altName w:val="Yu Gothic"/>
    <w:panose1 w:val="02020609040205080304"/>
    <w:charset w:val="80"/>
    <w:family w:val="roman"/>
    <w:pitch w:val="default"/>
    <w:sig w:usb0="00000000" w:usb1="00000000" w:usb2="00000010" w:usb3="00000000" w:csb0="00020000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204801737"/>
      <w:docPartObj>
        <w:docPartGallery w:val="AutoText"/>
      </w:docPartObj>
    </w:sdtPr>
    <w:sdtEndPr>
      <w:rPr>
        <w:rFonts w:asciiTheme="majorHAnsi" w:hAnsiTheme="majorHAnsi"/>
      </w:rPr>
    </w:sdtEndPr>
    <w:sdtContent>
      <w:p w14:paraId="56A5F0E1">
        <w:pPr>
          <w:pStyle w:val="10"/>
          <w:jc w:val="right"/>
          <w:rPr>
            <w:rFonts w:asciiTheme="majorHAnsi" w:hAnsiTheme="majorHAnsi"/>
          </w:rPr>
        </w:pPr>
        <w:r>
          <w:rPr>
            <w:rFonts w:asciiTheme="majorHAnsi" w:hAnsiTheme="majorHAnsi"/>
          </w:rPr>
          <w:fldChar w:fldCharType="begin"/>
        </w:r>
        <w:r>
          <w:rPr>
            <w:rFonts w:asciiTheme="majorHAnsi" w:hAnsiTheme="majorHAnsi"/>
          </w:rPr>
          <w:instrText xml:space="preserve">PAGE   \* MERGEFORMAT</w:instrText>
        </w:r>
        <w:r>
          <w:rPr>
            <w:rFonts w:asciiTheme="majorHAnsi" w:hAnsiTheme="majorHAnsi"/>
          </w:rPr>
          <w:fldChar w:fldCharType="separate"/>
        </w:r>
        <w:r>
          <w:rPr>
            <w:rFonts w:asciiTheme="majorHAnsi" w:hAnsiTheme="majorHAnsi"/>
          </w:rPr>
          <w:t>2</w:t>
        </w:r>
        <w:r>
          <w:rPr>
            <w:rFonts w:asciiTheme="majorHAnsi" w:hAnsiTheme="majorHAnsi"/>
          </w:rPr>
          <w:fldChar w:fldCharType="end"/>
        </w:r>
      </w:p>
    </w:sdtContent>
  </w:sdt>
  <w:p w14:paraId="3716C22D">
    <w:pPr>
      <w:pStyle w:val="1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85E74F">
    <w:pPr>
      <w:pStyle w:val="11"/>
      <w:rPr>
        <w:rFonts w:asciiTheme="majorHAnsi" w:hAnsiTheme="majorHAnsi"/>
      </w:rPr>
    </w:pPr>
  </w:p>
  <w:p w14:paraId="17079DDD">
    <w:pPr>
      <w:pStyle w:val="11"/>
      <w:jc w:val="right"/>
      <w:rPr>
        <w:color w:val="376092" w:themeColor="accent1" w:themeShade="BF"/>
        <w:sz w:val="36"/>
        <w:szCs w:val="36"/>
      </w:rPr>
    </w:pPr>
    <w:r>
      <w:rPr>
        <w:color w:val="4F81BD" w:themeColor="accent1"/>
        <w:lang w:eastAsia="sk-SK"/>
        <w14:textFill>
          <w14:solidFill>
            <w14:schemeClr w14:val="accent1"/>
          </w14:solidFill>
        </w14:textFill>
      </w:rPr>
      <mc:AlternateContent>
        <mc:Choice Requires="wpg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4041775" cy="1003300"/>
              <wp:effectExtent l="0" t="57150" r="35170" b="25136"/>
              <wp:wrapNone/>
              <wp:docPr id="63" name="Group 6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041530" cy="1003564"/>
                        <a:chOff x="0" y="-40192"/>
                        <a:chExt cx="4041530" cy="1003564"/>
                      </a:xfrm>
                    </wpg:grpSpPr>
                    <wps:wsp>
                      <wps:cNvPr id="57" name="Straight Connector 57"/>
                      <wps:cNvCnPr/>
                      <wps:spPr>
                        <a:xfrm flipV="1">
                          <a:off x="459084" y="-40192"/>
                          <a:ext cx="3582446" cy="969053"/>
                        </a:xfrm>
                        <a:prstGeom prst="line">
                          <a:avLst/>
                        </a:prstGeom>
                        <a:gradFill flip="none" rotWithShape="1">
                          <a:gsLst>
                            <a:gs pos="0">
                              <a:schemeClr val="accent1">
                                <a:lumMod val="60000"/>
                                <a:lumOff val="40000"/>
                                <a:tint val="66000"/>
                                <a:satMod val="160000"/>
                              </a:schemeClr>
                            </a:gs>
                            <a:gs pos="50000">
                              <a:schemeClr val="accent1">
                                <a:lumMod val="60000"/>
                                <a:lumOff val="40000"/>
                                <a:tint val="44500"/>
                                <a:satMod val="160000"/>
                              </a:schemeClr>
                            </a:gs>
                            <a:gs pos="100000">
                              <a:schemeClr val="accent1">
                                <a:lumMod val="60000"/>
                                <a:lumOff val="40000"/>
                                <a:tint val="23500"/>
                                <a:satMod val="160000"/>
                              </a:schemeClr>
                            </a:gs>
                          </a:gsLst>
                          <a:path path="circle">
                            <a:fillToRect l="50000" t="50000" r="50000" b="50000"/>
                          </a:path>
                          <a:tileRect/>
                        </a:gradFill>
                        <a:ln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</a:ln>
                        <a:scene3d>
                          <a:camera prst="orthographicFront"/>
                          <a:lightRig rig="threePt" dir="t"/>
                        </a:scene3d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62" name="Oval 62"/>
                      <wps:cNvSpPr/>
                      <wps:spPr>
                        <a:xfrm>
                          <a:off x="0" y="50242"/>
                          <a:ext cx="1014730" cy="913130"/>
                        </a:xfrm>
                        <a:prstGeom prst="ellipse">
                          <a:avLst/>
                        </a:prstGeom>
                        <a:gradFill flip="none" rotWithShape="1">
                          <a:gsLst>
                            <a:gs pos="0">
                              <a:schemeClr val="accent1">
                                <a:lumMod val="60000"/>
                                <a:lumOff val="40000"/>
                                <a:tint val="66000"/>
                                <a:satMod val="160000"/>
                              </a:schemeClr>
                            </a:gs>
                            <a:gs pos="50000">
                              <a:schemeClr val="accent1">
                                <a:lumMod val="60000"/>
                                <a:lumOff val="40000"/>
                                <a:tint val="44500"/>
                                <a:satMod val="160000"/>
                              </a:schemeClr>
                            </a:gs>
                            <a:gs pos="100000">
                              <a:schemeClr val="accent1">
                                <a:lumMod val="60000"/>
                                <a:lumOff val="40000"/>
                                <a:tint val="23500"/>
                                <a:satMod val="160000"/>
                              </a:schemeClr>
                            </a:gs>
                          </a:gsLst>
                          <a:path path="circle">
                            <a:fillToRect l="50000" t="50000" r="50000" b="50000"/>
                          </a:path>
                          <a:tileRect/>
                        </a:gradFill>
                        <a:ln>
                          <a:noFill/>
                        </a:ln>
                        <a:scene3d>
                          <a:camera prst="perspectiveContrastingRightFacing"/>
                          <a:lightRig rig="twoPt" dir="t"/>
                        </a:scene3d>
                        <a:sp3d>
                          <a:bevelT w="101600" prst="riblet"/>
                        </a:sp3d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50000</wp14:pctWidth>
              </wp14:sizeRelH>
              <wp14:sizeRelV relativeFrom="topMargin">
                <wp14:pctHeight>100000</wp14:pctHeight>
              </wp14:sizeRelV>
            </wp:anchor>
          </w:drawing>
        </mc:Choice>
        <mc:Fallback>
          <w:pict>
            <v:group id="_x0000_s1026" o:spid="_x0000_s1026" o:spt="203" style="position:absolute;left:0pt;height:79pt;width:318.25pt;mso-position-horizontal:left;mso-position-horizontal-relative:page;mso-position-vertical:top;mso-position-vertical-relative:page;z-index:251659264;mso-width-relative:margin;mso-height-relative:top-margin-area;mso-width-percent:500;mso-height-percent:1000;" coordorigin="0,-40192" coordsize="4041530,1003564" o:gfxdata="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">
              <o:lock v:ext="edit" aspectratio="f"/>
              <v:line id="_x0000_s1026" o:spid="_x0000_s1026" o:spt="20" style="position:absolute;left:459084;top:-40192;flip:y;height:969053;width:3582446;" fillcolor="#B7D0F1 [1940]" filled="t" stroked="t" coordsize="21600,21600" o:gfxdata="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8yEIQvQAA&#10;ANsAAAAPAAAAAAAAAAEAIAAAACIAAABkcnMvZG93bnJldi54bWxQSwECFAAUAAAACACHTuJAMy8F&#10;njsAAAA5AAAAEAAAAAAAAAABACAAAAAMAQAAZHJzL3NoYXBleG1sLnhtbFBLBQYAAAAABgAGAFsB&#10;AAC2AwAAAAA=&#10;">
                <v:fill type="gradientRadial" on="t" color2="#E8EFFA [1940]" colors="0f #B7D0F1;32768f #D2E0F5;65536f #E8EFFA" focus="100%" focussize="0f,0f" focusposition="32768f,32768f" rotate="t">
                  <o:fill type="gradientRadial" v:ext="backwardCompatible"/>
                </v:fill>
                <v:stroke color="#95B3D7 [1940]" joinstyle="round"/>
                <v:imagedata o:title=""/>
                <o:lock v:ext="edit" aspectratio="f"/>
              </v:line>
              <v:shape id="_x0000_s1026" o:spid="_x0000_s1026" o:spt="3" type="#_x0000_t3" style="position:absolute;left:0;top:50242;height:913130;width:1014730;v-text-anchor:middle;" fillcolor="#B7D0F1 [1940]" filled="t" stroked="f" coordsize="21600,21600" o:gfxdata="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IgIKErsAAADb&#10;AAAADwAAAAAAAAABACAAAAAiAAAAZHJzL2Rvd25yZXYueG1sUEsBAhQAFAAAAAgAh07iQDMvBZ47&#10;AAAAOQAAABAAAAAAAAAAAQAgAAAACgEAAGRycy9zaGFwZXhtbC54bWxQSwUGAAAAAAYABgBbAQAA&#10;tAMAAAAA&#10;">
                <v:fill type="gradientRadial" on="t" color2="#E8EFFA [1940]" colors="0f #B7D0F1;32768f #D2E0F5;65536f #E8EFFA" focus="100%" focussize="0f,0f" focusposition="32768f,32768f" rotate="t">
                  <o:fill type="gradientRadial" v:ext="backwardCompatible"/>
                </v:fill>
                <v:stroke on="f" weight="2pt"/>
                <v:imagedata o:title=""/>
                <o:lock v:ext="edit" aspectratio="f"/>
              </v:shape>
            </v:group>
          </w:pict>
        </mc:Fallback>
      </mc:AlternateContent>
    </w:r>
    <w:sdt>
      <w:sdtPr>
        <w:rPr>
          <w:rFonts w:asciiTheme="majorHAnsi" w:hAnsiTheme="majorHAnsi"/>
          <w:sz w:val="36"/>
          <w:szCs w:val="36"/>
        </w:rPr>
        <w:alias w:val="Title"/>
        <w:id w:val="-393657504"/>
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<w:text/>
      </w:sdtPr>
      <w:sdtEndPr>
        <w:rPr>
          <w:rFonts w:asciiTheme="majorHAnsi" w:hAnsiTheme="majorHAnsi"/>
          <w:sz w:val="36"/>
          <w:szCs w:val="36"/>
        </w:rPr>
      </w:sdtEndPr>
      <w:sdtContent>
        <w:r>
          <w:rPr>
            <w:rFonts w:asciiTheme="majorHAnsi" w:hAnsiTheme="majorHAnsi"/>
            <w:sz w:val="36"/>
            <w:szCs w:val="36"/>
          </w:rPr>
          <w:t>Poznámky Úč PODV 3 - 01</w:t>
        </w:r>
      </w:sdtContent>
    </w:sdt>
  </w:p>
  <w:p w14:paraId="1A3FEACC">
    <w:pPr>
      <w:pStyle w:val="11"/>
      <w:rPr>
        <w:rFonts w:asciiTheme="majorHAnsi" w:hAnsiTheme="majorHAnsi"/>
      </w:rPr>
    </w:pPr>
  </w:p>
  <w:p w14:paraId="211F60D7">
    <w:pPr>
      <w:pStyle w:val="11"/>
      <w:rPr>
        <w:rFonts w:asciiTheme="majorHAnsi" w:hAnsiTheme="majorHAnsi"/>
      </w:rPr>
    </w:pPr>
  </w:p>
  <w:tbl>
    <w:tblPr>
      <w:tblStyle w:val="12"/>
      <w:tblW w:w="0" w:type="auto"/>
      <w:jc w:val="right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autofit"/>
      <w:tblCellMar>
        <w:top w:w="0" w:type="dxa"/>
        <w:left w:w="108" w:type="dxa"/>
        <w:bottom w:w="0" w:type="dxa"/>
        <w:right w:w="108" w:type="dxa"/>
      </w:tblCellMar>
    </w:tblPr>
    <w:tblGrid>
      <w:gridCol w:w="624"/>
      <w:gridCol w:w="327"/>
      <w:gridCol w:w="327"/>
      <w:gridCol w:w="327"/>
      <w:gridCol w:w="327"/>
      <w:gridCol w:w="327"/>
      <w:gridCol w:w="327"/>
      <w:gridCol w:w="327"/>
      <w:gridCol w:w="327"/>
      <w:gridCol w:w="851"/>
      <w:gridCol w:w="624"/>
      <w:gridCol w:w="327"/>
      <w:gridCol w:w="327"/>
      <w:gridCol w:w="327"/>
      <w:gridCol w:w="327"/>
      <w:gridCol w:w="327"/>
      <w:gridCol w:w="327"/>
      <w:gridCol w:w="327"/>
      <w:gridCol w:w="327"/>
      <w:gridCol w:w="327"/>
      <w:gridCol w:w="327"/>
    </w:tblGrid>
    <w:tr w14:paraId="11943AAC">
      <w:tblPrEx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340" w:hRule="atLeast"/>
        <w:jc w:val="right"/>
      </w:trPr>
      <w:tc>
        <w:tcPr>
          <w:tcW w:w="624" w:type="dxa"/>
          <w:vAlign w:val="center"/>
        </w:tcPr>
        <w:p w14:paraId="4BD2CB95">
          <w:pPr>
            <w:pStyle w:val="11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IČO:</w:t>
          </w:r>
        </w:p>
      </w:tc>
      <w:tc>
        <w:tcPr>
          <w:tcW w:w="284" w:type="dxa"/>
          <w:vAlign w:val="center"/>
        </w:tcPr>
        <w:p w14:paraId="70D8E4CC">
          <w:pPr>
            <w:pStyle w:val="11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5</w:t>
          </w:r>
        </w:p>
      </w:tc>
      <w:tc>
        <w:tcPr>
          <w:tcW w:w="284" w:type="dxa"/>
          <w:vAlign w:val="center"/>
        </w:tcPr>
        <w:p w14:paraId="4BCE65DD">
          <w:pPr>
            <w:pStyle w:val="11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1</w:t>
          </w:r>
        </w:p>
      </w:tc>
      <w:tc>
        <w:tcPr>
          <w:tcW w:w="284" w:type="dxa"/>
          <w:vAlign w:val="center"/>
        </w:tcPr>
        <w:p w14:paraId="48269D96">
          <w:pPr>
            <w:pStyle w:val="11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9</w:t>
          </w:r>
        </w:p>
      </w:tc>
      <w:tc>
        <w:tcPr>
          <w:tcW w:w="284" w:type="dxa"/>
          <w:vAlign w:val="center"/>
        </w:tcPr>
        <w:p w14:paraId="0C785637">
          <w:pPr>
            <w:pStyle w:val="11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0</w:t>
          </w:r>
        </w:p>
      </w:tc>
      <w:tc>
        <w:tcPr>
          <w:tcW w:w="284" w:type="dxa"/>
          <w:vAlign w:val="center"/>
        </w:tcPr>
        <w:p w14:paraId="7F9043D5">
          <w:pPr>
            <w:pStyle w:val="11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8</w:t>
          </w:r>
        </w:p>
      </w:tc>
      <w:tc>
        <w:tcPr>
          <w:tcW w:w="284" w:type="dxa"/>
          <w:vAlign w:val="center"/>
        </w:tcPr>
        <w:p w14:paraId="5C8749FF">
          <w:pPr>
            <w:pStyle w:val="11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4</w:t>
          </w:r>
        </w:p>
      </w:tc>
      <w:tc>
        <w:tcPr>
          <w:tcW w:w="284" w:type="dxa"/>
          <w:vAlign w:val="center"/>
        </w:tcPr>
        <w:p w14:paraId="4D2EB326">
          <w:pPr>
            <w:pStyle w:val="11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8</w:t>
          </w:r>
        </w:p>
      </w:tc>
      <w:tc>
        <w:tcPr>
          <w:tcW w:w="284" w:type="dxa"/>
          <w:vAlign w:val="center"/>
        </w:tcPr>
        <w:p w14:paraId="139B87C8">
          <w:pPr>
            <w:pStyle w:val="11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4</w:t>
          </w:r>
        </w:p>
      </w:tc>
      <w:tc>
        <w:tcPr>
          <w:tcW w:w="851" w:type="dxa"/>
          <w:tcBorders>
            <w:top w:val="nil"/>
            <w:bottom w:val="nil"/>
          </w:tcBorders>
          <w:vAlign w:val="center"/>
        </w:tcPr>
        <w:p w14:paraId="50B4C85D">
          <w:pPr>
            <w:pStyle w:val="11"/>
            <w:jc w:val="center"/>
            <w:rPr>
              <w:rFonts w:asciiTheme="majorHAnsi" w:hAnsiTheme="majorHAnsi"/>
              <w:sz w:val="20"/>
              <w:szCs w:val="20"/>
            </w:rPr>
          </w:pPr>
        </w:p>
      </w:tc>
      <w:tc>
        <w:tcPr>
          <w:tcW w:w="624" w:type="dxa"/>
          <w:vAlign w:val="center"/>
        </w:tcPr>
        <w:p w14:paraId="42778747">
          <w:pPr>
            <w:pStyle w:val="11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DIČ:</w:t>
          </w:r>
        </w:p>
      </w:tc>
      <w:tc>
        <w:tcPr>
          <w:tcW w:w="284" w:type="dxa"/>
          <w:vAlign w:val="center"/>
        </w:tcPr>
        <w:p w14:paraId="7E8D936B">
          <w:pPr>
            <w:pStyle w:val="11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2</w:t>
          </w:r>
        </w:p>
      </w:tc>
      <w:tc>
        <w:tcPr>
          <w:tcW w:w="284" w:type="dxa"/>
          <w:vAlign w:val="center"/>
        </w:tcPr>
        <w:p w14:paraId="185D6DE7">
          <w:pPr>
            <w:pStyle w:val="11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1</w:t>
          </w:r>
        </w:p>
      </w:tc>
      <w:tc>
        <w:tcPr>
          <w:tcW w:w="284" w:type="dxa"/>
          <w:vAlign w:val="center"/>
        </w:tcPr>
        <w:p w14:paraId="534DFE79">
          <w:pPr>
            <w:pStyle w:val="11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2</w:t>
          </w:r>
        </w:p>
      </w:tc>
      <w:tc>
        <w:tcPr>
          <w:tcW w:w="284" w:type="dxa"/>
          <w:vAlign w:val="center"/>
        </w:tcPr>
        <w:p w14:paraId="722853B4">
          <w:pPr>
            <w:pStyle w:val="11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0</w:t>
          </w:r>
        </w:p>
      </w:tc>
      <w:tc>
        <w:tcPr>
          <w:tcW w:w="284" w:type="dxa"/>
          <w:vAlign w:val="center"/>
        </w:tcPr>
        <w:p w14:paraId="102001E0">
          <w:pPr>
            <w:pStyle w:val="11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8</w:t>
          </w:r>
        </w:p>
      </w:tc>
      <w:tc>
        <w:tcPr>
          <w:tcW w:w="284" w:type="dxa"/>
          <w:vAlign w:val="center"/>
        </w:tcPr>
        <w:p w14:paraId="36F4ADFD">
          <w:pPr>
            <w:pStyle w:val="11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6</w:t>
          </w:r>
        </w:p>
      </w:tc>
      <w:tc>
        <w:tcPr>
          <w:tcW w:w="284" w:type="dxa"/>
          <w:vAlign w:val="center"/>
        </w:tcPr>
        <w:p w14:paraId="63C3A4EA">
          <w:pPr>
            <w:pStyle w:val="11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3</w:t>
          </w:r>
        </w:p>
      </w:tc>
      <w:tc>
        <w:tcPr>
          <w:tcW w:w="284" w:type="dxa"/>
          <w:vAlign w:val="center"/>
        </w:tcPr>
        <w:p w14:paraId="639A9553">
          <w:pPr>
            <w:pStyle w:val="11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0</w:t>
          </w:r>
        </w:p>
      </w:tc>
      <w:tc>
        <w:tcPr>
          <w:tcW w:w="284" w:type="dxa"/>
          <w:vAlign w:val="center"/>
        </w:tcPr>
        <w:p w14:paraId="3C5F75B5">
          <w:pPr>
            <w:pStyle w:val="11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7</w:t>
          </w:r>
        </w:p>
      </w:tc>
      <w:tc>
        <w:tcPr>
          <w:tcW w:w="284" w:type="dxa"/>
          <w:vAlign w:val="center"/>
        </w:tcPr>
        <w:p w14:paraId="35337174">
          <w:pPr>
            <w:pStyle w:val="11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4</w:t>
          </w:r>
        </w:p>
      </w:tc>
    </w:tr>
  </w:tbl>
  <w:p w14:paraId="7E9B8F8E">
    <w:pPr>
      <w:pStyle w:val="11"/>
      <w:rPr>
        <w:rFonts w:asciiTheme="majorHAnsi" w:hAnsiTheme="majorHAnsi"/>
      </w:rPr>
    </w:pPr>
  </w:p>
  <w:p w14:paraId="30DF27D5">
    <w:pPr>
      <w:pStyle w:val="11"/>
      <w:rPr>
        <w:rFonts w:asciiTheme="majorHAnsi" w:hAnsiTheme="majorHAnsi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FDB10D6"/>
    <w:multiLevelType w:val="multilevel"/>
    <w:tmpl w:val="2FDB10D6"/>
    <w:lvl w:ilvl="0" w:tentative="0">
      <w:start w:val="2"/>
      <w:numFmt w:val="upperLetter"/>
      <w:lvlText w:val="%1."/>
      <w:lvlJc w:val="left"/>
      <w:pPr>
        <w:ind w:left="720" w:hanging="360"/>
      </w:pPr>
      <w:rPr>
        <w:rFonts w:hint="default" w:ascii="Cambria" w:hAnsi="Cambria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2575"/>
    <w:rsid w:val="000011B1"/>
    <w:rsid w:val="000017DD"/>
    <w:rsid w:val="00002264"/>
    <w:rsid w:val="0000611C"/>
    <w:rsid w:val="00006AA0"/>
    <w:rsid w:val="000104C4"/>
    <w:rsid w:val="0001515D"/>
    <w:rsid w:val="00015231"/>
    <w:rsid w:val="00016E42"/>
    <w:rsid w:val="00027FF4"/>
    <w:rsid w:val="00031F3A"/>
    <w:rsid w:val="0003211C"/>
    <w:rsid w:val="000364DF"/>
    <w:rsid w:val="000364EE"/>
    <w:rsid w:val="00037762"/>
    <w:rsid w:val="00041CBE"/>
    <w:rsid w:val="000434CE"/>
    <w:rsid w:val="00050807"/>
    <w:rsid w:val="000513CE"/>
    <w:rsid w:val="00052872"/>
    <w:rsid w:val="00055B82"/>
    <w:rsid w:val="000564E8"/>
    <w:rsid w:val="00057CF3"/>
    <w:rsid w:val="00060EED"/>
    <w:rsid w:val="000617AE"/>
    <w:rsid w:val="000647C9"/>
    <w:rsid w:val="000649E0"/>
    <w:rsid w:val="00065C42"/>
    <w:rsid w:val="0006702B"/>
    <w:rsid w:val="00067CD3"/>
    <w:rsid w:val="00071577"/>
    <w:rsid w:val="00073C20"/>
    <w:rsid w:val="00076753"/>
    <w:rsid w:val="00076CE2"/>
    <w:rsid w:val="00077254"/>
    <w:rsid w:val="0007748C"/>
    <w:rsid w:val="00080009"/>
    <w:rsid w:val="000832C3"/>
    <w:rsid w:val="0008507F"/>
    <w:rsid w:val="000855F2"/>
    <w:rsid w:val="00091167"/>
    <w:rsid w:val="00091A10"/>
    <w:rsid w:val="00093650"/>
    <w:rsid w:val="000937BF"/>
    <w:rsid w:val="0009458A"/>
    <w:rsid w:val="00096186"/>
    <w:rsid w:val="00096C4A"/>
    <w:rsid w:val="000A207C"/>
    <w:rsid w:val="000A3DA9"/>
    <w:rsid w:val="000A41A9"/>
    <w:rsid w:val="000A6A29"/>
    <w:rsid w:val="000B00D5"/>
    <w:rsid w:val="000B0426"/>
    <w:rsid w:val="000B685B"/>
    <w:rsid w:val="000B7F16"/>
    <w:rsid w:val="000C089C"/>
    <w:rsid w:val="000C2E62"/>
    <w:rsid w:val="000C3B64"/>
    <w:rsid w:val="000C70D1"/>
    <w:rsid w:val="000D2E82"/>
    <w:rsid w:val="000D7D8C"/>
    <w:rsid w:val="000E0FCB"/>
    <w:rsid w:val="000F0881"/>
    <w:rsid w:val="000F1CED"/>
    <w:rsid w:val="000F2D49"/>
    <w:rsid w:val="000F5F89"/>
    <w:rsid w:val="000F6382"/>
    <w:rsid w:val="000F7222"/>
    <w:rsid w:val="000F7AF9"/>
    <w:rsid w:val="00101BDE"/>
    <w:rsid w:val="00106CA4"/>
    <w:rsid w:val="001072A6"/>
    <w:rsid w:val="001078E7"/>
    <w:rsid w:val="00110AF5"/>
    <w:rsid w:val="00111EB0"/>
    <w:rsid w:val="00114329"/>
    <w:rsid w:val="00121EC6"/>
    <w:rsid w:val="00122248"/>
    <w:rsid w:val="001245A2"/>
    <w:rsid w:val="0013004E"/>
    <w:rsid w:val="00131199"/>
    <w:rsid w:val="00132CC6"/>
    <w:rsid w:val="00133F95"/>
    <w:rsid w:val="00135717"/>
    <w:rsid w:val="00140F9D"/>
    <w:rsid w:val="001431AB"/>
    <w:rsid w:val="0014320E"/>
    <w:rsid w:val="00143D5B"/>
    <w:rsid w:val="00146E27"/>
    <w:rsid w:val="00152071"/>
    <w:rsid w:val="0015325F"/>
    <w:rsid w:val="00153BB3"/>
    <w:rsid w:val="00154D6B"/>
    <w:rsid w:val="00155738"/>
    <w:rsid w:val="00160921"/>
    <w:rsid w:val="00163D7C"/>
    <w:rsid w:val="00164E6B"/>
    <w:rsid w:val="0016738C"/>
    <w:rsid w:val="001678CF"/>
    <w:rsid w:val="00170174"/>
    <w:rsid w:val="0017064E"/>
    <w:rsid w:val="00170A4E"/>
    <w:rsid w:val="001737EA"/>
    <w:rsid w:val="00174110"/>
    <w:rsid w:val="001747E7"/>
    <w:rsid w:val="00177C90"/>
    <w:rsid w:val="00182CE2"/>
    <w:rsid w:val="00184879"/>
    <w:rsid w:val="00185236"/>
    <w:rsid w:val="00192ECA"/>
    <w:rsid w:val="00193173"/>
    <w:rsid w:val="001953EE"/>
    <w:rsid w:val="00195675"/>
    <w:rsid w:val="00196380"/>
    <w:rsid w:val="001A2130"/>
    <w:rsid w:val="001A3036"/>
    <w:rsid w:val="001A4D76"/>
    <w:rsid w:val="001A4DC2"/>
    <w:rsid w:val="001A4DDA"/>
    <w:rsid w:val="001B1F80"/>
    <w:rsid w:val="001B30F9"/>
    <w:rsid w:val="001B5BF8"/>
    <w:rsid w:val="001B6012"/>
    <w:rsid w:val="001B7F7A"/>
    <w:rsid w:val="001C36CF"/>
    <w:rsid w:val="001C4DF5"/>
    <w:rsid w:val="001D064B"/>
    <w:rsid w:val="001D4E43"/>
    <w:rsid w:val="001D5296"/>
    <w:rsid w:val="001D62A6"/>
    <w:rsid w:val="001E1751"/>
    <w:rsid w:val="001E5324"/>
    <w:rsid w:val="001F18DA"/>
    <w:rsid w:val="001F2857"/>
    <w:rsid w:val="001F2BD8"/>
    <w:rsid w:val="001F507B"/>
    <w:rsid w:val="001F7ED9"/>
    <w:rsid w:val="00200C2C"/>
    <w:rsid w:val="00202CF9"/>
    <w:rsid w:val="00204457"/>
    <w:rsid w:val="0020751C"/>
    <w:rsid w:val="00212C22"/>
    <w:rsid w:val="00212D72"/>
    <w:rsid w:val="0021539E"/>
    <w:rsid w:val="00220FD2"/>
    <w:rsid w:val="002219E4"/>
    <w:rsid w:val="00222614"/>
    <w:rsid w:val="00225300"/>
    <w:rsid w:val="00231109"/>
    <w:rsid w:val="002312A3"/>
    <w:rsid w:val="00233937"/>
    <w:rsid w:val="00234628"/>
    <w:rsid w:val="002347FD"/>
    <w:rsid w:val="00236ECD"/>
    <w:rsid w:val="00243542"/>
    <w:rsid w:val="002437BF"/>
    <w:rsid w:val="002504F6"/>
    <w:rsid w:val="0025065A"/>
    <w:rsid w:val="00250F2E"/>
    <w:rsid w:val="002540E1"/>
    <w:rsid w:val="002616EC"/>
    <w:rsid w:val="002649DF"/>
    <w:rsid w:val="00270B47"/>
    <w:rsid w:val="00271AA8"/>
    <w:rsid w:val="00281E4D"/>
    <w:rsid w:val="00282D1D"/>
    <w:rsid w:val="002849DB"/>
    <w:rsid w:val="002919E3"/>
    <w:rsid w:val="0029523F"/>
    <w:rsid w:val="002A1CAC"/>
    <w:rsid w:val="002A52F0"/>
    <w:rsid w:val="002A5A93"/>
    <w:rsid w:val="002A657F"/>
    <w:rsid w:val="002A7D84"/>
    <w:rsid w:val="002B0E56"/>
    <w:rsid w:val="002B10A2"/>
    <w:rsid w:val="002B17CB"/>
    <w:rsid w:val="002B27F6"/>
    <w:rsid w:val="002B4250"/>
    <w:rsid w:val="002B4A2A"/>
    <w:rsid w:val="002B4C07"/>
    <w:rsid w:val="002B6E24"/>
    <w:rsid w:val="002B6F08"/>
    <w:rsid w:val="002C07CE"/>
    <w:rsid w:val="002C2434"/>
    <w:rsid w:val="002C5B70"/>
    <w:rsid w:val="002C5BBC"/>
    <w:rsid w:val="002C6D7B"/>
    <w:rsid w:val="002C7284"/>
    <w:rsid w:val="002D0D75"/>
    <w:rsid w:val="002D2F3C"/>
    <w:rsid w:val="002D34D7"/>
    <w:rsid w:val="002D50AD"/>
    <w:rsid w:val="002D5582"/>
    <w:rsid w:val="002D5AC6"/>
    <w:rsid w:val="002D6AC3"/>
    <w:rsid w:val="002E489E"/>
    <w:rsid w:val="002E5E65"/>
    <w:rsid w:val="002F0574"/>
    <w:rsid w:val="002F2212"/>
    <w:rsid w:val="00300987"/>
    <w:rsid w:val="00302B67"/>
    <w:rsid w:val="0030458B"/>
    <w:rsid w:val="0030581B"/>
    <w:rsid w:val="00305E2F"/>
    <w:rsid w:val="00312F4C"/>
    <w:rsid w:val="003158FB"/>
    <w:rsid w:val="00323AB1"/>
    <w:rsid w:val="003240AC"/>
    <w:rsid w:val="00325D0E"/>
    <w:rsid w:val="003352A5"/>
    <w:rsid w:val="003354A0"/>
    <w:rsid w:val="00335B36"/>
    <w:rsid w:val="0034062C"/>
    <w:rsid w:val="0034205B"/>
    <w:rsid w:val="0034315A"/>
    <w:rsid w:val="00343653"/>
    <w:rsid w:val="00345269"/>
    <w:rsid w:val="0034654D"/>
    <w:rsid w:val="003466F3"/>
    <w:rsid w:val="00347965"/>
    <w:rsid w:val="0035070A"/>
    <w:rsid w:val="0035183A"/>
    <w:rsid w:val="0035197B"/>
    <w:rsid w:val="00352224"/>
    <w:rsid w:val="003526D8"/>
    <w:rsid w:val="00355294"/>
    <w:rsid w:val="00355728"/>
    <w:rsid w:val="003559D5"/>
    <w:rsid w:val="00357749"/>
    <w:rsid w:val="00360F25"/>
    <w:rsid w:val="00361517"/>
    <w:rsid w:val="00361862"/>
    <w:rsid w:val="0037064E"/>
    <w:rsid w:val="003713D6"/>
    <w:rsid w:val="0037243D"/>
    <w:rsid w:val="00375C86"/>
    <w:rsid w:val="00375CC0"/>
    <w:rsid w:val="00380FB5"/>
    <w:rsid w:val="00383683"/>
    <w:rsid w:val="00384901"/>
    <w:rsid w:val="00384D2F"/>
    <w:rsid w:val="00390583"/>
    <w:rsid w:val="00391A47"/>
    <w:rsid w:val="00391FB4"/>
    <w:rsid w:val="00395156"/>
    <w:rsid w:val="00397B4C"/>
    <w:rsid w:val="003A01A8"/>
    <w:rsid w:val="003A1399"/>
    <w:rsid w:val="003A390E"/>
    <w:rsid w:val="003A44E3"/>
    <w:rsid w:val="003A581B"/>
    <w:rsid w:val="003A66BF"/>
    <w:rsid w:val="003A72A7"/>
    <w:rsid w:val="003A791B"/>
    <w:rsid w:val="003B284E"/>
    <w:rsid w:val="003B48B6"/>
    <w:rsid w:val="003B60A0"/>
    <w:rsid w:val="003C11B9"/>
    <w:rsid w:val="003C2923"/>
    <w:rsid w:val="003C29D4"/>
    <w:rsid w:val="003C306A"/>
    <w:rsid w:val="003C3743"/>
    <w:rsid w:val="003C41A4"/>
    <w:rsid w:val="003C6E7D"/>
    <w:rsid w:val="003C7722"/>
    <w:rsid w:val="003D100A"/>
    <w:rsid w:val="003D2DAF"/>
    <w:rsid w:val="003D640E"/>
    <w:rsid w:val="003D6901"/>
    <w:rsid w:val="003D7720"/>
    <w:rsid w:val="003E4F06"/>
    <w:rsid w:val="003E67E3"/>
    <w:rsid w:val="003E7748"/>
    <w:rsid w:val="003E78BB"/>
    <w:rsid w:val="003E7EE4"/>
    <w:rsid w:val="003F07D2"/>
    <w:rsid w:val="003F36CB"/>
    <w:rsid w:val="003F3A84"/>
    <w:rsid w:val="003F67E5"/>
    <w:rsid w:val="003F7DFB"/>
    <w:rsid w:val="004003FA"/>
    <w:rsid w:val="0040502E"/>
    <w:rsid w:val="00406F6E"/>
    <w:rsid w:val="0041037E"/>
    <w:rsid w:val="00411A00"/>
    <w:rsid w:val="0041355F"/>
    <w:rsid w:val="00416022"/>
    <w:rsid w:val="00416714"/>
    <w:rsid w:val="0041671E"/>
    <w:rsid w:val="00417EA8"/>
    <w:rsid w:val="0042025A"/>
    <w:rsid w:val="004236ED"/>
    <w:rsid w:val="0042425E"/>
    <w:rsid w:val="00424BD5"/>
    <w:rsid w:val="00424C8C"/>
    <w:rsid w:val="00425079"/>
    <w:rsid w:val="00427227"/>
    <w:rsid w:val="00432FE0"/>
    <w:rsid w:val="00433427"/>
    <w:rsid w:val="0043342A"/>
    <w:rsid w:val="00435291"/>
    <w:rsid w:val="00440D48"/>
    <w:rsid w:val="0044406E"/>
    <w:rsid w:val="00446BBD"/>
    <w:rsid w:val="0044726D"/>
    <w:rsid w:val="004476C3"/>
    <w:rsid w:val="0045490A"/>
    <w:rsid w:val="004563DD"/>
    <w:rsid w:val="00456E27"/>
    <w:rsid w:val="004634F2"/>
    <w:rsid w:val="00465F35"/>
    <w:rsid w:val="00466972"/>
    <w:rsid w:val="0046760D"/>
    <w:rsid w:val="0047043D"/>
    <w:rsid w:val="00470D0E"/>
    <w:rsid w:val="0047214A"/>
    <w:rsid w:val="004730F6"/>
    <w:rsid w:val="00474D34"/>
    <w:rsid w:val="00475B9A"/>
    <w:rsid w:val="00477263"/>
    <w:rsid w:val="00480392"/>
    <w:rsid w:val="004840A1"/>
    <w:rsid w:val="004866B8"/>
    <w:rsid w:val="00494677"/>
    <w:rsid w:val="00494890"/>
    <w:rsid w:val="0049591C"/>
    <w:rsid w:val="00496733"/>
    <w:rsid w:val="004972DB"/>
    <w:rsid w:val="004A01C5"/>
    <w:rsid w:val="004A06E0"/>
    <w:rsid w:val="004A0B53"/>
    <w:rsid w:val="004A0B74"/>
    <w:rsid w:val="004A0F6A"/>
    <w:rsid w:val="004A157D"/>
    <w:rsid w:val="004A3E3F"/>
    <w:rsid w:val="004A4759"/>
    <w:rsid w:val="004A6806"/>
    <w:rsid w:val="004B08DC"/>
    <w:rsid w:val="004B3AFC"/>
    <w:rsid w:val="004B476F"/>
    <w:rsid w:val="004B5C61"/>
    <w:rsid w:val="004B6688"/>
    <w:rsid w:val="004B7D53"/>
    <w:rsid w:val="004C4CE5"/>
    <w:rsid w:val="004C53A2"/>
    <w:rsid w:val="004D1D8F"/>
    <w:rsid w:val="004D2873"/>
    <w:rsid w:val="004D44BC"/>
    <w:rsid w:val="004D451A"/>
    <w:rsid w:val="004D48C0"/>
    <w:rsid w:val="004D629B"/>
    <w:rsid w:val="004E08DA"/>
    <w:rsid w:val="004E2CDE"/>
    <w:rsid w:val="004E581F"/>
    <w:rsid w:val="004E644A"/>
    <w:rsid w:val="004F1560"/>
    <w:rsid w:val="004F23B3"/>
    <w:rsid w:val="004F3C0A"/>
    <w:rsid w:val="004F477F"/>
    <w:rsid w:val="004F4CD7"/>
    <w:rsid w:val="004F6853"/>
    <w:rsid w:val="004F6BE1"/>
    <w:rsid w:val="004F7ACE"/>
    <w:rsid w:val="0050687D"/>
    <w:rsid w:val="00507AE7"/>
    <w:rsid w:val="00510A0B"/>
    <w:rsid w:val="00513A5D"/>
    <w:rsid w:val="00514626"/>
    <w:rsid w:val="00514752"/>
    <w:rsid w:val="00516E1B"/>
    <w:rsid w:val="0051711D"/>
    <w:rsid w:val="005253E2"/>
    <w:rsid w:val="00533E3B"/>
    <w:rsid w:val="00533FB7"/>
    <w:rsid w:val="005353B6"/>
    <w:rsid w:val="00540BF9"/>
    <w:rsid w:val="005416F7"/>
    <w:rsid w:val="005425F6"/>
    <w:rsid w:val="0054401A"/>
    <w:rsid w:val="00545007"/>
    <w:rsid w:val="00545E0E"/>
    <w:rsid w:val="00554806"/>
    <w:rsid w:val="00555823"/>
    <w:rsid w:val="00555D71"/>
    <w:rsid w:val="005566CA"/>
    <w:rsid w:val="00560D29"/>
    <w:rsid w:val="00561E4D"/>
    <w:rsid w:val="00565787"/>
    <w:rsid w:val="00566DBE"/>
    <w:rsid w:val="00567BED"/>
    <w:rsid w:val="005717C0"/>
    <w:rsid w:val="005733CC"/>
    <w:rsid w:val="005744A7"/>
    <w:rsid w:val="00580025"/>
    <w:rsid w:val="00582CD6"/>
    <w:rsid w:val="00585D32"/>
    <w:rsid w:val="00586295"/>
    <w:rsid w:val="005911E6"/>
    <w:rsid w:val="00592602"/>
    <w:rsid w:val="00592C96"/>
    <w:rsid w:val="00593CA2"/>
    <w:rsid w:val="00594141"/>
    <w:rsid w:val="00595216"/>
    <w:rsid w:val="005973B7"/>
    <w:rsid w:val="005A0137"/>
    <w:rsid w:val="005A19CD"/>
    <w:rsid w:val="005A3304"/>
    <w:rsid w:val="005A43FC"/>
    <w:rsid w:val="005B33D4"/>
    <w:rsid w:val="005B57D0"/>
    <w:rsid w:val="005C2C20"/>
    <w:rsid w:val="005C3748"/>
    <w:rsid w:val="005C7043"/>
    <w:rsid w:val="005D08B8"/>
    <w:rsid w:val="005D2D0F"/>
    <w:rsid w:val="005D4340"/>
    <w:rsid w:val="005D53E6"/>
    <w:rsid w:val="005D66B6"/>
    <w:rsid w:val="005D6D25"/>
    <w:rsid w:val="005E0002"/>
    <w:rsid w:val="005E64F4"/>
    <w:rsid w:val="005E7EB6"/>
    <w:rsid w:val="005F0118"/>
    <w:rsid w:val="005F531C"/>
    <w:rsid w:val="005F589C"/>
    <w:rsid w:val="006000C6"/>
    <w:rsid w:val="006060F6"/>
    <w:rsid w:val="006109EB"/>
    <w:rsid w:val="00610C72"/>
    <w:rsid w:val="006123E0"/>
    <w:rsid w:val="00624BDB"/>
    <w:rsid w:val="00625532"/>
    <w:rsid w:val="0062566E"/>
    <w:rsid w:val="006261E4"/>
    <w:rsid w:val="006269BE"/>
    <w:rsid w:val="00627ED5"/>
    <w:rsid w:val="0063291A"/>
    <w:rsid w:val="006332EC"/>
    <w:rsid w:val="00633C0F"/>
    <w:rsid w:val="00635424"/>
    <w:rsid w:val="00635561"/>
    <w:rsid w:val="00640974"/>
    <w:rsid w:val="006426D2"/>
    <w:rsid w:val="00644B38"/>
    <w:rsid w:val="0064534F"/>
    <w:rsid w:val="0064693F"/>
    <w:rsid w:val="00647567"/>
    <w:rsid w:val="00647939"/>
    <w:rsid w:val="006518A2"/>
    <w:rsid w:val="00655909"/>
    <w:rsid w:val="0066056F"/>
    <w:rsid w:val="0066094B"/>
    <w:rsid w:val="006651C8"/>
    <w:rsid w:val="00667676"/>
    <w:rsid w:val="00667DB7"/>
    <w:rsid w:val="0067231E"/>
    <w:rsid w:val="006737F4"/>
    <w:rsid w:val="00673973"/>
    <w:rsid w:val="00673AA0"/>
    <w:rsid w:val="006770DB"/>
    <w:rsid w:val="006839E4"/>
    <w:rsid w:val="00684432"/>
    <w:rsid w:val="00686728"/>
    <w:rsid w:val="00690C3F"/>
    <w:rsid w:val="00693FDA"/>
    <w:rsid w:val="00694961"/>
    <w:rsid w:val="006A1DD4"/>
    <w:rsid w:val="006A235C"/>
    <w:rsid w:val="006A6ED1"/>
    <w:rsid w:val="006A6F83"/>
    <w:rsid w:val="006A748C"/>
    <w:rsid w:val="006A776D"/>
    <w:rsid w:val="006B200F"/>
    <w:rsid w:val="006B2076"/>
    <w:rsid w:val="006B2C04"/>
    <w:rsid w:val="006B5374"/>
    <w:rsid w:val="006C1740"/>
    <w:rsid w:val="006C4E36"/>
    <w:rsid w:val="006D144D"/>
    <w:rsid w:val="006D29A8"/>
    <w:rsid w:val="006D3416"/>
    <w:rsid w:val="006D3692"/>
    <w:rsid w:val="006D3BE2"/>
    <w:rsid w:val="006D7523"/>
    <w:rsid w:val="006E03D8"/>
    <w:rsid w:val="006E0480"/>
    <w:rsid w:val="006E39BE"/>
    <w:rsid w:val="006E4CFB"/>
    <w:rsid w:val="006E5C50"/>
    <w:rsid w:val="006F06E3"/>
    <w:rsid w:val="006F3E72"/>
    <w:rsid w:val="006F5390"/>
    <w:rsid w:val="006F7129"/>
    <w:rsid w:val="00701724"/>
    <w:rsid w:val="00712160"/>
    <w:rsid w:val="00714355"/>
    <w:rsid w:val="0071530F"/>
    <w:rsid w:val="00717483"/>
    <w:rsid w:val="00720E50"/>
    <w:rsid w:val="00725C7C"/>
    <w:rsid w:val="007312BF"/>
    <w:rsid w:val="00732061"/>
    <w:rsid w:val="007330E4"/>
    <w:rsid w:val="0073492C"/>
    <w:rsid w:val="00734EEB"/>
    <w:rsid w:val="0073597F"/>
    <w:rsid w:val="00735BF5"/>
    <w:rsid w:val="00736A96"/>
    <w:rsid w:val="007407D7"/>
    <w:rsid w:val="00742914"/>
    <w:rsid w:val="00743009"/>
    <w:rsid w:val="00744706"/>
    <w:rsid w:val="007450CC"/>
    <w:rsid w:val="00747763"/>
    <w:rsid w:val="00750CFA"/>
    <w:rsid w:val="00750F08"/>
    <w:rsid w:val="007520FD"/>
    <w:rsid w:val="00752D88"/>
    <w:rsid w:val="0075581C"/>
    <w:rsid w:val="00755BBC"/>
    <w:rsid w:val="00762048"/>
    <w:rsid w:val="00762FBE"/>
    <w:rsid w:val="0076482D"/>
    <w:rsid w:val="00764E82"/>
    <w:rsid w:val="00771A2D"/>
    <w:rsid w:val="00773176"/>
    <w:rsid w:val="007756F6"/>
    <w:rsid w:val="007758BC"/>
    <w:rsid w:val="007839B4"/>
    <w:rsid w:val="00783D84"/>
    <w:rsid w:val="007874AA"/>
    <w:rsid w:val="007875CF"/>
    <w:rsid w:val="00790899"/>
    <w:rsid w:val="00790CD3"/>
    <w:rsid w:val="0079270B"/>
    <w:rsid w:val="0079309C"/>
    <w:rsid w:val="00795AEA"/>
    <w:rsid w:val="0079667C"/>
    <w:rsid w:val="00797402"/>
    <w:rsid w:val="00797A31"/>
    <w:rsid w:val="007A28DA"/>
    <w:rsid w:val="007A3AEA"/>
    <w:rsid w:val="007A79C6"/>
    <w:rsid w:val="007B1F39"/>
    <w:rsid w:val="007B31AE"/>
    <w:rsid w:val="007C0D0E"/>
    <w:rsid w:val="007C11D5"/>
    <w:rsid w:val="007C3639"/>
    <w:rsid w:val="007C3C5C"/>
    <w:rsid w:val="007C6477"/>
    <w:rsid w:val="007D59EC"/>
    <w:rsid w:val="007D5E15"/>
    <w:rsid w:val="007D73C6"/>
    <w:rsid w:val="007D76CA"/>
    <w:rsid w:val="007E095D"/>
    <w:rsid w:val="007E09E9"/>
    <w:rsid w:val="007E3473"/>
    <w:rsid w:val="007E3BA0"/>
    <w:rsid w:val="007E6905"/>
    <w:rsid w:val="007E6F2C"/>
    <w:rsid w:val="007E7CC0"/>
    <w:rsid w:val="007F086D"/>
    <w:rsid w:val="007F1262"/>
    <w:rsid w:val="007F15C9"/>
    <w:rsid w:val="007F1BE9"/>
    <w:rsid w:val="007F1FD8"/>
    <w:rsid w:val="007F5803"/>
    <w:rsid w:val="0080025B"/>
    <w:rsid w:val="00800950"/>
    <w:rsid w:val="008013B2"/>
    <w:rsid w:val="008024FC"/>
    <w:rsid w:val="00806E2B"/>
    <w:rsid w:val="00807E88"/>
    <w:rsid w:val="008107E2"/>
    <w:rsid w:val="00812192"/>
    <w:rsid w:val="008133D5"/>
    <w:rsid w:val="00813446"/>
    <w:rsid w:val="008154E5"/>
    <w:rsid w:val="00815A4C"/>
    <w:rsid w:val="00816B0C"/>
    <w:rsid w:val="00817261"/>
    <w:rsid w:val="008200B6"/>
    <w:rsid w:val="00824E9E"/>
    <w:rsid w:val="00825C11"/>
    <w:rsid w:val="0083032F"/>
    <w:rsid w:val="00830521"/>
    <w:rsid w:val="00830C1F"/>
    <w:rsid w:val="00831348"/>
    <w:rsid w:val="008337FA"/>
    <w:rsid w:val="00833B73"/>
    <w:rsid w:val="008346CE"/>
    <w:rsid w:val="0083492D"/>
    <w:rsid w:val="00836CA9"/>
    <w:rsid w:val="00837F6A"/>
    <w:rsid w:val="008406BA"/>
    <w:rsid w:val="008408D2"/>
    <w:rsid w:val="0084490E"/>
    <w:rsid w:val="00844B3D"/>
    <w:rsid w:val="00844D7E"/>
    <w:rsid w:val="00846D15"/>
    <w:rsid w:val="008474C2"/>
    <w:rsid w:val="00851DF7"/>
    <w:rsid w:val="00852041"/>
    <w:rsid w:val="008537DF"/>
    <w:rsid w:val="00854D8C"/>
    <w:rsid w:val="00855031"/>
    <w:rsid w:val="00862F2D"/>
    <w:rsid w:val="0086367A"/>
    <w:rsid w:val="00864FA4"/>
    <w:rsid w:val="00870E92"/>
    <w:rsid w:val="0087144C"/>
    <w:rsid w:val="00872DC9"/>
    <w:rsid w:val="00874361"/>
    <w:rsid w:val="0088151F"/>
    <w:rsid w:val="00881B6E"/>
    <w:rsid w:val="00882819"/>
    <w:rsid w:val="00883878"/>
    <w:rsid w:val="008861E2"/>
    <w:rsid w:val="00890D39"/>
    <w:rsid w:val="008A0F98"/>
    <w:rsid w:val="008A25F7"/>
    <w:rsid w:val="008A37D3"/>
    <w:rsid w:val="008A44F5"/>
    <w:rsid w:val="008A56A0"/>
    <w:rsid w:val="008B0002"/>
    <w:rsid w:val="008B2599"/>
    <w:rsid w:val="008B2840"/>
    <w:rsid w:val="008B2DBA"/>
    <w:rsid w:val="008B6583"/>
    <w:rsid w:val="008B77F4"/>
    <w:rsid w:val="008B7CF9"/>
    <w:rsid w:val="008C3118"/>
    <w:rsid w:val="008C3517"/>
    <w:rsid w:val="008D3F7D"/>
    <w:rsid w:val="008D4C8E"/>
    <w:rsid w:val="008E2E4C"/>
    <w:rsid w:val="008E5281"/>
    <w:rsid w:val="008E5CC2"/>
    <w:rsid w:val="008E5CDB"/>
    <w:rsid w:val="008F1950"/>
    <w:rsid w:val="008F5438"/>
    <w:rsid w:val="008F7B2E"/>
    <w:rsid w:val="00902728"/>
    <w:rsid w:val="009054B3"/>
    <w:rsid w:val="00910552"/>
    <w:rsid w:val="00911503"/>
    <w:rsid w:val="0091389E"/>
    <w:rsid w:val="009140F8"/>
    <w:rsid w:val="009144B0"/>
    <w:rsid w:val="0092047A"/>
    <w:rsid w:val="0092285D"/>
    <w:rsid w:val="0092393C"/>
    <w:rsid w:val="00925010"/>
    <w:rsid w:val="009302CA"/>
    <w:rsid w:val="00932341"/>
    <w:rsid w:val="00933B68"/>
    <w:rsid w:val="009342DA"/>
    <w:rsid w:val="009346E3"/>
    <w:rsid w:val="00934B25"/>
    <w:rsid w:val="0093694C"/>
    <w:rsid w:val="009373C1"/>
    <w:rsid w:val="00937415"/>
    <w:rsid w:val="00937B08"/>
    <w:rsid w:val="00944C9F"/>
    <w:rsid w:val="00945C29"/>
    <w:rsid w:val="00951D6F"/>
    <w:rsid w:val="00951E07"/>
    <w:rsid w:val="009524A1"/>
    <w:rsid w:val="00952E6A"/>
    <w:rsid w:val="009541BA"/>
    <w:rsid w:val="00955453"/>
    <w:rsid w:val="00957A93"/>
    <w:rsid w:val="00957D9E"/>
    <w:rsid w:val="009612EF"/>
    <w:rsid w:val="00961529"/>
    <w:rsid w:val="00962682"/>
    <w:rsid w:val="00962ABD"/>
    <w:rsid w:val="00974100"/>
    <w:rsid w:val="00974C55"/>
    <w:rsid w:val="00976FE7"/>
    <w:rsid w:val="00981740"/>
    <w:rsid w:val="00981745"/>
    <w:rsid w:val="009820C6"/>
    <w:rsid w:val="00982E3E"/>
    <w:rsid w:val="00985B80"/>
    <w:rsid w:val="00992068"/>
    <w:rsid w:val="00992575"/>
    <w:rsid w:val="00992668"/>
    <w:rsid w:val="009946D8"/>
    <w:rsid w:val="00997164"/>
    <w:rsid w:val="009A4945"/>
    <w:rsid w:val="009A70B7"/>
    <w:rsid w:val="009B2861"/>
    <w:rsid w:val="009B2D3B"/>
    <w:rsid w:val="009B38E1"/>
    <w:rsid w:val="009C222F"/>
    <w:rsid w:val="009C4772"/>
    <w:rsid w:val="009C4D48"/>
    <w:rsid w:val="009C50C2"/>
    <w:rsid w:val="009C5DDA"/>
    <w:rsid w:val="009C62C4"/>
    <w:rsid w:val="009D08FA"/>
    <w:rsid w:val="009D1805"/>
    <w:rsid w:val="009D1E8A"/>
    <w:rsid w:val="009D222B"/>
    <w:rsid w:val="009D25FE"/>
    <w:rsid w:val="009D7086"/>
    <w:rsid w:val="009E06DE"/>
    <w:rsid w:val="009E112C"/>
    <w:rsid w:val="009E1EBF"/>
    <w:rsid w:val="009E5DAC"/>
    <w:rsid w:val="009E7B04"/>
    <w:rsid w:val="009F1420"/>
    <w:rsid w:val="009F545A"/>
    <w:rsid w:val="00A01268"/>
    <w:rsid w:val="00A04D32"/>
    <w:rsid w:val="00A0768A"/>
    <w:rsid w:val="00A10232"/>
    <w:rsid w:val="00A13CCA"/>
    <w:rsid w:val="00A149B5"/>
    <w:rsid w:val="00A1526B"/>
    <w:rsid w:val="00A16CD2"/>
    <w:rsid w:val="00A1752A"/>
    <w:rsid w:val="00A20AEA"/>
    <w:rsid w:val="00A2164F"/>
    <w:rsid w:val="00A23AD2"/>
    <w:rsid w:val="00A26017"/>
    <w:rsid w:val="00A26319"/>
    <w:rsid w:val="00A277DE"/>
    <w:rsid w:val="00A301FD"/>
    <w:rsid w:val="00A3051F"/>
    <w:rsid w:val="00A3059C"/>
    <w:rsid w:val="00A405A5"/>
    <w:rsid w:val="00A40A80"/>
    <w:rsid w:val="00A44E8F"/>
    <w:rsid w:val="00A51A9C"/>
    <w:rsid w:val="00A561E2"/>
    <w:rsid w:val="00A57B57"/>
    <w:rsid w:val="00A60B00"/>
    <w:rsid w:val="00A61520"/>
    <w:rsid w:val="00A64AFB"/>
    <w:rsid w:val="00A70C92"/>
    <w:rsid w:val="00A713C0"/>
    <w:rsid w:val="00A76CB8"/>
    <w:rsid w:val="00A777F1"/>
    <w:rsid w:val="00A80F0A"/>
    <w:rsid w:val="00A81C28"/>
    <w:rsid w:val="00A824EC"/>
    <w:rsid w:val="00A91B6D"/>
    <w:rsid w:val="00A92656"/>
    <w:rsid w:val="00A93FB6"/>
    <w:rsid w:val="00A941A0"/>
    <w:rsid w:val="00A944F4"/>
    <w:rsid w:val="00A953BE"/>
    <w:rsid w:val="00A954D0"/>
    <w:rsid w:val="00A96E58"/>
    <w:rsid w:val="00A97611"/>
    <w:rsid w:val="00AA132C"/>
    <w:rsid w:val="00AA1F8F"/>
    <w:rsid w:val="00AA244E"/>
    <w:rsid w:val="00AA34FB"/>
    <w:rsid w:val="00AA5BFD"/>
    <w:rsid w:val="00AA5F1B"/>
    <w:rsid w:val="00AA6C1D"/>
    <w:rsid w:val="00AB0410"/>
    <w:rsid w:val="00AB5189"/>
    <w:rsid w:val="00AB60F9"/>
    <w:rsid w:val="00AC0185"/>
    <w:rsid w:val="00AC1003"/>
    <w:rsid w:val="00AC1287"/>
    <w:rsid w:val="00AC2BF6"/>
    <w:rsid w:val="00AC390C"/>
    <w:rsid w:val="00AC4158"/>
    <w:rsid w:val="00AC5CDC"/>
    <w:rsid w:val="00AC5D78"/>
    <w:rsid w:val="00AC6DA1"/>
    <w:rsid w:val="00AD13D5"/>
    <w:rsid w:val="00AD19D8"/>
    <w:rsid w:val="00AD2739"/>
    <w:rsid w:val="00AD325B"/>
    <w:rsid w:val="00AD3395"/>
    <w:rsid w:val="00AD3EA5"/>
    <w:rsid w:val="00AD5E83"/>
    <w:rsid w:val="00AD7BCB"/>
    <w:rsid w:val="00AE13D7"/>
    <w:rsid w:val="00AE157B"/>
    <w:rsid w:val="00AE1665"/>
    <w:rsid w:val="00AE194F"/>
    <w:rsid w:val="00AE6CEB"/>
    <w:rsid w:val="00AE7860"/>
    <w:rsid w:val="00AF0F75"/>
    <w:rsid w:val="00AF2EB4"/>
    <w:rsid w:val="00AF3127"/>
    <w:rsid w:val="00AF44CD"/>
    <w:rsid w:val="00AF4868"/>
    <w:rsid w:val="00AF55C4"/>
    <w:rsid w:val="00AF6C81"/>
    <w:rsid w:val="00B02AD4"/>
    <w:rsid w:val="00B04989"/>
    <w:rsid w:val="00B12E45"/>
    <w:rsid w:val="00B1474D"/>
    <w:rsid w:val="00B15BE0"/>
    <w:rsid w:val="00B17426"/>
    <w:rsid w:val="00B17ACE"/>
    <w:rsid w:val="00B20710"/>
    <w:rsid w:val="00B217F7"/>
    <w:rsid w:val="00B277F2"/>
    <w:rsid w:val="00B27825"/>
    <w:rsid w:val="00B3347D"/>
    <w:rsid w:val="00B40087"/>
    <w:rsid w:val="00B44E44"/>
    <w:rsid w:val="00B47D63"/>
    <w:rsid w:val="00B551F3"/>
    <w:rsid w:val="00B575F2"/>
    <w:rsid w:val="00B60015"/>
    <w:rsid w:val="00B619D2"/>
    <w:rsid w:val="00B627A6"/>
    <w:rsid w:val="00B649E3"/>
    <w:rsid w:val="00B66304"/>
    <w:rsid w:val="00B701A9"/>
    <w:rsid w:val="00B71519"/>
    <w:rsid w:val="00B71BFE"/>
    <w:rsid w:val="00B7214B"/>
    <w:rsid w:val="00B72A15"/>
    <w:rsid w:val="00B765DD"/>
    <w:rsid w:val="00B76F8D"/>
    <w:rsid w:val="00B77972"/>
    <w:rsid w:val="00B77F65"/>
    <w:rsid w:val="00B814C0"/>
    <w:rsid w:val="00B82FAB"/>
    <w:rsid w:val="00B8570B"/>
    <w:rsid w:val="00B86F71"/>
    <w:rsid w:val="00B8791E"/>
    <w:rsid w:val="00B87C09"/>
    <w:rsid w:val="00B92547"/>
    <w:rsid w:val="00B92B2F"/>
    <w:rsid w:val="00B933B9"/>
    <w:rsid w:val="00B94B99"/>
    <w:rsid w:val="00BA1C36"/>
    <w:rsid w:val="00BA1F73"/>
    <w:rsid w:val="00BA3B93"/>
    <w:rsid w:val="00BA3DFB"/>
    <w:rsid w:val="00BA409C"/>
    <w:rsid w:val="00BA4963"/>
    <w:rsid w:val="00BA4FA6"/>
    <w:rsid w:val="00BA6F78"/>
    <w:rsid w:val="00BB1892"/>
    <w:rsid w:val="00BB3845"/>
    <w:rsid w:val="00BB5EE1"/>
    <w:rsid w:val="00BC1376"/>
    <w:rsid w:val="00BC3CC6"/>
    <w:rsid w:val="00BC751A"/>
    <w:rsid w:val="00BD046E"/>
    <w:rsid w:val="00BD05C5"/>
    <w:rsid w:val="00BD1DC2"/>
    <w:rsid w:val="00BD31D8"/>
    <w:rsid w:val="00BD73A6"/>
    <w:rsid w:val="00BD7A77"/>
    <w:rsid w:val="00BE02BC"/>
    <w:rsid w:val="00BE094B"/>
    <w:rsid w:val="00BE1BB4"/>
    <w:rsid w:val="00BE356D"/>
    <w:rsid w:val="00BE47A8"/>
    <w:rsid w:val="00BE6F3E"/>
    <w:rsid w:val="00BF05E5"/>
    <w:rsid w:val="00BF1D8F"/>
    <w:rsid w:val="00BF27C1"/>
    <w:rsid w:val="00BF4868"/>
    <w:rsid w:val="00C00082"/>
    <w:rsid w:val="00C0270A"/>
    <w:rsid w:val="00C04016"/>
    <w:rsid w:val="00C0640D"/>
    <w:rsid w:val="00C06A9A"/>
    <w:rsid w:val="00C126F1"/>
    <w:rsid w:val="00C15419"/>
    <w:rsid w:val="00C20A6C"/>
    <w:rsid w:val="00C226CC"/>
    <w:rsid w:val="00C23BC8"/>
    <w:rsid w:val="00C2623F"/>
    <w:rsid w:val="00C2672B"/>
    <w:rsid w:val="00C27A5A"/>
    <w:rsid w:val="00C314AE"/>
    <w:rsid w:val="00C31697"/>
    <w:rsid w:val="00C32CC8"/>
    <w:rsid w:val="00C33829"/>
    <w:rsid w:val="00C34038"/>
    <w:rsid w:val="00C35161"/>
    <w:rsid w:val="00C37C30"/>
    <w:rsid w:val="00C403F7"/>
    <w:rsid w:val="00C40891"/>
    <w:rsid w:val="00C42DB8"/>
    <w:rsid w:val="00C4314D"/>
    <w:rsid w:val="00C45457"/>
    <w:rsid w:val="00C509A0"/>
    <w:rsid w:val="00C50B19"/>
    <w:rsid w:val="00C51A95"/>
    <w:rsid w:val="00C52047"/>
    <w:rsid w:val="00C53FD5"/>
    <w:rsid w:val="00C53FFE"/>
    <w:rsid w:val="00C56443"/>
    <w:rsid w:val="00C63A44"/>
    <w:rsid w:val="00C63B31"/>
    <w:rsid w:val="00C65541"/>
    <w:rsid w:val="00C65E24"/>
    <w:rsid w:val="00C66255"/>
    <w:rsid w:val="00C66B34"/>
    <w:rsid w:val="00C67D9B"/>
    <w:rsid w:val="00C70BD0"/>
    <w:rsid w:val="00C725D8"/>
    <w:rsid w:val="00C72F80"/>
    <w:rsid w:val="00C74AE4"/>
    <w:rsid w:val="00C75179"/>
    <w:rsid w:val="00C83663"/>
    <w:rsid w:val="00C84108"/>
    <w:rsid w:val="00C85182"/>
    <w:rsid w:val="00C9322E"/>
    <w:rsid w:val="00C93DC7"/>
    <w:rsid w:val="00C947A3"/>
    <w:rsid w:val="00C977EC"/>
    <w:rsid w:val="00CA533A"/>
    <w:rsid w:val="00CA60B1"/>
    <w:rsid w:val="00CA7C4B"/>
    <w:rsid w:val="00CB0E1F"/>
    <w:rsid w:val="00CB2966"/>
    <w:rsid w:val="00CB31E6"/>
    <w:rsid w:val="00CB341E"/>
    <w:rsid w:val="00CB5388"/>
    <w:rsid w:val="00CB53FC"/>
    <w:rsid w:val="00CB6BAC"/>
    <w:rsid w:val="00CB6FC5"/>
    <w:rsid w:val="00CC0C09"/>
    <w:rsid w:val="00CC2212"/>
    <w:rsid w:val="00CC2EE9"/>
    <w:rsid w:val="00CC3F1D"/>
    <w:rsid w:val="00CC57D0"/>
    <w:rsid w:val="00CC78F6"/>
    <w:rsid w:val="00CD0C48"/>
    <w:rsid w:val="00CD66E4"/>
    <w:rsid w:val="00CE1C52"/>
    <w:rsid w:val="00CE4377"/>
    <w:rsid w:val="00CE5F1E"/>
    <w:rsid w:val="00CE67A8"/>
    <w:rsid w:val="00CE6C3A"/>
    <w:rsid w:val="00CE7F92"/>
    <w:rsid w:val="00CF339E"/>
    <w:rsid w:val="00CF37DF"/>
    <w:rsid w:val="00CF53CF"/>
    <w:rsid w:val="00CF5B82"/>
    <w:rsid w:val="00CF6D9C"/>
    <w:rsid w:val="00D02529"/>
    <w:rsid w:val="00D07B49"/>
    <w:rsid w:val="00D112C2"/>
    <w:rsid w:val="00D122C3"/>
    <w:rsid w:val="00D12A8E"/>
    <w:rsid w:val="00D144F3"/>
    <w:rsid w:val="00D152D8"/>
    <w:rsid w:val="00D153E3"/>
    <w:rsid w:val="00D203B4"/>
    <w:rsid w:val="00D2240D"/>
    <w:rsid w:val="00D24A71"/>
    <w:rsid w:val="00D30C9A"/>
    <w:rsid w:val="00D30D73"/>
    <w:rsid w:val="00D31699"/>
    <w:rsid w:val="00D367A8"/>
    <w:rsid w:val="00D42EE2"/>
    <w:rsid w:val="00D439BE"/>
    <w:rsid w:val="00D44354"/>
    <w:rsid w:val="00D527D9"/>
    <w:rsid w:val="00D5744C"/>
    <w:rsid w:val="00D60B94"/>
    <w:rsid w:val="00D62BE3"/>
    <w:rsid w:val="00D65CDD"/>
    <w:rsid w:val="00D66795"/>
    <w:rsid w:val="00D70810"/>
    <w:rsid w:val="00D72020"/>
    <w:rsid w:val="00D72A3C"/>
    <w:rsid w:val="00D74731"/>
    <w:rsid w:val="00D7666B"/>
    <w:rsid w:val="00D85FD6"/>
    <w:rsid w:val="00D9221A"/>
    <w:rsid w:val="00D96E2B"/>
    <w:rsid w:val="00DA163E"/>
    <w:rsid w:val="00DA3A4A"/>
    <w:rsid w:val="00DA4F92"/>
    <w:rsid w:val="00DB429F"/>
    <w:rsid w:val="00DB7198"/>
    <w:rsid w:val="00DC0C1C"/>
    <w:rsid w:val="00DC1084"/>
    <w:rsid w:val="00DC10DB"/>
    <w:rsid w:val="00DC69D4"/>
    <w:rsid w:val="00DC7AD6"/>
    <w:rsid w:val="00DD0428"/>
    <w:rsid w:val="00DD2513"/>
    <w:rsid w:val="00DD302E"/>
    <w:rsid w:val="00DD5FF7"/>
    <w:rsid w:val="00DE0A1E"/>
    <w:rsid w:val="00DE2C7C"/>
    <w:rsid w:val="00DE49AF"/>
    <w:rsid w:val="00DE52FC"/>
    <w:rsid w:val="00DE72E3"/>
    <w:rsid w:val="00DF0D29"/>
    <w:rsid w:val="00DF22E3"/>
    <w:rsid w:val="00DF2D04"/>
    <w:rsid w:val="00DF5193"/>
    <w:rsid w:val="00DF54FB"/>
    <w:rsid w:val="00DF6712"/>
    <w:rsid w:val="00DF6B05"/>
    <w:rsid w:val="00DF6E0B"/>
    <w:rsid w:val="00DF7AE6"/>
    <w:rsid w:val="00DF7BC8"/>
    <w:rsid w:val="00E007E4"/>
    <w:rsid w:val="00E0081B"/>
    <w:rsid w:val="00E0121D"/>
    <w:rsid w:val="00E023FE"/>
    <w:rsid w:val="00E03F43"/>
    <w:rsid w:val="00E06517"/>
    <w:rsid w:val="00E13F7C"/>
    <w:rsid w:val="00E1629E"/>
    <w:rsid w:val="00E16A39"/>
    <w:rsid w:val="00E174AF"/>
    <w:rsid w:val="00E178DE"/>
    <w:rsid w:val="00E2497E"/>
    <w:rsid w:val="00E26F6C"/>
    <w:rsid w:val="00E32114"/>
    <w:rsid w:val="00E3280D"/>
    <w:rsid w:val="00E339C7"/>
    <w:rsid w:val="00E37583"/>
    <w:rsid w:val="00E40235"/>
    <w:rsid w:val="00E406F8"/>
    <w:rsid w:val="00E410F4"/>
    <w:rsid w:val="00E45230"/>
    <w:rsid w:val="00E454BD"/>
    <w:rsid w:val="00E45C37"/>
    <w:rsid w:val="00E46B2C"/>
    <w:rsid w:val="00E47167"/>
    <w:rsid w:val="00E51168"/>
    <w:rsid w:val="00E55671"/>
    <w:rsid w:val="00E60FDD"/>
    <w:rsid w:val="00E61324"/>
    <w:rsid w:val="00E639F1"/>
    <w:rsid w:val="00E732C5"/>
    <w:rsid w:val="00E76AC3"/>
    <w:rsid w:val="00E8181E"/>
    <w:rsid w:val="00E834B8"/>
    <w:rsid w:val="00E8440E"/>
    <w:rsid w:val="00E8666E"/>
    <w:rsid w:val="00E87987"/>
    <w:rsid w:val="00E91900"/>
    <w:rsid w:val="00E924BB"/>
    <w:rsid w:val="00E95325"/>
    <w:rsid w:val="00E959CA"/>
    <w:rsid w:val="00E969FA"/>
    <w:rsid w:val="00EA05C2"/>
    <w:rsid w:val="00EA61B0"/>
    <w:rsid w:val="00EB4722"/>
    <w:rsid w:val="00EB5076"/>
    <w:rsid w:val="00EB5329"/>
    <w:rsid w:val="00EB5CE6"/>
    <w:rsid w:val="00EB74C7"/>
    <w:rsid w:val="00EC3D06"/>
    <w:rsid w:val="00EC5AC5"/>
    <w:rsid w:val="00EC6E78"/>
    <w:rsid w:val="00ED0E53"/>
    <w:rsid w:val="00ED2B7F"/>
    <w:rsid w:val="00ED4CDB"/>
    <w:rsid w:val="00ED7C7D"/>
    <w:rsid w:val="00ED7E57"/>
    <w:rsid w:val="00EE30C4"/>
    <w:rsid w:val="00EE45E8"/>
    <w:rsid w:val="00EE473C"/>
    <w:rsid w:val="00EE7B97"/>
    <w:rsid w:val="00EF1769"/>
    <w:rsid w:val="00EF3572"/>
    <w:rsid w:val="00EF5189"/>
    <w:rsid w:val="00EF7326"/>
    <w:rsid w:val="00F0301D"/>
    <w:rsid w:val="00F07CCA"/>
    <w:rsid w:val="00F11541"/>
    <w:rsid w:val="00F13D5A"/>
    <w:rsid w:val="00F250F2"/>
    <w:rsid w:val="00F27241"/>
    <w:rsid w:val="00F272B6"/>
    <w:rsid w:val="00F30A83"/>
    <w:rsid w:val="00F32715"/>
    <w:rsid w:val="00F349F3"/>
    <w:rsid w:val="00F372D9"/>
    <w:rsid w:val="00F44FF7"/>
    <w:rsid w:val="00F50A9D"/>
    <w:rsid w:val="00F52B7E"/>
    <w:rsid w:val="00F52BE9"/>
    <w:rsid w:val="00F52DEE"/>
    <w:rsid w:val="00F52EB7"/>
    <w:rsid w:val="00F54E53"/>
    <w:rsid w:val="00F55163"/>
    <w:rsid w:val="00F56291"/>
    <w:rsid w:val="00F56F80"/>
    <w:rsid w:val="00F60233"/>
    <w:rsid w:val="00F6235B"/>
    <w:rsid w:val="00F624B0"/>
    <w:rsid w:val="00F635E9"/>
    <w:rsid w:val="00F64714"/>
    <w:rsid w:val="00F67699"/>
    <w:rsid w:val="00F67803"/>
    <w:rsid w:val="00F67B0D"/>
    <w:rsid w:val="00F7129F"/>
    <w:rsid w:val="00F73DF4"/>
    <w:rsid w:val="00F77E39"/>
    <w:rsid w:val="00F804B2"/>
    <w:rsid w:val="00F86695"/>
    <w:rsid w:val="00F90128"/>
    <w:rsid w:val="00F903F2"/>
    <w:rsid w:val="00F9230A"/>
    <w:rsid w:val="00F932F4"/>
    <w:rsid w:val="00F94A22"/>
    <w:rsid w:val="00F9552A"/>
    <w:rsid w:val="00FA1CC7"/>
    <w:rsid w:val="00FA237B"/>
    <w:rsid w:val="00FA24A5"/>
    <w:rsid w:val="00FA30A7"/>
    <w:rsid w:val="00FA30F2"/>
    <w:rsid w:val="00FA5B50"/>
    <w:rsid w:val="00FA6A7E"/>
    <w:rsid w:val="00FA719E"/>
    <w:rsid w:val="00FA7671"/>
    <w:rsid w:val="00FB0354"/>
    <w:rsid w:val="00FB4CCE"/>
    <w:rsid w:val="00FB6C77"/>
    <w:rsid w:val="00FC2E47"/>
    <w:rsid w:val="00FC4599"/>
    <w:rsid w:val="00FC6396"/>
    <w:rsid w:val="00FC76A8"/>
    <w:rsid w:val="00FC76AB"/>
    <w:rsid w:val="00FC7A70"/>
    <w:rsid w:val="00FD273D"/>
    <w:rsid w:val="00FD2BB5"/>
    <w:rsid w:val="00FD44C5"/>
    <w:rsid w:val="00FD4710"/>
    <w:rsid w:val="00FD7D32"/>
    <w:rsid w:val="00FE023C"/>
    <w:rsid w:val="00FE607F"/>
    <w:rsid w:val="00FF1480"/>
    <w:rsid w:val="00FF189D"/>
    <w:rsid w:val="00FF19CC"/>
    <w:rsid w:val="00FF3C59"/>
    <w:rsid w:val="00FF4C25"/>
    <w:rsid w:val="10FF15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99" w:name="Placeholder Text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sk-SK" w:eastAsia="en-US" w:bidi="ar-SA"/>
    </w:rPr>
  </w:style>
  <w:style w:type="paragraph" w:styleId="2">
    <w:name w:val="heading 1"/>
    <w:basedOn w:val="1"/>
    <w:next w:val="1"/>
    <w:link w:val="1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3">
    <w:name w:val="heading 2"/>
    <w:basedOn w:val="1"/>
    <w:next w:val="1"/>
    <w:link w:val="28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default="1" w:styleId="4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Balloon Text"/>
    <w:basedOn w:val="1"/>
    <w:link w:val="15"/>
    <w:semiHidden/>
    <w:unhideWhenUsed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7">
    <w:name w:val="annotation reference"/>
    <w:basedOn w:val="4"/>
    <w:semiHidden/>
    <w:unhideWhenUsed/>
    <w:uiPriority w:val="99"/>
    <w:rPr>
      <w:sz w:val="16"/>
      <w:szCs w:val="16"/>
    </w:rPr>
  </w:style>
  <w:style w:type="paragraph" w:styleId="8">
    <w:name w:val="annotation text"/>
    <w:basedOn w:val="1"/>
    <w:link w:val="24"/>
    <w:semiHidden/>
    <w:unhideWhenUsed/>
    <w:uiPriority w:val="99"/>
    <w:pPr>
      <w:spacing w:line="240" w:lineRule="auto"/>
    </w:pPr>
    <w:rPr>
      <w:sz w:val="20"/>
      <w:szCs w:val="20"/>
    </w:rPr>
  </w:style>
  <w:style w:type="paragraph" w:styleId="9">
    <w:name w:val="annotation subject"/>
    <w:basedOn w:val="8"/>
    <w:next w:val="8"/>
    <w:link w:val="25"/>
    <w:semiHidden/>
    <w:unhideWhenUsed/>
    <w:uiPriority w:val="99"/>
    <w:rPr>
      <w:b/>
      <w:bCs/>
    </w:rPr>
  </w:style>
  <w:style w:type="paragraph" w:styleId="10">
    <w:name w:val="footer"/>
    <w:basedOn w:val="1"/>
    <w:link w:val="14"/>
    <w:unhideWhenUsed/>
    <w:uiPriority w:val="99"/>
    <w:pPr>
      <w:tabs>
        <w:tab w:val="center" w:pos="4536"/>
        <w:tab w:val="right" w:pos="9072"/>
      </w:tabs>
      <w:spacing w:after="0" w:line="240" w:lineRule="auto"/>
    </w:pPr>
  </w:style>
  <w:style w:type="paragraph" w:styleId="11">
    <w:name w:val="header"/>
    <w:basedOn w:val="1"/>
    <w:link w:val="13"/>
    <w:unhideWhenUsed/>
    <w:uiPriority w:val="99"/>
    <w:pPr>
      <w:tabs>
        <w:tab w:val="center" w:pos="4536"/>
        <w:tab w:val="right" w:pos="9072"/>
      </w:tabs>
      <w:spacing w:after="0" w:line="240" w:lineRule="auto"/>
    </w:pPr>
  </w:style>
  <w:style w:type="table" w:styleId="12">
    <w:name w:val="Table Grid"/>
    <w:basedOn w:val="5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3">
    <w:name w:val="Hlavička Char"/>
    <w:basedOn w:val="4"/>
    <w:link w:val="11"/>
    <w:uiPriority w:val="99"/>
  </w:style>
  <w:style w:type="character" w:customStyle="1" w:styleId="14">
    <w:name w:val="Päta Char"/>
    <w:basedOn w:val="4"/>
    <w:link w:val="10"/>
    <w:uiPriority w:val="99"/>
  </w:style>
  <w:style w:type="character" w:customStyle="1" w:styleId="15">
    <w:name w:val="Text bubliny Char"/>
    <w:basedOn w:val="4"/>
    <w:link w:val="6"/>
    <w:semiHidden/>
    <w:uiPriority w:val="99"/>
    <w:rPr>
      <w:rFonts w:ascii="Tahoma" w:hAnsi="Tahoma" w:cs="Tahoma"/>
      <w:sz w:val="16"/>
      <w:szCs w:val="16"/>
    </w:rPr>
  </w:style>
  <w:style w:type="character" w:styleId="16">
    <w:name w:val="Placeholder Text"/>
    <w:basedOn w:val="4"/>
    <w:semiHidden/>
    <w:uiPriority w:val="99"/>
    <w:rPr>
      <w:color w:val="808080"/>
    </w:rPr>
  </w:style>
  <w:style w:type="paragraph" w:styleId="17">
    <w:name w:val="List Paragraph"/>
    <w:basedOn w:val="1"/>
    <w:qFormat/>
    <w:uiPriority w:val="34"/>
    <w:pPr>
      <w:ind w:left="720"/>
      <w:contextualSpacing/>
    </w:pPr>
  </w:style>
  <w:style w:type="character" w:customStyle="1" w:styleId="18">
    <w:name w:val="Nadpis 1 Char"/>
    <w:basedOn w:val="4"/>
    <w:link w:val="2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customStyle="1" w:styleId="19">
    <w:name w:val="HTML Top of Form"/>
    <w:basedOn w:val="1"/>
    <w:next w:val="1"/>
    <w:link w:val="20"/>
    <w:semiHidden/>
    <w:unhideWhenUsed/>
    <w:uiPriority w:val="99"/>
    <w:pPr>
      <w:pBdr>
        <w:bottom w:val="single" w:color="auto" w:sz="6" w:space="1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20">
    <w:name w:val="z-Horný okraj formulára Char"/>
    <w:basedOn w:val="4"/>
    <w:link w:val="19"/>
    <w:semiHidden/>
    <w:uiPriority w:val="99"/>
    <w:rPr>
      <w:rFonts w:ascii="Arial" w:hAnsi="Arial" w:cs="Arial"/>
      <w:vanish/>
      <w:sz w:val="16"/>
      <w:szCs w:val="16"/>
    </w:rPr>
  </w:style>
  <w:style w:type="paragraph" w:customStyle="1" w:styleId="21">
    <w:name w:val="HTML Bottom of Form"/>
    <w:basedOn w:val="1"/>
    <w:next w:val="1"/>
    <w:link w:val="22"/>
    <w:semiHidden/>
    <w:unhideWhenUsed/>
    <w:uiPriority w:val="99"/>
    <w:pPr>
      <w:pBdr>
        <w:top w:val="single" w:color="auto" w:sz="6" w:space="1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22">
    <w:name w:val="z-Spodný okraj formulára Char"/>
    <w:basedOn w:val="4"/>
    <w:link w:val="21"/>
    <w:semiHidden/>
    <w:uiPriority w:val="99"/>
    <w:rPr>
      <w:rFonts w:ascii="Arial" w:hAnsi="Arial" w:cs="Arial"/>
      <w:vanish/>
      <w:sz w:val="16"/>
      <w:szCs w:val="16"/>
    </w:rPr>
  </w:style>
  <w:style w:type="paragraph" w:styleId="23">
    <w:name w:val="No Spacing"/>
    <w:qFormat/>
    <w:uiPriority w:val="1"/>
    <w:pPr>
      <w:spacing w:after="0" w:line="240" w:lineRule="auto"/>
    </w:pPr>
    <w:rPr>
      <w:rFonts w:asciiTheme="minorHAnsi" w:hAnsiTheme="minorHAnsi" w:eastAsiaTheme="minorHAnsi" w:cstheme="minorBidi"/>
      <w:sz w:val="22"/>
      <w:szCs w:val="22"/>
      <w:lang w:val="sk-SK" w:eastAsia="en-US" w:bidi="ar-SA"/>
    </w:rPr>
  </w:style>
  <w:style w:type="character" w:customStyle="1" w:styleId="24">
    <w:name w:val="Text komentára Char"/>
    <w:basedOn w:val="4"/>
    <w:link w:val="8"/>
    <w:semiHidden/>
    <w:uiPriority w:val="99"/>
    <w:rPr>
      <w:sz w:val="20"/>
      <w:szCs w:val="20"/>
    </w:rPr>
  </w:style>
  <w:style w:type="character" w:customStyle="1" w:styleId="25">
    <w:name w:val="Predmet komentára Char"/>
    <w:basedOn w:val="24"/>
    <w:link w:val="9"/>
    <w:semiHidden/>
    <w:uiPriority w:val="99"/>
    <w:rPr>
      <w:b/>
      <w:bCs/>
      <w:sz w:val="20"/>
      <w:szCs w:val="20"/>
    </w:rPr>
  </w:style>
  <w:style w:type="paragraph" w:styleId="26">
    <w:name w:val="Quote"/>
    <w:basedOn w:val="1"/>
    <w:next w:val="1"/>
    <w:link w:val="27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27">
    <w:name w:val="Citácia Char"/>
    <w:basedOn w:val="4"/>
    <w:link w:val="26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28">
    <w:name w:val="Nadpis 2 Char"/>
    <w:basedOn w:val="4"/>
    <w:link w:val="3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29">
    <w:name w:val="Subtle Reference"/>
    <w:basedOn w:val="4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glossaryDocument" Target="glossary/document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word/glossary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docParts>
    <w:docPart>
      <w:docPartPr>
        <w:name w:val="2326857E561C487F8E25A83BAB96C947"/>
        <w:style w:val="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5287E618-C887-4477-BFD9-1C6C7F7BCE76}"/>
      </w:docPartPr>
      <w:docPartBody>
        <w:p w14:paraId="2A519CC9">
          <w:pPr>
            <w:pStyle w:val="5"/>
          </w:pPr>
          <w:r>
            <w:rPr>
              <w:rStyle w:val="4"/>
            </w:rPr>
            <w:t>Choose an item.</w:t>
          </w:r>
        </w:p>
      </w:docPartBody>
    </w:docPart>
    <w:docPart>
      <w:docPartPr>
        <w:name w:val="198FBDE9E43141EE9139A7617DB0534D"/>
        <w:style w:val="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FAE7EF5F-CF6A-4E06-A190-47DBBF3F7BC3}"/>
      </w:docPartPr>
      <w:docPartBody>
        <w:p w14:paraId="6C21FF01">
          <w:pPr>
            <w:pStyle w:val="6"/>
          </w:pPr>
          <w:r>
            <w:rPr>
              <w:rStyle w:val="4"/>
            </w:rPr>
            <w:t>Choose an item.</w:t>
          </w:r>
        </w:p>
      </w:docPartBody>
    </w:docPart>
  </w:docParts>
</w:glossaryDocument>
</file>

<file path=word/glossary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EE"/>
    <w:family w:val="swiss"/>
    <w:pitch w:val="default"/>
    <w:sig w:usb0="E4002EFF" w:usb1="C200247B" w:usb2="00000009" w:usb3="00000000" w:csb0="200001FF" w:csb1="00000000"/>
  </w:font>
</w:fonts>
</file>

<file path=word/glossary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5710"/>
    <w:rsid w:val="00006237"/>
    <w:rsid w:val="00025E0D"/>
    <w:rsid w:val="00047206"/>
    <w:rsid w:val="000A651B"/>
    <w:rsid w:val="00160F00"/>
    <w:rsid w:val="00297AA4"/>
    <w:rsid w:val="002D5101"/>
    <w:rsid w:val="004D37E1"/>
    <w:rsid w:val="00505AE4"/>
    <w:rsid w:val="005A4516"/>
    <w:rsid w:val="005D39AB"/>
    <w:rsid w:val="005F76D2"/>
    <w:rsid w:val="00603355"/>
    <w:rsid w:val="00734361"/>
    <w:rsid w:val="00765710"/>
    <w:rsid w:val="00775AB6"/>
    <w:rsid w:val="008560A4"/>
    <w:rsid w:val="008B615A"/>
    <w:rsid w:val="00972B34"/>
    <w:rsid w:val="00A108B6"/>
    <w:rsid w:val="00A319A9"/>
    <w:rsid w:val="00C731F6"/>
    <w:rsid w:val="00C80211"/>
    <w:rsid w:val="00CE0B5C"/>
    <w:rsid w:val="00CF451A"/>
    <w:rsid w:val="00D54334"/>
    <w:rsid w:val="00D96ED7"/>
    <w:rsid w:val="00DA5BD5"/>
    <w:rsid w:val="00E06618"/>
    <w:rsid w:val="00E40F1E"/>
    <w:rsid w:val="00E454BD"/>
    <w:rsid w:val="00F053C3"/>
    <w:rsid w:val="00F11D6C"/>
    <w:rsid w:val="00F535E2"/>
    <w:rsid w:val="00F67766"/>
    <w:rsid w:val="00F753E9"/>
    <w:rsid w:val="00F866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iPriority="1" w:name="Default Paragraph Font"/>
    <w:lsdException w:uiPriority="99" w:name="Normal Table"/>
    <w:lsdException w:unhideWhenUsed="0" w:uiPriority="99" w:name="Placeholder Text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sk-SK" w:eastAsia="sk-SK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Placeholder Text"/>
    <w:basedOn w:val="2"/>
    <w:semiHidden/>
    <w:uiPriority w:val="99"/>
    <w:rPr>
      <w:color w:val="808080"/>
    </w:rPr>
  </w:style>
  <w:style w:type="paragraph" w:customStyle="1" w:styleId="5">
    <w:name w:val="2326857E561C487F8E25A83BAB96C947"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sk-SK" w:eastAsia="sk-SK" w:bidi="ar-SA"/>
    </w:rPr>
  </w:style>
  <w:style w:type="paragraph" w:customStyle="1" w:styleId="6">
    <w:name w:val="198FBDE9E43141EE9139A7617DB0534D"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sk-SK" w:eastAsia="sk-SK" w:bidi="ar-SA"/>
    </w:rPr>
  </w:style>
</w:style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EDA20F9-3632-434D-8420-6D9FEF2E249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1692</Words>
  <Characters>9645</Characters>
  <Lines>80</Lines>
  <Paragraphs>22</Paragraphs>
  <TotalTime>2</TotalTime>
  <ScaleCrop>false</ScaleCrop>
  <LinksUpToDate>false</LinksUpToDate>
  <CharactersWithSpaces>11315</CharactersWithSpaces>
  <Application>WPS Office_12.2.0.20326_F1E327BC-269C-435d-A152-05C5408002CA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2025-03-07T21:47:00Z</dcterms:created>
  <dc:creator>R</dc:creator>
  <cp:lastModifiedBy>Henrieta Stehlíková</cp:lastModifiedBy>
  <cp:lastPrinted>2020-07-24T05:34:00Z</cp:lastPrinted>
  <dcterms:modified xsi:type="dcterms:W3CDTF">2025-03-10T18:37:19Z</dcterms:modified>
  <dc:title>Poznámky Úč PODV 3 - 01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1033-12.2.0.20326</vt:lpwstr>
  </property>
  <property fmtid="{D5CDD505-2E9C-101B-9397-08002B2CF9AE}" pid="3" name="ICV">
    <vt:lpwstr>428FCD4D84D04943935E5F80AEE6358C_12</vt:lpwstr>
  </property>
</Properties>
</file>