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firstLine="4536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>
      <w:pPr>
        <w:pStyle w:val="Normal"/>
        <w:ind w:firstLine="3686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1. Názov právnickej osoby a jej sídlo</w:t>
      </w:r>
    </w:p>
    <w:p>
      <w:pPr>
        <w:pStyle w:val="Normal"/>
        <w:rPr>
          <w:b/>
          <w:sz w:val="20"/>
          <w:szCs w:val="20"/>
        </w:rPr>
      </w:pPr>
      <w:r>
        <w:rPr>
          <w:sz w:val="20"/>
          <w:szCs w:val="20"/>
        </w:rPr>
        <w:t xml:space="preserve">Obchodné meno: </w:t>
      </w:r>
      <w:r>
        <w:rPr>
          <w:b/>
          <w:sz w:val="20"/>
          <w:szCs w:val="20"/>
        </w:rPr>
        <w:t>ABOSTAV, s.r.o.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Sídlo: Čínska 19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040 01 Košice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IČO: 46 798 731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Poznámky za účtovné obdobie od 1.1.202</w:t>
      </w:r>
      <w:r>
        <w:rPr>
          <w:sz w:val="20"/>
          <w:szCs w:val="20"/>
        </w:rPr>
        <w:t>4</w:t>
      </w:r>
      <w:r>
        <w:rPr>
          <w:sz w:val="20"/>
          <w:szCs w:val="20"/>
        </w:rPr>
        <w:t xml:space="preserve"> do 31.12.202</w:t>
      </w:r>
      <w:r>
        <w:rPr>
          <w:sz w:val="20"/>
          <w:szCs w:val="20"/>
        </w:rPr>
        <w:t>4</w:t>
      </w:r>
      <w:r>
        <w:rPr>
          <w:sz w:val="20"/>
          <w:szCs w:val="20"/>
        </w:rPr>
        <w:t>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 xml:space="preserve">Spoločnosť  ABOSTAV,  s. r.o. bola založená 7.8.2012 a do obchodného registra vedeného Okresným súdom Košice I., toho času Mestský súd Košice, bola zapísaná 23.8.2012, do oddielu s. r. o., vložka č. 30469/V. 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2. Údaje o konsolidovanom celku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Spoločnosť nie je súčasťou žiadnej skupiny podnikov, a teda nie je súčasťou žiadneho konsolidovaného celku.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3. Priemerný počet zamestnancov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 xml:space="preserve">Priemerný prepočítaný počet zamestnancov spoločnosti </w:t>
      </w:r>
    </w:p>
    <w:tbl>
      <w:tblPr>
        <w:tblStyle w:val="Mriekatabuky"/>
        <w:tblW w:w="9212" w:type="dxa"/>
        <w:jc w:val="left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070"/>
        <w:gridCol w:w="3071"/>
        <w:gridCol w:w="3071"/>
      </w:tblGrid>
      <w:tr>
        <w:trPr/>
        <w:tc>
          <w:tcPr>
            <w:tcW w:w="3070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sz w:val="20"/>
                <w:szCs w:val="20"/>
              </w:rPr>
            </w:pPr>
            <w:r>
              <w:rPr>
                <w:rFonts w:eastAsia="Calibri" w:cs=""/>
                <w:kern w:val="0"/>
                <w:sz w:val="20"/>
                <w:szCs w:val="20"/>
                <w:lang w:val="sk-SK" w:eastAsia="en-US" w:bidi="ar-SA"/>
              </w:rPr>
              <w:t>Názov položky</w:t>
            </w:r>
          </w:p>
        </w:tc>
        <w:tc>
          <w:tcPr>
            <w:tcW w:w="307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sz w:val="20"/>
                <w:szCs w:val="20"/>
              </w:rPr>
            </w:pPr>
            <w:r>
              <w:rPr>
                <w:rFonts w:eastAsia="Calibri" w:cs=""/>
                <w:kern w:val="0"/>
                <w:sz w:val="20"/>
                <w:szCs w:val="20"/>
                <w:lang w:val="sk-SK" w:eastAsia="en-US" w:bidi="ar-SA"/>
              </w:rPr>
              <w:t>Bežné účtovné obdobie</w:t>
            </w:r>
          </w:p>
        </w:tc>
        <w:tc>
          <w:tcPr>
            <w:tcW w:w="307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sz w:val="20"/>
                <w:szCs w:val="20"/>
              </w:rPr>
            </w:pPr>
            <w:r>
              <w:rPr>
                <w:rFonts w:eastAsia="Calibri" w:cs=""/>
                <w:kern w:val="0"/>
                <w:sz w:val="20"/>
                <w:szCs w:val="20"/>
                <w:lang w:val="sk-SK" w:eastAsia="en-US" w:bidi="ar-SA"/>
              </w:rPr>
              <w:t>Bezprostredne predchádzajúce účtovné obdobie</w:t>
            </w:r>
          </w:p>
        </w:tc>
      </w:tr>
      <w:tr>
        <w:trPr/>
        <w:tc>
          <w:tcPr>
            <w:tcW w:w="3070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sz w:val="20"/>
                <w:szCs w:val="20"/>
              </w:rPr>
            </w:pPr>
            <w:r>
              <w:rPr>
                <w:rFonts w:eastAsia="Calibri" w:cs=""/>
                <w:kern w:val="0"/>
                <w:sz w:val="20"/>
                <w:szCs w:val="20"/>
                <w:lang w:val="sk-SK" w:eastAsia="en-US" w:bidi="ar-SA"/>
              </w:rPr>
              <w:t>Priemerný prepočítaný počet zamestnancov</w:t>
            </w:r>
          </w:p>
        </w:tc>
        <w:tc>
          <w:tcPr>
            <w:tcW w:w="3071" w:type="dxa"/>
            <w:tcBorders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rFonts w:eastAsia="Calibri" w:cs=""/>
                <w:kern w:val="0"/>
                <w:sz w:val="20"/>
                <w:szCs w:val="20"/>
                <w:lang w:val="sk-SK" w:eastAsia="en-US" w:bidi="ar-SA"/>
              </w:rPr>
              <w:t>0</w:t>
            </w:r>
          </w:p>
        </w:tc>
        <w:tc>
          <w:tcPr>
            <w:tcW w:w="3071" w:type="dxa"/>
            <w:tcBorders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rFonts w:eastAsia="Calibri" w:cs=""/>
                <w:kern w:val="0"/>
                <w:sz w:val="20"/>
                <w:szCs w:val="20"/>
                <w:lang w:val="sk-SK" w:eastAsia="en-US" w:bidi="ar-SA"/>
              </w:rPr>
              <w:t>0</w:t>
            </w:r>
          </w:p>
        </w:tc>
      </w:tr>
    </w:tbl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ind w:firstLine="4536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>
      <w:pPr>
        <w:pStyle w:val="Normal"/>
        <w:ind w:firstLine="2977"/>
        <w:rPr>
          <w:b/>
          <w:sz w:val="24"/>
          <w:szCs w:val="24"/>
        </w:rPr>
      </w:pPr>
      <w:r>
        <w:rPr>
          <w:b/>
          <w:sz w:val="24"/>
          <w:szCs w:val="24"/>
        </w:rPr>
        <w:t>Informácie o prijatých postupoch</w:t>
      </w:r>
    </w:p>
    <w:p>
      <w:pPr>
        <w:pStyle w:val="ListParagraph"/>
        <w:numPr>
          <w:ilvl w:val="0"/>
          <w:numId w:val="1"/>
        </w:numPr>
        <w:ind w:left="0" w:hanging="0"/>
        <w:rPr>
          <w:sz w:val="20"/>
          <w:szCs w:val="20"/>
        </w:rPr>
      </w:pPr>
      <w:r>
        <w:rPr>
          <w:sz w:val="20"/>
          <w:szCs w:val="20"/>
        </w:rPr>
        <w:t>Účtovná jednotka bola vypracovaná v súlade so zákonom č. 431/2002 Z. z. o účtovníctve v znení neskorších predpisov a Opatrením MF SR č. 23054/2002-92, ktorým sa ustanovujú podrobnosti o postupoch účtovania a rámcovej účtovnej osnove pre podnikateľov v znení neskorších predpisov. Menou pre vykazovanie je EURO.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Táto účtovná závierka bola vypracovaná za predpokladu nepretržitého trvania účtovnej jednotky, t.j. vychádza z predpokladu, že spoločnosť bude realizovať svoje aktíva, záväzky a dohody v rámci riadneho chodu svojej činnosti.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2. Spôsob ocenenia jednotlivých zložiek majetku a záväzkov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a) Dlhodobý nehmotný a dlhodobý hmotný majetok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Ocenenie pri obstaraní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Dlhodobý nehmotný a hmotný majetok sa vykazuje v obstarávacích cenách mínus oprávky a straty zo zníženia hodnoty (opravné položky). Obstarávacia cena zahrňuje cenu obstarania a náklady súvisiace s obstaraním (clo, dovoznú prirážku, prepravu, montáž a pod.). Súčasťou obstarávacej ceny nie sú úroky z úverov. Dlhodobý finančný majetok účtovná jednotka nevlastní.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b) Zásoby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 xml:space="preserve">Nakupované zásoby rovnakého druhu sú na sklad účtované v obstarávacích cenách, a to tým spôsobom, že obstarávacia cena zásob je v analytickej evidencii v čistej realizačnej hodnote a pri vyskladnení sa používa ocenenie, tak ako boli prijaté na sklad. </w:t>
      </w:r>
      <w:r>
        <w:rPr>
          <w:sz w:val="20"/>
          <w:szCs w:val="20"/>
        </w:rPr>
        <w:t>V roku 2024 takéto zásoby spoločnosť nemala.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Zásoby obstarané bezplatne, nájdené (prebytky zásob), odpad a zvyškové produkty vrátené z výroby sa ocenia podľa odborného odhadu ich úžitkovej hodnoty. V roku 202</w:t>
      </w:r>
      <w:r>
        <w:rPr>
          <w:sz w:val="20"/>
          <w:szCs w:val="20"/>
        </w:rPr>
        <w:t>4</w:t>
      </w:r>
      <w:r>
        <w:rPr>
          <w:sz w:val="20"/>
          <w:szCs w:val="20"/>
        </w:rPr>
        <w:t xml:space="preserve"> takéto zásoby spoločnosť nemala.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Toto ocenenie zásob sa upravuje o zníženie hodnoty zásob (tvorbou opravnej položky) zistené inventarizáciou. V roku 202</w:t>
      </w:r>
      <w:r>
        <w:rPr>
          <w:sz w:val="20"/>
          <w:szCs w:val="20"/>
        </w:rPr>
        <w:t>4</w:t>
      </w:r>
      <w:r>
        <w:rPr>
          <w:sz w:val="20"/>
          <w:szCs w:val="20"/>
        </w:rPr>
        <w:t xml:space="preserve"> spoločnosť netvorila opravnú položku k zásobám.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c) Pohľadávky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Pohľadávky sa pri ich vzniku oceňujú ich menovitou hodnotou; postúpené pohľadávky sa oceňujú obstarávacou cenou, vrátane nákladov súvisiacich s obstaraním. Toto ocenenie sa znižuje o pochybné a nevymožiteľné pohľadávky (tvorbou opravnej položky).</w:t>
      </w:r>
      <w:r>
        <w:rPr/>
        <w:t xml:space="preserve"> </w:t>
      </w:r>
      <w:r>
        <w:rPr>
          <w:sz w:val="20"/>
          <w:szCs w:val="20"/>
        </w:rPr>
        <w:t>Spoločnosť v roku 202</w:t>
      </w:r>
      <w:r>
        <w:rPr>
          <w:sz w:val="20"/>
          <w:szCs w:val="20"/>
        </w:rPr>
        <w:t>4</w:t>
      </w:r>
      <w:r>
        <w:rPr>
          <w:sz w:val="20"/>
          <w:szCs w:val="20"/>
        </w:rPr>
        <w:t xml:space="preserve"> netvorila opravnú položku k takému majetku.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d) Krátkodobý finančný majetok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Peňažné prostriedky a ceniny sa oceňujú ich menovitou hodnotou. Zníženie ich hodnoty sa vyjadruje opravnou položkou. Spoločnosť v roku 202</w:t>
      </w:r>
      <w:r>
        <w:rPr>
          <w:sz w:val="20"/>
          <w:szCs w:val="20"/>
        </w:rPr>
        <w:t>4</w:t>
      </w:r>
      <w:r>
        <w:rPr>
          <w:sz w:val="20"/>
          <w:szCs w:val="20"/>
        </w:rPr>
        <w:t xml:space="preserve"> netvorila opravnú položku k takému majetku.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e) Záväzky vrátane rezerv, dlhopisov a pôžičiek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Rezervy účtovná jednotka netvorila, dlhopisy neemitovala. pôžičky oceňuje menovitou hodnotou.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f) Derivátové operácie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Účtovná jednotka derivátové operácie nevykonávala.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3. Spôsob zostavenia odpisového plánu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Dlhodobý nehmotný majetok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Odpisy dlhodobého nehmotného majetku sú stanovené vychádzajúc z predpokladanej doby jeho používania. Odpisovať sa začína počnúc mesiacom zaradenia dlhodobého majetku do používania. V roku 202</w:t>
      </w:r>
      <w:r>
        <w:rPr>
          <w:sz w:val="20"/>
          <w:szCs w:val="20"/>
        </w:rPr>
        <w:t>4</w:t>
      </w:r>
      <w:r>
        <w:rPr>
          <w:sz w:val="20"/>
          <w:szCs w:val="20"/>
        </w:rPr>
        <w:t xml:space="preserve"> spoločnosť neúčtuje o dlhodobom nehmotnom majetku.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Dlhodobý hmotný majetok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Odpisy dlhodobého hmotného majetku sú stanovené vychádzajúc z predpokladanej doby jeho používania a predpokladaného priebehu jeho opotrebovania. Odpisovať sa začína počnúc mesiacom zaradenia dlhodobého majetku do používania.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Ročná výška odpisov dlhodobého majetku predstavuje 12-násobok mesačného odpisu vypočítaného rovnomerným spôsobom zo vstupnej ceny majetku, ktorá pripadá na zostatok doby odpisovania. U nových položiek ročný odpis predstavuje 12-násobok mesačného odpisu pripadajúceho na jeden mesiac stanovenej doby odpisovania.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 xml:space="preserve">Spoločnosť vedie kategóriu drobného dlhodobého hmotného majetku, ktorého obstarávacia cena bola 1 700 EUR a nižšia sa pri obstaraní účtovala priamo do nákladov majetku na základe individuálneho posúdenia a vedie k nemu potrebnú evidenciu. 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Predpokladaná doba používania, metóda odpisovania a odpisová sadzba: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Dlhodobý hmotný majetok</w:t>
      </w:r>
    </w:p>
    <w:tbl>
      <w:tblPr>
        <w:tblStyle w:val="Mriekatabuky"/>
        <w:tblW w:w="9212" w:type="dxa"/>
        <w:jc w:val="left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303"/>
        <w:gridCol w:w="2303"/>
        <w:gridCol w:w="2303"/>
        <w:gridCol w:w="2302"/>
      </w:tblGrid>
      <w:tr>
        <w:trPr/>
        <w:tc>
          <w:tcPr>
            <w:tcW w:w="2303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b/>
                <w:sz w:val="20"/>
                <w:szCs w:val="20"/>
              </w:rPr>
            </w:pPr>
            <w:r>
              <w:rPr>
                <w:rFonts w:eastAsia="Calibri" w:cs=""/>
                <w:b/>
                <w:kern w:val="0"/>
                <w:sz w:val="20"/>
                <w:szCs w:val="20"/>
                <w:lang w:val="sk-SK" w:eastAsia="en-US" w:bidi="ar-SA"/>
              </w:rPr>
              <w:t>Dlhodobý hmotný majetok</w:t>
            </w:r>
          </w:p>
        </w:tc>
        <w:tc>
          <w:tcPr>
            <w:tcW w:w="2303" w:type="dxa"/>
            <w:tcBorders/>
            <w:vAlign w:val="center"/>
          </w:tcPr>
          <w:p>
            <w:pPr>
              <w:pStyle w:val="NormalWeb"/>
              <w:widowControl w:val="false"/>
              <w:suppressAutoHyphens w:val="tru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rStyle w:val="Strong"/>
                <w:kern w:val="0"/>
                <w:sz w:val="20"/>
                <w:szCs w:val="20"/>
                <w:lang w:val="sk-SK" w:bidi="ar-SA"/>
              </w:rPr>
              <w:t>Predpokladaná doba používania v rokoch</w:t>
            </w:r>
          </w:p>
        </w:tc>
        <w:tc>
          <w:tcPr>
            <w:tcW w:w="2303" w:type="dxa"/>
            <w:tcBorders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sz w:val="20"/>
                <w:szCs w:val="20"/>
              </w:rPr>
            </w:pPr>
            <w:r>
              <w:rPr>
                <w:rStyle w:val="Strong"/>
                <w:rFonts w:eastAsia="Calibri" w:cs=""/>
                <w:kern w:val="0"/>
                <w:sz w:val="20"/>
                <w:szCs w:val="20"/>
                <w:lang w:val="sk-SK" w:eastAsia="en-US" w:bidi="ar-SA"/>
              </w:rPr>
              <w:t>Metóda odpisovania</w:t>
            </w:r>
          </w:p>
        </w:tc>
        <w:tc>
          <w:tcPr>
            <w:tcW w:w="2302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b/>
                <w:sz w:val="20"/>
                <w:szCs w:val="20"/>
              </w:rPr>
            </w:pPr>
            <w:r>
              <w:rPr>
                <w:rFonts w:eastAsia="Calibri" w:cs=""/>
                <w:b/>
                <w:kern w:val="0"/>
                <w:sz w:val="20"/>
                <w:szCs w:val="20"/>
                <w:lang w:val="sk-SK" w:eastAsia="en-US" w:bidi="ar-SA"/>
              </w:rPr>
              <w:t>Ročná odpisová sadzba v %</w:t>
            </w:r>
          </w:p>
        </w:tc>
      </w:tr>
      <w:tr>
        <w:trPr/>
        <w:tc>
          <w:tcPr>
            <w:tcW w:w="2303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sz w:val="20"/>
                <w:szCs w:val="20"/>
              </w:rPr>
            </w:pPr>
            <w:r>
              <w:rPr>
                <w:rFonts w:eastAsia="Calibri" w:cs=""/>
                <w:kern w:val="0"/>
                <w:sz w:val="20"/>
                <w:szCs w:val="20"/>
                <w:lang w:val="sk-SK" w:eastAsia="en-US" w:bidi="ar-SA"/>
              </w:rPr>
              <w:t>Hmotný majetok</w:t>
            </w:r>
          </w:p>
        </w:tc>
        <w:tc>
          <w:tcPr>
            <w:tcW w:w="2303" w:type="dxa"/>
            <w:tcBorders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rFonts w:eastAsia="Calibri" w:cs=""/>
                <w:kern w:val="0"/>
                <w:sz w:val="20"/>
                <w:szCs w:val="20"/>
                <w:lang w:val="sk-SK" w:eastAsia="en-US" w:bidi="ar-SA"/>
              </w:rPr>
              <w:t>4</w:t>
            </w:r>
          </w:p>
        </w:tc>
        <w:tc>
          <w:tcPr>
            <w:tcW w:w="2303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sz w:val="20"/>
                <w:szCs w:val="20"/>
              </w:rPr>
            </w:pPr>
            <w:r>
              <w:rPr>
                <w:rFonts w:eastAsia="Calibri" w:cs=""/>
                <w:kern w:val="0"/>
                <w:sz w:val="20"/>
                <w:szCs w:val="20"/>
                <w:lang w:val="sk-SK" w:eastAsia="en-US" w:bidi="ar-SA"/>
              </w:rPr>
              <w:t>lineárna</w:t>
            </w:r>
          </w:p>
        </w:tc>
        <w:tc>
          <w:tcPr>
            <w:tcW w:w="2302" w:type="dxa"/>
            <w:tcBorders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rFonts w:eastAsia="Calibri" w:cs=""/>
                <w:kern w:val="0"/>
                <w:sz w:val="20"/>
                <w:szCs w:val="20"/>
                <w:lang w:val="sk-SK" w:eastAsia="en-US" w:bidi="ar-SA"/>
              </w:rPr>
              <w:t>25</w:t>
            </w:r>
          </w:p>
        </w:tc>
      </w:tr>
    </w:tbl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V roku 2024 takýto majetok spoločnosť nemala.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4. Zmeny účtovných zásad a účtovných metód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Účtovná jednotka neuskutočnila zmeny účtovných zásad a účtovných metód. V roku 202</w:t>
      </w:r>
      <w:r>
        <w:rPr>
          <w:sz w:val="20"/>
          <w:szCs w:val="20"/>
        </w:rPr>
        <w:t>3</w:t>
      </w:r>
      <w:r>
        <w:rPr>
          <w:sz w:val="20"/>
          <w:szCs w:val="20"/>
        </w:rPr>
        <w:t xml:space="preserve"> zostavovala účtovnú závierku ako mikro účtovná jednotka a od 1.1.202</w:t>
      </w:r>
      <w:r>
        <w:rPr>
          <w:sz w:val="20"/>
          <w:szCs w:val="20"/>
        </w:rPr>
        <w:t>4</w:t>
      </w:r>
      <w:r>
        <w:rPr>
          <w:sz w:val="20"/>
          <w:szCs w:val="20"/>
        </w:rPr>
        <w:t xml:space="preserve"> sa zatriedila tiež ako mikro účtovná jednotka a zostavuje účtovnú závierku podľa opatrenia MF SR č. MF/15464/2014-74 v znení opatrenia č. MF/18008/2014-74 , a MF/14775/2017-74.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5. Informácie o dotáciách a ich oceňovanie v účtovníctve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Účtovná jednotka nebola prijímateľom dotácií.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6 Informácie o účtovaní významných opráv chýb minulých účtovných období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Účtovná jednotka neúčtovala o opravách chýb.</w:t>
      </w:r>
    </w:p>
    <w:p>
      <w:pPr>
        <w:pStyle w:val="Normal"/>
        <w:ind w:firstLine="4536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>
      <w:pPr>
        <w:pStyle w:val="Normal"/>
        <w:ind w:firstLine="1134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 doplňujú súvahu a výkaz ziskov a strát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1. Informácie o položkách s výnimočným rozsahom, alebo výskytom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Účtovnej jednotke nevznikli prípady s výnimočným rozsahom.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2. Informácie o záväzkoch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a) Záväzky so zostatkovou dobou splatnosti viac ako 5 rokov.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Účtovná jednotka nemá záväzky so zostatkovou lehotou viac ako 5 rokov.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b) Celková suma zabezpečených záväzkov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Účtovná jednotka nemá obsahovú náplň pre túto položku. Spoločnosť vo vykazovanom období neevidovala zabezpečené záväzky, napr. záložným právom.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3. Informácie o vlastných akciách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Účtovná jednotka nemá obsahovú náplň pre túto položku. Účtovná jednotka nemá formu akciovej spoločnosti a nenadobúda vlastné akcie.</w:t>
      </w:r>
    </w:p>
    <w:p>
      <w:pPr>
        <w:pStyle w:val="Normal"/>
        <w:rPr>
          <w:sz w:val="20"/>
          <w:szCs w:val="20"/>
        </w:rPr>
      </w:pPr>
      <w:r>
        <w:rPr/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4. Informácie o orgánoch účtovnej jednotky, a to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a) výške jednotlivých záruk, alebo iných zabezpečení poskytnutých pre členov štatutárneho orgánu, dozorného orgánu alebo iného orgánu účtovnej jednotky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V ú</w:t>
      </w:r>
      <w:r>
        <w:rPr>
          <w:sz w:val="20"/>
          <w:szCs w:val="20"/>
        </w:rPr>
        <w:t>čtovn</w:t>
      </w:r>
      <w:r>
        <w:rPr>
          <w:sz w:val="20"/>
          <w:szCs w:val="20"/>
        </w:rPr>
        <w:t xml:space="preserve">ej </w:t>
      </w:r>
      <w:r>
        <w:rPr>
          <w:sz w:val="20"/>
          <w:szCs w:val="20"/>
        </w:rPr>
        <w:t>jednotk</w:t>
      </w:r>
      <w:r>
        <w:rPr>
          <w:sz w:val="20"/>
          <w:szCs w:val="20"/>
        </w:rPr>
        <w:t>e došlo k predaju 100 % obchodného podiel spoločníkov spoločnosti na nového spoločníka Sonder &amp; Nobleman LLC a zápis do obchodného registra bol 4.1.2025.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 xml:space="preserve">b) pôžičkách poskytnutým členom štatutárneho orgánu, dozorného orgánu alebo iného orgánu účtovnej jednotky. 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Účtovná jednotka nemá obsahovú náplň pre túto položku.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c) hlavných podmienkach záruk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Účtovná jednotka nemá obsahovú náplň pre túto položku.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d) celkovej sume použitých finančných prostriedkov alebo iného plnenia na súkromné účely členmi štatutárneho orgánu, dozorného orgánu alebo iného orgánu účtovnej jednotky.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Účtovná jednotka nemá obsahovú náplň pre túto položku.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e/ kapitálový fond z príspevkov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Účtovná jednotka nevytvorila kapitálový fond z príspevkov.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5. Informácie o povinnostiach účtovnej jednotky, a to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a) celkovej sume finančných povinností, ktoré sa nevykazujú v súvahe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Účtovná jednotka nemá obsahovú náplň pre túto položku.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b) celkovej sume významných podmienených záväzkov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 xml:space="preserve">Účtovná jednotka nemá obsahovú náplň pre túto položku 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c) opise významných finančných povinností a významných podmienených záväzkoch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 xml:space="preserve">Účtovná jednotka nemá obsahovú náplň pre túto položku 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d) opise významných finančných povinností a významných podmienených záväzkoch voči dcérskej spoločnosti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Účtovná jednotka nemá obsahovú náplň pre túto položku.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e) opise významných povinností účtovnej jednotky vyplývajúcich z dôchodkových programov pre zamestnancov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Účtovná jednotka nemá obsahovú náplň pre túto položku.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6. Informácie o udelení výlučného práva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Účtovná jednotka nemá obsahovú náplň pre túto položku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spacing w:before="0" w:after="200"/>
        <w:rPr>
          <w:sz w:val="20"/>
          <w:szCs w:val="20"/>
        </w:rPr>
      </w:pPr>
      <w:r>
        <w:rPr>
          <w:sz w:val="20"/>
          <w:szCs w:val="20"/>
        </w:rPr>
        <w:t>V Košiciach dňa 2.3.202</w:t>
      </w:r>
      <w:r>
        <w:rPr>
          <w:sz w:val="20"/>
          <w:szCs w:val="20"/>
        </w:rPr>
        <w:t>5</w:t>
      </w:r>
    </w:p>
    <w:sectPr>
      <w:headerReference w:type="default" r:id="rId2"/>
      <w:footerReference w:type="default" r:id="rId3"/>
      <w:type w:val="nextPage"/>
      <w:pgSz w:w="11906" w:h="16838"/>
      <w:pgMar w:left="1417" w:right="1417" w:gutter="0" w:header="708" w:top="1417" w:footer="708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2111135194"/>
    </w:sdtPr>
    <w:sdtContent>
      <w:p>
        <w:pPr>
          <w:pStyle w:val="Pta"/>
          <w:jc w:val="center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4</w:t>
        </w:r>
        <w:r>
          <w:rPr/>
          <w:fldChar w:fldCharType="end"/>
        </w:r>
      </w:p>
    </w:sdtContent>
  </w:sdt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before="0" w:after="200"/>
      <w:rPr>
        <w:sz w:val="24"/>
        <w:szCs w:val="24"/>
      </w:rPr>
    </w:pPr>
    <w:r>
      <w:rPr>
        <w:sz w:val="24"/>
        <w:szCs w:val="24"/>
      </w:rPr>
      <w:t>POZNÁMKY Úč MUJ 3-01                         IČO 46798731                                   DIČ2023583936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40"/>
  <w:defaultTabStop w:val="708"/>
  <w:autoHyphenation w:val="true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32"/>
        <w:szCs w:val="3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1d642b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32"/>
      <w:szCs w:val="3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uiPriority w:val="99"/>
    <w:qFormat/>
    <w:rsid w:val="00603589"/>
    <w:rPr/>
  </w:style>
  <w:style w:type="character" w:styleId="PtaChar" w:customStyle="1">
    <w:name w:val="Päta Char"/>
    <w:basedOn w:val="DefaultParagraphFont"/>
    <w:uiPriority w:val="99"/>
    <w:qFormat/>
    <w:rsid w:val="00603589"/>
    <w:rPr/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rsid w:val="00603589"/>
    <w:rPr>
      <w:rFonts w:ascii="Tahoma" w:hAnsi="Tahoma" w:cs="Tahoma"/>
      <w:sz w:val="16"/>
      <w:szCs w:val="16"/>
    </w:rPr>
  </w:style>
  <w:style w:type="character" w:styleId="Strong">
    <w:name w:val="Strong"/>
    <w:basedOn w:val="DefaultParagraphFont"/>
    <w:uiPriority w:val="22"/>
    <w:qFormat/>
    <w:rsid w:val="00f13fa8"/>
    <w:rPr>
      <w:b/>
      <w:bCs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HlavikaChar"/>
    <w:uiPriority w:val="99"/>
    <w:unhideWhenUsed/>
    <w:rsid w:val="00603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603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603589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63f3b"/>
    <w:pPr>
      <w:spacing w:before="0" w:after="200"/>
      <w:ind w:left="720" w:hanging="0"/>
      <w:contextualSpacing/>
    </w:pPr>
    <w:rPr/>
  </w:style>
  <w:style w:type="paragraph" w:styleId="NormalWeb">
    <w:name w:val="Normal (Web)"/>
    <w:basedOn w:val="Normal"/>
    <w:uiPriority w:val="99"/>
    <w:unhideWhenUsed/>
    <w:qFormat/>
    <w:rsid w:val="00f13fa8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sk-SK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59"/>
    <w:rsid w:val="00f76926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7AE7C8A-1613-4EC1-950A-9A3E6C74C3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371</TotalTime>
  <Application>LibreOffice/7.5.5.2$Windows_X86_64 LibreOffice_project/ca8fe7424262805f223b9a2334bc7181abbcbf5e</Application>
  <AppVersion>15.0000</AppVersion>
  <Pages>4</Pages>
  <Words>1116</Words>
  <Characters>6937</Characters>
  <CharactersWithSpaces>8017</CharactersWithSpaces>
  <Paragraphs>101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2023-03-27T16:15:00Z</dcterms:created>
  <dc:creator>Braňo</dc:creator>
  <dc:description/>
  <dc:language>sk-SK</dc:language>
  <cp:lastModifiedBy/>
  <cp:lastPrinted>2023-03-27T16:15:00Z</cp:lastPrinted>
  <dcterms:modified xsi:type="dcterms:W3CDTF">2025-03-02T12:12:04Z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