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59" w:lineRule="auto"/>
        <w:ind w:left="0" w:right="406" w:firstLine="72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59" w:lineRule="auto"/>
        <w:ind w:left="0" w:right="406" w:firstLine="0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92" w:line="259" w:lineRule="auto"/>
        <w:ind w:left="0" w:right="0" w:firstLine="0"/>
        <w:jc w:val="left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83" w:line="259" w:lineRule="auto"/>
        <w:ind w:left="0" w:right="375" w:firstLine="0"/>
        <w:jc w:val="center"/>
        <w:rPr/>
      </w:pPr>
      <w:r w:rsidDel="00000000" w:rsidR="00000000" w:rsidRPr="00000000">
        <w:rPr>
          <w:sz w:val="36"/>
          <w:szCs w:val="3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50" w:lineRule="auto"/>
        <w:ind w:left="-5" w:right="347" w:firstLine="360"/>
        <w:jc w:val="left"/>
        <w:rPr/>
      </w:pPr>
      <w:r w:rsidDel="00000000" w:rsidR="00000000" w:rsidRPr="00000000">
        <w:rPr>
          <w:sz w:val="48"/>
          <w:szCs w:val="48"/>
          <w:rtl w:val="0"/>
        </w:rPr>
        <w:t xml:space="preserve">Účtovná závierka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sz w:val="36"/>
          <w:szCs w:val="3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59" w:lineRule="auto"/>
        <w:ind w:left="0" w:right="3649" w:firstLine="0"/>
        <w:jc w:val="right"/>
        <w:rPr/>
      </w:pPr>
      <w:r w:rsidDel="00000000" w:rsidR="00000000" w:rsidRPr="00000000">
        <w:rPr/>
        <w:drawing>
          <wp:inline distB="0" distT="0" distL="0" distR="0">
            <wp:extent cx="3683000" cy="927100"/>
            <wp:effectExtent b="0" l="0" r="0" t="0"/>
            <wp:docPr id="22945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683000" cy="927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sz w:val="36"/>
          <w:szCs w:val="3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83" w:line="259" w:lineRule="auto"/>
        <w:ind w:left="0" w:right="0" w:firstLine="0"/>
        <w:jc w:val="left"/>
        <w:rPr/>
      </w:pPr>
      <w:r w:rsidDel="00000000" w:rsidR="00000000" w:rsidRPr="00000000">
        <w:rPr>
          <w:sz w:val="36"/>
          <w:szCs w:val="3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50" w:lineRule="auto"/>
        <w:ind w:left="-5" w:right="347" w:firstLine="360"/>
        <w:jc w:val="left"/>
        <w:rPr/>
      </w:pPr>
      <w:r w:rsidDel="00000000" w:rsidR="00000000" w:rsidRPr="00000000">
        <w:rPr>
          <w:sz w:val="48"/>
          <w:szCs w:val="48"/>
          <w:rtl w:val="0"/>
        </w:rPr>
        <w:t xml:space="preserve">k 31. decembru 2024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259" w:lineRule="auto"/>
        <w:ind w:left="0" w:right="386" w:firstLine="0"/>
        <w:jc w:val="center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sz w:val="32"/>
          <w:szCs w:val="32"/>
          <w:rtl w:val="0"/>
        </w:rPr>
        <w:t xml:space="preserve">V Bratislave, 15. marec 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160" w:line="259" w:lineRule="auto"/>
        <w:ind w:left="0" w:right="0" w:firstLine="0"/>
        <w:jc w:val="left"/>
        <w:rPr>
          <w:sz w:val="32"/>
          <w:szCs w:val="3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1"/>
        <w:pageBreakBefore w:val="1"/>
        <w:numPr>
          <w:ilvl w:val="0"/>
          <w:numId w:val="4"/>
        </w:numPr>
        <w:ind w:left="346" w:hanging="360"/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ÚVOD</w:t>
      </w:r>
    </w:p>
    <w:p w:rsidR="00000000" w:rsidDel="00000000" w:rsidP="00000000" w:rsidRDefault="00000000" w:rsidRPr="00000000" w14:paraId="00000020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Nezisková organizácia Repairably n.o. so sídlom: Račianska 1575/78, 831 02 Bratislava, IČO: 50212613 vznikla dňa 26.2.2016 na základe rozhodnutia Okresného úradu v Trnave podľa ustanovenia § 9 ods. 2 zákona č. 213/1997 Z . z. o neziskových organizáciách poskytujúcich všeobecne prospešné služby v platnom znení (ďalej len „</w:t>
      </w:r>
      <w:r w:rsidDel="00000000" w:rsidR="00000000" w:rsidRPr="00000000">
        <w:rPr>
          <w:b w:val="1"/>
          <w:rtl w:val="0"/>
        </w:rPr>
        <w:t xml:space="preserve">Zákon</w:t>
      </w:r>
      <w:r w:rsidDel="00000000" w:rsidR="00000000" w:rsidRPr="00000000">
        <w:rPr>
          <w:rtl w:val="0"/>
        </w:rPr>
        <w:t xml:space="preserve">“). </w:t>
      </w:r>
    </w:p>
    <w:p w:rsidR="00000000" w:rsidDel="00000000" w:rsidP="00000000" w:rsidRDefault="00000000" w:rsidRPr="00000000" w14:paraId="00000022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Repairably, n. o poskytuje nasledovné všeobecne prospešné služby: </w:t>
      </w:r>
    </w:p>
    <w:p w:rsidR="00000000" w:rsidDel="00000000" w:rsidP="00000000" w:rsidRDefault="00000000" w:rsidRPr="00000000" w14:paraId="00000024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vzdelávanie a výchova; </w:t>
      </w:r>
    </w:p>
    <w:p w:rsidR="00000000" w:rsidDel="00000000" w:rsidP="00000000" w:rsidRDefault="00000000" w:rsidRPr="00000000" w14:paraId="00000025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výskum, vývoj, vedecko-technické a informačné služby; </w:t>
      </w:r>
    </w:p>
    <w:p w:rsidR="00000000" w:rsidDel="00000000" w:rsidP="00000000" w:rsidRDefault="00000000" w:rsidRPr="00000000" w14:paraId="00000026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tvorba a ochrana životného prostredia. </w:t>
      </w:r>
    </w:p>
    <w:p w:rsidR="00000000" w:rsidDel="00000000" w:rsidP="00000000" w:rsidRDefault="00000000" w:rsidRPr="00000000" w14:paraId="00000027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Hlavným cieľom Repairably, n.o. je najmä ochrana životného prostredia prostredníctvom zavedenia certifikácie výrobkov, ktoré budú spĺňať podmienky prístupnej a jednoduchej opraviteľnosti a s tým spojenej dlhej životnosti. </w:t>
      </w:r>
    </w:p>
    <w:p w:rsidR="00000000" w:rsidDel="00000000" w:rsidP="00000000" w:rsidRDefault="00000000" w:rsidRPr="00000000" w14:paraId="00000029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Orgánmi neziskovej organizácie sú: </w:t>
      </w:r>
    </w:p>
    <w:p w:rsidR="00000000" w:rsidDel="00000000" w:rsidP="00000000" w:rsidRDefault="00000000" w:rsidRPr="00000000" w14:paraId="0000002B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správna rada </w:t>
      </w:r>
    </w:p>
    <w:p w:rsidR="00000000" w:rsidDel="00000000" w:rsidP="00000000" w:rsidRDefault="00000000" w:rsidRPr="00000000" w14:paraId="0000002C">
      <w:pPr>
        <w:ind w:left="1426" w:right="457" w:firstLine="360"/>
        <w:rPr/>
      </w:pPr>
      <w:r w:rsidDel="00000000" w:rsidR="00000000" w:rsidRPr="00000000">
        <w:rPr>
          <w:rtl w:val="0"/>
        </w:rPr>
        <w:t xml:space="preserve">Ing. Arch. Zuzana Procházková </w:t>
      </w:r>
    </w:p>
    <w:p w:rsidR="00000000" w:rsidDel="00000000" w:rsidP="00000000" w:rsidRDefault="00000000" w:rsidRPr="00000000" w14:paraId="0000002D">
      <w:pPr>
        <w:ind w:left="1426" w:right="457" w:firstLine="360"/>
        <w:rPr/>
      </w:pPr>
      <w:r w:rsidDel="00000000" w:rsidR="00000000" w:rsidRPr="00000000">
        <w:rPr>
          <w:rtl w:val="0"/>
        </w:rPr>
        <w:t xml:space="preserve">Mgr. Peter Janiga </w:t>
      </w:r>
    </w:p>
    <w:p w:rsidR="00000000" w:rsidDel="00000000" w:rsidP="00000000" w:rsidRDefault="00000000" w:rsidRPr="00000000" w14:paraId="0000002E">
      <w:pPr>
        <w:ind w:left="1426" w:right="457" w:firstLine="360"/>
        <w:rPr/>
      </w:pPr>
      <w:r w:rsidDel="00000000" w:rsidR="00000000" w:rsidRPr="00000000">
        <w:rPr>
          <w:rtl w:val="0"/>
        </w:rPr>
        <w:t xml:space="preserve">Ing. Alena Suchánková </w:t>
      </w:r>
    </w:p>
    <w:p w:rsidR="00000000" w:rsidDel="00000000" w:rsidP="00000000" w:rsidRDefault="00000000" w:rsidRPr="00000000" w14:paraId="0000002F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riaditeľ </w:t>
      </w:r>
    </w:p>
    <w:p w:rsidR="00000000" w:rsidDel="00000000" w:rsidP="00000000" w:rsidRDefault="00000000" w:rsidRPr="00000000" w14:paraId="00000030">
      <w:pPr>
        <w:ind w:left="1426" w:right="457" w:firstLine="360"/>
        <w:rPr/>
      </w:pPr>
      <w:r w:rsidDel="00000000" w:rsidR="00000000" w:rsidRPr="00000000">
        <w:rPr>
          <w:rtl w:val="0"/>
        </w:rPr>
        <w:t xml:space="preserve">Ing. Daniela Laluhová </w:t>
      </w:r>
    </w:p>
    <w:p w:rsidR="00000000" w:rsidDel="00000000" w:rsidP="00000000" w:rsidRDefault="00000000" w:rsidRPr="00000000" w14:paraId="00000031">
      <w:pPr>
        <w:numPr>
          <w:ilvl w:val="0"/>
          <w:numId w:val="5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revízor </w:t>
        <w:tab/>
      </w:r>
    </w:p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426" w:right="457" w:firstLine="360"/>
        <w:rPr/>
      </w:pPr>
      <w:r w:rsidDel="00000000" w:rsidR="00000000" w:rsidRPr="00000000">
        <w:rPr>
          <w:rtl w:val="0"/>
        </w:rPr>
        <w:t xml:space="preserve">Mgr. Dušan Leitner</w:t>
      </w:r>
    </w:p>
    <w:p w:rsidR="00000000" w:rsidDel="00000000" w:rsidP="00000000" w:rsidRDefault="00000000" w:rsidRPr="00000000" w14:paraId="00000033">
      <w:pPr>
        <w:spacing w:after="0" w:line="259" w:lineRule="auto"/>
        <w:ind w:right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Style w:val="Heading1"/>
        <w:numPr>
          <w:ilvl w:val="0"/>
          <w:numId w:val="4"/>
        </w:numPr>
        <w:ind w:left="346" w:hanging="360"/>
        <w:rPr>
          <w:smallCaps w:val="1"/>
        </w:rPr>
      </w:pPr>
      <w:bookmarkStart w:colFirst="0" w:colLast="0" w:name="_heading=h.1fob9te" w:id="1"/>
      <w:bookmarkEnd w:id="1"/>
      <w:r w:rsidDel="00000000" w:rsidR="00000000" w:rsidRPr="00000000">
        <w:rPr>
          <w:smallCaps w:val="1"/>
          <w:rtl w:val="0"/>
        </w:rPr>
        <w:t xml:space="preserve">ÚČTOVNÉ ZÁSADY A ÚČTOVNÉ METÓDY</w:t>
      </w:r>
    </w:p>
    <w:p w:rsidR="00000000" w:rsidDel="00000000" w:rsidP="00000000" w:rsidRDefault="00000000" w:rsidRPr="00000000" w14:paraId="00000035">
      <w:pPr>
        <w:keepNext w:val="1"/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1"/>
        <w:spacing w:line="246" w:lineRule="auto"/>
        <w:ind w:left="360" w:right="461" w:hanging="12.000000000000028"/>
        <w:rPr/>
      </w:pPr>
      <w:r w:rsidDel="00000000" w:rsidR="00000000" w:rsidRPr="00000000">
        <w:rPr>
          <w:rtl w:val="0"/>
        </w:rPr>
        <w:t xml:space="preserve">V súlade s § 4 ods. 2 zákona č. 431/2002 Z. z. o účtovníctve v platnom znení Repairably, n.o. účtuje v sústave podvojného účtovníctva.</w:t>
      </w:r>
    </w:p>
    <w:p w:rsidR="00000000" w:rsidDel="00000000" w:rsidP="00000000" w:rsidRDefault="00000000" w:rsidRPr="00000000" w14:paraId="00000037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Súčasťou podanej účtovnej závierky Repairably, n.o. za rok 2024 je Súvaha, Výkaz ziskov a strát a poznámky.</w:t>
      </w:r>
    </w:p>
    <w:p w:rsidR="00000000" w:rsidDel="00000000" w:rsidP="00000000" w:rsidRDefault="00000000" w:rsidRPr="00000000" w14:paraId="00000039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numPr>
          <w:ilvl w:val="0"/>
          <w:numId w:val="6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Účtovná jednotka vznikla v roku 2016. </w:t>
      </w:r>
    </w:p>
    <w:p w:rsidR="00000000" w:rsidDel="00000000" w:rsidP="00000000" w:rsidRDefault="00000000" w:rsidRPr="00000000" w14:paraId="0000003B">
      <w:pPr>
        <w:numPr>
          <w:ilvl w:val="0"/>
          <w:numId w:val="6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Zmeny účtovných zásad a účtovných metód: ÚJ aplikovala účtovné zásady a metódy v súlade so zákonom č. v zmysle zákona 431/2002 Z.z. o účtovníctve, v zmysle Postupov účtovania pre neziskové organizácie – nemá obsahovú náplň</w:t>
      </w:r>
    </w:p>
    <w:p w:rsidR="00000000" w:rsidDel="00000000" w:rsidP="00000000" w:rsidRDefault="00000000" w:rsidRPr="00000000" w14:paraId="0000003C">
      <w:pPr>
        <w:numPr>
          <w:ilvl w:val="0"/>
          <w:numId w:val="6"/>
        </w:numPr>
        <w:ind w:left="705" w:right="457" w:hanging="360"/>
        <w:rPr/>
      </w:pPr>
      <w:r w:rsidDel="00000000" w:rsidR="00000000" w:rsidRPr="00000000">
        <w:rPr>
          <w:rtl w:val="0"/>
        </w:rPr>
        <w:t xml:space="preserve">Oceňovanie jednotlivých zložiek majetku a záväzkov, pre ktoré má ÚJ obsahovú náplň: </w:t>
      </w:r>
    </w:p>
    <w:p w:rsidR="00000000" w:rsidDel="00000000" w:rsidP="00000000" w:rsidRDefault="00000000" w:rsidRPr="00000000" w14:paraId="0000003D">
      <w:pPr>
        <w:spacing w:after="0" w:line="259" w:lineRule="auto"/>
        <w:ind w:left="72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64.0" w:type="dxa"/>
        <w:jc w:val="left"/>
        <w:tblInd w:w="5.0" w:type="dxa"/>
        <w:tblLayout w:type="fixed"/>
        <w:tblLook w:val="0400"/>
      </w:tblPr>
      <w:tblGrid>
        <w:gridCol w:w="4527"/>
        <w:gridCol w:w="4537"/>
        <w:tblGridChange w:id="0">
          <w:tblGrid>
            <w:gridCol w:w="4527"/>
            <w:gridCol w:w="4537"/>
          </w:tblGrid>
        </w:tblGridChange>
      </w:tblGrid>
      <w:tr>
        <w:trPr>
          <w:cantSplit w:val="0"/>
          <w:trHeight w:val="3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E">
            <w:pPr>
              <w:spacing w:line="259" w:lineRule="auto"/>
              <w:ind w:left="27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spacing w:line="259" w:lineRule="auto"/>
              <w:ind w:left="24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Spôsob oceňovania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0">
            <w:pPr>
              <w:spacing w:line="259" w:lineRule="auto"/>
              <w:ind w:left="0" w:right="0" w:firstLine="0"/>
              <w:rPr/>
            </w:pPr>
            <w:r w:rsidDel="00000000" w:rsidR="00000000" w:rsidRPr="00000000">
              <w:rPr>
                <w:rtl w:val="0"/>
              </w:rPr>
              <w:t xml:space="preserve">Krátkodobý finančný majetok – peniaze: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Pohľadávky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30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Záväzky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</w:tbl>
    <w:p w:rsidR="00000000" w:rsidDel="00000000" w:rsidP="00000000" w:rsidRDefault="00000000" w:rsidRPr="00000000" w14:paraId="00000046">
      <w:pPr>
        <w:spacing w:after="2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pStyle w:val="Heading2"/>
        <w:tabs>
          <w:tab w:val="center" w:leader="none" w:pos="2228"/>
          <w:tab w:val="center" w:leader="none" w:pos="5129"/>
        </w:tabs>
        <w:ind w:left="0" w:firstLine="0"/>
        <w:jc w:val="left"/>
        <w:rPr/>
      </w:pPr>
      <w:r w:rsidDel="00000000" w:rsidR="00000000" w:rsidRPr="00000000">
        <w:rPr>
          <w:b w:val="0"/>
          <w:rtl w:val="0"/>
        </w:rPr>
        <w:tab/>
      </w:r>
      <w:r w:rsidDel="00000000" w:rsidR="00000000" w:rsidRPr="00000000">
        <w:rPr>
          <w:rtl w:val="0"/>
        </w:rPr>
        <w:t xml:space="preserve">I.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  <w:tab/>
      </w:r>
      <w:r w:rsidDel="00000000" w:rsidR="00000000" w:rsidRPr="00000000">
        <w:rPr>
          <w:rtl w:val="0"/>
        </w:rPr>
        <w:t xml:space="preserve">Doplňujúce informácie k položkám Súvahy </w:t>
      </w:r>
    </w:p>
    <w:p w:rsidR="00000000" w:rsidDel="00000000" w:rsidP="00000000" w:rsidRDefault="00000000" w:rsidRPr="00000000" w14:paraId="00000048">
      <w:pPr>
        <w:numPr>
          <w:ilvl w:val="0"/>
          <w:numId w:val="1"/>
        </w:numPr>
        <w:ind w:left="643" w:right="457" w:hanging="360"/>
        <w:rPr/>
      </w:pPr>
      <w:r w:rsidDel="00000000" w:rsidR="00000000" w:rsidRPr="00000000">
        <w:rPr>
          <w:rtl w:val="0"/>
        </w:rPr>
        <w:t xml:space="preserve">Krátkodobý finančný majetok – peniaze na účte v banke a v hotovosti </w:t>
      </w:r>
    </w:p>
    <w:tbl>
      <w:tblPr>
        <w:tblStyle w:val="Table2"/>
        <w:tblW w:w="9223.0" w:type="dxa"/>
        <w:jc w:val="left"/>
        <w:tblInd w:w="-72.0" w:type="dxa"/>
        <w:tblLayout w:type="fixed"/>
        <w:tblLook w:val="0400"/>
      </w:tblPr>
      <w:tblGrid>
        <w:gridCol w:w="3620"/>
        <w:gridCol w:w="2694"/>
        <w:gridCol w:w="2909"/>
        <w:tblGridChange w:id="0">
          <w:tblGrid>
            <w:gridCol w:w="3620"/>
            <w:gridCol w:w="2694"/>
            <w:gridCol w:w="2909"/>
          </w:tblGrid>
        </w:tblGridChange>
      </w:tblGrid>
      <w:tr>
        <w:trPr>
          <w:cantSplit w:val="0"/>
          <w:trHeight w:val="502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line="259" w:lineRule="auto"/>
              <w:ind w:left="0" w:right="15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4B">
            <w:pPr>
              <w:spacing w:after="2" w:line="237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Pokladnica, ceniny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D">
            <w:pPr>
              <w:spacing w:line="259" w:lineRule="auto"/>
              <w:ind w:left="0" w:right="17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E">
            <w:pPr>
              <w:spacing w:line="259" w:lineRule="auto"/>
              <w:ind w:left="0" w:right="18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</w:tr>
      <w:tr>
        <w:trPr>
          <w:cantSplit w:val="0"/>
          <w:trHeight w:val="67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4F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Bežné účty v banke alebo </w:t>
            </w:r>
          </w:p>
          <w:p w:rsidR="00000000" w:rsidDel="00000000" w:rsidP="00000000" w:rsidRDefault="00000000" w:rsidRPr="00000000" w14:paraId="00000050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 pobočke zahraničnej banky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1">
            <w:pPr>
              <w:spacing w:line="259" w:lineRule="auto"/>
              <w:ind w:left="101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2 877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2">
            <w:pPr>
              <w:spacing w:line="259" w:lineRule="auto"/>
              <w:ind w:left="97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2 984</w:t>
            </w:r>
          </w:p>
        </w:tc>
      </w:tr>
      <w:tr>
        <w:trPr>
          <w:cantSplit w:val="0"/>
          <w:trHeight w:val="44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3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spacing w:line="259" w:lineRule="auto"/>
              <w:ind w:left="100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2 881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spacing w:line="259" w:lineRule="auto"/>
              <w:ind w:left="98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2 988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1"/>
        <w:numPr>
          <w:ilvl w:val="0"/>
          <w:numId w:val="1"/>
        </w:numPr>
        <w:ind w:left="648" w:right="457" w:hanging="360"/>
        <w:rPr/>
      </w:pPr>
      <w:r w:rsidDel="00000000" w:rsidR="00000000" w:rsidRPr="00000000">
        <w:rPr>
          <w:rtl w:val="0"/>
        </w:rPr>
        <w:t xml:space="preserve">Rozdelenie účtovného zisku za minulé účtovné obdobie: </w:t>
      </w:r>
    </w:p>
    <w:p w:rsidR="00000000" w:rsidDel="00000000" w:rsidP="00000000" w:rsidRDefault="00000000" w:rsidRPr="00000000" w14:paraId="00000058">
      <w:pPr>
        <w:keepNext w:val="1"/>
        <w:spacing w:after="0" w:line="259" w:lineRule="auto"/>
        <w:ind w:left="648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pStyle w:val="Heading2"/>
        <w:ind w:left="-5" w:firstLine="226"/>
        <w:jc w:val="left"/>
        <w:rPr/>
      </w:pPr>
      <w:r w:rsidDel="00000000" w:rsidR="00000000" w:rsidRPr="00000000">
        <w:rPr>
          <w:rtl w:val="0"/>
        </w:rPr>
        <w:t xml:space="preserve">Tabuľka o rozdelení účtovného zisku alebo vysporiadaní účtovnej straty</w:t>
      </w:r>
      <w:r w:rsidDel="00000000" w:rsidR="00000000" w:rsidRPr="00000000">
        <w:rPr>
          <w:b w:val="0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3"/>
        <w:tblW w:w="9290.0" w:type="dxa"/>
        <w:jc w:val="left"/>
        <w:tblInd w:w="5.0" w:type="dxa"/>
        <w:tblLayout w:type="fixed"/>
        <w:tblLook w:val="0400"/>
      </w:tblPr>
      <w:tblGrid>
        <w:gridCol w:w="5274"/>
        <w:gridCol w:w="4016"/>
        <w:tblGridChange w:id="0">
          <w:tblGrid>
            <w:gridCol w:w="5274"/>
            <w:gridCol w:w="4016"/>
          </w:tblGrid>
        </w:tblGridChange>
      </w:tblGrid>
      <w:tr>
        <w:trPr>
          <w:cantSplit w:val="0"/>
          <w:trHeight w:val="84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A">
            <w:pPr>
              <w:spacing w:line="259" w:lineRule="auto"/>
              <w:ind w:left="101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B">
            <w:pPr>
              <w:spacing w:line="259" w:lineRule="auto"/>
              <w:ind w:left="355" w:right="616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C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Účtovný zisk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D">
            <w:pPr>
              <w:spacing w:line="259" w:lineRule="auto"/>
              <w:ind w:left="98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389</w:t>
            </w:r>
          </w:p>
        </w:tc>
      </w:tr>
      <w:tr>
        <w:trPr>
          <w:cantSplit w:val="0"/>
          <w:trHeight w:val="37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E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0">
            <w:pPr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Prevod do nevysporiadaného výsledku hospodárenia minulých rokov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spacing w:line="259" w:lineRule="auto"/>
              <w:ind w:left="98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389</w:t>
            </w:r>
          </w:p>
        </w:tc>
      </w:tr>
    </w:tbl>
    <w:p w:rsidR="00000000" w:rsidDel="00000000" w:rsidP="00000000" w:rsidRDefault="00000000" w:rsidRPr="00000000" w14:paraId="00000062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pStyle w:val="Heading2"/>
        <w:tabs>
          <w:tab w:val="center" w:leader="none" w:pos="1397"/>
          <w:tab w:val="center" w:leader="none" w:pos="5130"/>
        </w:tabs>
        <w:ind w:left="0" w:firstLine="0"/>
        <w:jc w:val="left"/>
        <w:rPr/>
      </w:pPr>
      <w:r w:rsidDel="00000000" w:rsidR="00000000" w:rsidRPr="00000000">
        <w:rPr>
          <w:b w:val="0"/>
          <w:rtl w:val="0"/>
        </w:rPr>
        <w:tab/>
      </w:r>
      <w:r w:rsidDel="00000000" w:rsidR="00000000" w:rsidRPr="00000000">
        <w:rPr>
          <w:rtl w:val="0"/>
        </w:rPr>
        <w:t xml:space="preserve">II.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  <w:tab/>
      </w:r>
      <w:r w:rsidDel="00000000" w:rsidR="00000000" w:rsidRPr="00000000">
        <w:rPr>
          <w:rtl w:val="0"/>
        </w:rPr>
        <w:t xml:space="preserve">Doplňujúce informácie k položkám Výkazu ziskov a strát </w:t>
      </w:r>
    </w:p>
    <w:p w:rsidR="00000000" w:rsidDel="00000000" w:rsidP="00000000" w:rsidRDefault="00000000" w:rsidRPr="00000000" w14:paraId="00000064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numPr>
          <w:ilvl w:val="0"/>
          <w:numId w:val="2"/>
        </w:numPr>
        <w:ind w:left="643" w:right="457" w:hanging="360"/>
        <w:rPr/>
      </w:pPr>
      <w:r w:rsidDel="00000000" w:rsidR="00000000" w:rsidRPr="00000000">
        <w:rPr>
          <w:rtl w:val="0"/>
        </w:rPr>
        <w:t xml:space="preserve">Tržby za vlastné výkony – 145€ </w:t>
      </w:r>
    </w:p>
    <w:p w:rsidR="00000000" w:rsidDel="00000000" w:rsidP="00000000" w:rsidRDefault="00000000" w:rsidRPr="00000000" w14:paraId="00000066">
      <w:pPr>
        <w:numPr>
          <w:ilvl w:val="0"/>
          <w:numId w:val="2"/>
        </w:numPr>
        <w:ind w:left="643" w:right="457" w:hanging="360"/>
        <w:rPr/>
      </w:pPr>
      <w:r w:rsidDel="00000000" w:rsidR="00000000" w:rsidRPr="00000000">
        <w:rPr>
          <w:rtl w:val="0"/>
        </w:rPr>
        <w:t xml:space="preserve">Prijaté dary, ostatné výnosy: ÚJ prijala 2% zo zisku vo výške 392€ </w:t>
      </w:r>
    </w:p>
    <w:p w:rsidR="00000000" w:rsidDel="00000000" w:rsidP="00000000" w:rsidRDefault="00000000" w:rsidRPr="00000000" w14:paraId="00000067">
      <w:pPr>
        <w:numPr>
          <w:ilvl w:val="0"/>
          <w:numId w:val="2"/>
        </w:numPr>
        <w:ind w:left="643" w:right="457" w:hanging="360"/>
        <w:rPr/>
      </w:pPr>
      <w:r w:rsidDel="00000000" w:rsidR="00000000" w:rsidRPr="00000000">
        <w:rPr>
          <w:rtl w:val="0"/>
        </w:rPr>
        <w:t xml:space="preserve">Významné položky nákladov: </w:t>
      </w:r>
    </w:p>
    <w:p w:rsidR="00000000" w:rsidDel="00000000" w:rsidP="00000000" w:rsidRDefault="00000000" w:rsidRPr="00000000" w14:paraId="00000068">
      <w:pPr>
        <w:ind w:left="643" w:right="457" w:firstLine="0"/>
        <w:rPr/>
      </w:pPr>
      <w:r w:rsidDel="00000000" w:rsidR="00000000" w:rsidRPr="00000000">
        <w:rPr>
          <w:rtl w:val="0"/>
        </w:rPr>
      </w:r>
    </w:p>
    <w:tbl>
      <w:tblPr>
        <w:tblStyle w:val="Table4"/>
        <w:tblW w:w="9045.0" w:type="dxa"/>
        <w:jc w:val="left"/>
        <w:tblInd w:w="14.0" w:type="dxa"/>
        <w:tblLayout w:type="fixed"/>
        <w:tblLook w:val="0400"/>
      </w:tblPr>
      <w:tblGrid>
        <w:gridCol w:w="2941"/>
        <w:gridCol w:w="2880"/>
        <w:gridCol w:w="3224"/>
        <w:tblGridChange w:id="0">
          <w:tblGrid>
            <w:gridCol w:w="2941"/>
            <w:gridCol w:w="2880"/>
            <w:gridCol w:w="3224"/>
          </w:tblGrid>
        </w:tblGridChange>
      </w:tblGrid>
      <w:tr>
        <w:trPr>
          <w:cantSplit w:val="0"/>
          <w:trHeight w:val="97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9">
            <w:pPr>
              <w:spacing w:line="259" w:lineRule="auto"/>
              <w:ind w:left="29" w:right="0" w:firstLine="0"/>
              <w:rPr/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A">
            <w:pPr>
              <w:tabs>
                <w:tab w:val="center" w:leader="none" w:pos="1219"/>
              </w:tabs>
              <w:spacing w:line="259" w:lineRule="auto"/>
              <w:ind w:left="-26" w:right="0" w:firstLine="0"/>
              <w:jc w:val="center"/>
              <w:rPr/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6B">
            <w:pPr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6C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Nájom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6D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  <w:t xml:space="preserve">252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6E">
            <w:pPr>
              <w:tabs>
                <w:tab w:val="right" w:leader="none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  <w:t xml:space="preserve">513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6F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Notárske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0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  <w:t xml:space="preserve">83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1">
            <w:pPr>
              <w:tabs>
                <w:tab w:val="right" w:leader="none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  <w:t xml:space="preserve">63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2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Webové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3">
            <w:pPr>
              <w:spacing w:line="259" w:lineRule="auto"/>
              <w:ind w:left="0" w:right="27" w:firstLine="0"/>
              <w:jc w:val="center"/>
              <w:rPr/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4">
            <w:pPr>
              <w:tabs>
                <w:tab w:val="right" w:leader="none" w:pos="4952"/>
              </w:tabs>
              <w:spacing w:line="259" w:lineRule="auto"/>
              <w:ind w:left="-26" w:right="0" w:firstLine="0"/>
              <w:jc w:val="center"/>
              <w:rPr/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43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75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Národná cena za dizajn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76">
            <w:pPr>
              <w:spacing w:line="259" w:lineRule="auto"/>
              <w:ind w:left="0" w:right="23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7">
            <w:pPr>
              <w:tabs>
                <w:tab w:val="right" w:leader="none" w:pos="4952"/>
              </w:tabs>
              <w:spacing w:line="259" w:lineRule="auto"/>
              <w:ind w:left="-26" w:right="0" w:firstLine="0"/>
              <w:jc w:val="center"/>
              <w:rPr/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350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6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Ostatné služby a spotreba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spacing w:line="259" w:lineRule="auto"/>
              <w:ind w:left="0" w:right="23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7A">
            <w:pPr>
              <w:tabs>
                <w:tab w:val="right" w:leader="none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  <w:t xml:space="preserve">90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B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numPr>
          <w:ilvl w:val="0"/>
          <w:numId w:val="2"/>
        </w:numPr>
        <w:ind w:left="643" w:right="457" w:hanging="360"/>
        <w:rPr/>
      </w:pPr>
      <w:r w:rsidDel="00000000" w:rsidR="00000000" w:rsidRPr="00000000">
        <w:rPr>
          <w:rtl w:val="0"/>
        </w:rPr>
        <w:t xml:space="preserve">Finančné náklady – bankové poplatky v sume 121 EUR </w:t>
      </w:r>
    </w:p>
    <w:p w:rsidR="00000000" w:rsidDel="00000000" w:rsidP="00000000" w:rsidRDefault="00000000" w:rsidRPr="00000000" w14:paraId="0000007D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1"/>
        <w:tabs>
          <w:tab w:val="center" w:leader="none" w:pos="3569"/>
          <w:tab w:val="center" w:leader="none" w:pos="5132"/>
        </w:tabs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ab/>
      </w:r>
      <w:r w:rsidDel="00000000" w:rsidR="00000000" w:rsidRPr="00000000">
        <w:rPr>
          <w:b w:val="1"/>
          <w:rtl w:val="0"/>
        </w:rPr>
        <w:t xml:space="preserve">III.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</w:t>
        <w:tab/>
      </w:r>
      <w:r w:rsidDel="00000000" w:rsidR="00000000" w:rsidRPr="00000000">
        <w:rPr>
          <w:b w:val="1"/>
          <w:rtl w:val="0"/>
        </w:rPr>
        <w:t xml:space="preserve">Podsúvahové účty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1"/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ind w:left="270" w:right="457" w:firstLine="360"/>
        <w:rPr/>
      </w:pPr>
      <w:r w:rsidDel="00000000" w:rsidR="00000000" w:rsidRPr="00000000">
        <w:rPr>
          <w:rtl w:val="0"/>
        </w:rPr>
        <w:t xml:space="preserve">Účtovná jednotka neúčtovala na podsúvahových účtoch. </w:t>
      </w:r>
    </w:p>
    <w:p w:rsidR="00000000" w:rsidDel="00000000" w:rsidP="00000000" w:rsidRDefault="00000000" w:rsidRPr="00000000" w14:paraId="00000081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pStyle w:val="Heading2"/>
        <w:tabs>
          <w:tab w:val="center" w:leader="none" w:pos="3618"/>
          <w:tab w:val="center" w:leader="none" w:pos="5130"/>
        </w:tabs>
        <w:ind w:left="0" w:firstLine="0"/>
        <w:jc w:val="left"/>
        <w:rPr/>
      </w:pPr>
      <w:r w:rsidDel="00000000" w:rsidR="00000000" w:rsidRPr="00000000">
        <w:rPr>
          <w:b w:val="0"/>
          <w:rtl w:val="0"/>
        </w:rPr>
        <w:tab/>
      </w:r>
      <w:r w:rsidDel="00000000" w:rsidR="00000000" w:rsidRPr="00000000">
        <w:rPr>
          <w:rtl w:val="0"/>
        </w:rPr>
        <w:t xml:space="preserve">IV.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  <w:tab/>
      </w:r>
      <w:r w:rsidDel="00000000" w:rsidR="00000000" w:rsidRPr="00000000">
        <w:rPr>
          <w:rtl w:val="0"/>
        </w:rPr>
        <w:t xml:space="preserve">Ďalšie informácie </w:t>
      </w:r>
    </w:p>
    <w:p w:rsidR="00000000" w:rsidDel="00000000" w:rsidP="00000000" w:rsidRDefault="00000000" w:rsidRPr="00000000" w14:paraId="00000083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numPr>
          <w:ilvl w:val="0"/>
          <w:numId w:val="3"/>
        </w:numPr>
        <w:ind w:left="360" w:right="457" w:firstLine="0"/>
        <w:rPr/>
      </w:pPr>
      <w:r w:rsidDel="00000000" w:rsidR="00000000" w:rsidRPr="00000000">
        <w:rPr>
          <w:rtl w:val="0"/>
        </w:rPr>
        <w:t xml:space="preserve">Podmienené záväzky – nemá obsahovú náplň </w:t>
      </w:r>
    </w:p>
    <w:p w:rsidR="00000000" w:rsidDel="00000000" w:rsidP="00000000" w:rsidRDefault="00000000" w:rsidRPr="00000000" w14:paraId="00000085">
      <w:pPr>
        <w:numPr>
          <w:ilvl w:val="0"/>
          <w:numId w:val="3"/>
        </w:numPr>
        <w:spacing w:after="0" w:line="239" w:lineRule="auto"/>
        <w:ind w:left="720" w:right="457" w:hanging="360"/>
        <w:rPr/>
      </w:pPr>
      <w:r w:rsidDel="00000000" w:rsidR="00000000" w:rsidRPr="00000000">
        <w:rPr>
          <w:rtl w:val="0"/>
        </w:rPr>
        <w:t xml:space="preserve">Informácie o skutočnostiach, ktoré nastali po dni, ku ktorému sa zostavuje účtovná závierka, do dňa zostavenia účtovnej závierky – Po 31. decembri 2024 nenastali žiadne udalosti, ktoré by si vyžadovali zverejnenie alebo vykázanie v účtovnej závierke za rok 2024.</w:t>
      </w:r>
    </w:p>
    <w:p w:rsidR="00000000" w:rsidDel="00000000" w:rsidP="00000000" w:rsidRDefault="00000000" w:rsidRPr="00000000" w14:paraId="00000086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pStyle w:val="Heading1"/>
        <w:numPr>
          <w:ilvl w:val="0"/>
          <w:numId w:val="4"/>
        </w:numPr>
        <w:ind w:left="346" w:hanging="360"/>
        <w:rPr/>
      </w:pPr>
      <w:bookmarkStart w:colFirst="0" w:colLast="0" w:name="_heading=h.2et92p0" w:id="2"/>
      <w:bookmarkEnd w:id="2"/>
      <w:r w:rsidDel="00000000" w:rsidR="00000000" w:rsidRPr="00000000">
        <w:rPr>
          <w:rtl w:val="0"/>
        </w:rPr>
        <w:t xml:space="preserve">PREHĽAD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O PEŇAŽNÝCH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PRÍJMOCH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A VÝDAVKOCH</w:t>
      </w:r>
      <w:r w:rsidDel="00000000" w:rsidR="00000000" w:rsidRPr="00000000">
        <w:rPr>
          <w:b w:val="0"/>
          <w:u w:val="no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keepNext w:val="1"/>
        <w:keepLines w:val="1"/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5"/>
        <w:tblW w:w="8774.0" w:type="dxa"/>
        <w:jc w:val="left"/>
        <w:tblInd w:w="473.0" w:type="dxa"/>
        <w:tblLayout w:type="fixed"/>
        <w:tblLook w:val="0400"/>
      </w:tblPr>
      <w:tblGrid>
        <w:gridCol w:w="872"/>
        <w:gridCol w:w="2054"/>
        <w:gridCol w:w="1702"/>
        <w:gridCol w:w="1844"/>
        <w:gridCol w:w="2302"/>
        <w:tblGridChange w:id="0">
          <w:tblGrid>
            <w:gridCol w:w="872"/>
            <w:gridCol w:w="2054"/>
            <w:gridCol w:w="1702"/>
            <w:gridCol w:w="1844"/>
            <w:gridCol w:w="2302"/>
          </w:tblGrid>
        </w:tblGridChange>
      </w:tblGrid>
      <w:tr>
        <w:trPr>
          <w:cantSplit w:val="0"/>
          <w:trHeight w:val="86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9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A">
            <w:pPr>
              <w:keepNext w:val="1"/>
              <w:keepLines w:val="1"/>
              <w:spacing w:line="259" w:lineRule="auto"/>
              <w:ind w:left="115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 začiatku 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B">
            <w:pPr>
              <w:keepNext w:val="1"/>
              <w:keepLines w:val="1"/>
              <w:spacing w:line="259" w:lineRule="auto"/>
              <w:ind w:left="2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Príjmy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C">
            <w:pPr>
              <w:keepNext w:val="1"/>
              <w:keepLines w:val="1"/>
              <w:spacing w:line="259" w:lineRule="auto"/>
              <w:ind w:left="0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Výdavky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D">
            <w:pPr>
              <w:keepNext w:val="1"/>
              <w:keepLines w:val="1"/>
              <w:spacing w:line="259" w:lineRule="auto"/>
              <w:ind w:left="106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 konci bežného účtovného obdobia</w:t>
            </w:r>
          </w:p>
        </w:tc>
      </w:tr>
      <w:tr>
        <w:trPr>
          <w:cantSplit w:val="0"/>
          <w:trHeight w:val="3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E">
            <w:pPr>
              <w:keepNext w:val="1"/>
              <w:keepLines w:val="1"/>
              <w:spacing w:line="259" w:lineRule="auto"/>
              <w:ind w:left="2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Celkom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F">
            <w:pPr>
              <w:keepNext w:val="1"/>
              <w:keepLines w:val="1"/>
              <w:spacing w:line="259" w:lineRule="auto"/>
              <w:ind w:left="17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2 988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0">
            <w:pPr>
              <w:keepNext w:val="1"/>
              <w:keepLines w:val="1"/>
              <w:spacing w:line="259" w:lineRule="auto"/>
              <w:ind w:left="14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392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1">
            <w:pPr>
              <w:keepNext w:val="1"/>
              <w:keepLines w:val="1"/>
              <w:spacing w:line="259" w:lineRule="auto"/>
              <w:ind w:left="10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499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keepNext w:val="1"/>
              <w:keepLines w:val="1"/>
              <w:spacing w:line="259" w:lineRule="auto"/>
              <w:ind w:left="13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2 881</w:t>
            </w:r>
          </w:p>
        </w:tc>
      </w:tr>
    </w:tbl>
    <w:p w:rsidR="00000000" w:rsidDel="00000000" w:rsidP="00000000" w:rsidRDefault="00000000" w:rsidRPr="00000000" w14:paraId="00000093">
      <w:pPr>
        <w:keepNext w:val="1"/>
        <w:keepLines w:val="1"/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4">
      <w:pPr>
        <w:spacing w:after="88" w:lineRule="auto"/>
        <w:ind w:left="355" w:right="457" w:firstLine="360"/>
        <w:rPr/>
      </w:pPr>
      <w:r w:rsidDel="00000000" w:rsidR="00000000" w:rsidRPr="00000000">
        <w:rPr>
          <w:rtl w:val="0"/>
        </w:rPr>
        <w:t xml:space="preserve">Zdroj príjmov a náklady sú bližšie špecifikované v časti II., Doplňujúce informácie k položkám Výkazu ziskov a strát. </w:t>
      </w:r>
    </w:p>
    <w:p w:rsidR="00000000" w:rsidDel="00000000" w:rsidP="00000000" w:rsidRDefault="00000000" w:rsidRPr="00000000" w14:paraId="00000095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pStyle w:val="Heading1"/>
        <w:numPr>
          <w:ilvl w:val="0"/>
          <w:numId w:val="4"/>
        </w:numPr>
        <w:ind w:left="346" w:hanging="360"/>
        <w:rPr/>
      </w:pPr>
      <w:bookmarkStart w:colFirst="0" w:colLast="0" w:name="_heading=h.tyjcwt" w:id="3"/>
      <w:bookmarkEnd w:id="3"/>
      <w:r w:rsidDel="00000000" w:rsidR="00000000" w:rsidRPr="00000000">
        <w:rPr>
          <w:rtl w:val="0"/>
        </w:rPr>
        <w:t xml:space="preserve">STAV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A POHYB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MAJETKU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A ZÁVÄZKOV</w:t>
      </w:r>
      <w:r w:rsidDel="00000000" w:rsidR="00000000" w:rsidRPr="00000000">
        <w:rPr>
          <w:sz w:val="26"/>
          <w:szCs w:val="26"/>
          <w:u w:val="none"/>
          <w:rtl w:val="0"/>
        </w:rPr>
        <w:t xml:space="preserve"> </w:t>
      </w:r>
      <w:r w:rsidDel="00000000" w:rsidR="00000000" w:rsidRPr="00000000">
        <w:rPr>
          <w:rtl w:val="0"/>
        </w:rPr>
        <w:t xml:space="preserve">ORGANIZÁCIE</w:t>
      </w:r>
      <w:r w:rsidDel="00000000" w:rsidR="00000000" w:rsidRPr="00000000">
        <w:rPr>
          <w:b w:val="0"/>
          <w:u w:val="no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Stav vlastných zdrojov krytia k 31.12.2024 predstavuje sumu 3 026 EUR. </w:t>
      </w:r>
    </w:p>
    <w:p w:rsidR="00000000" w:rsidDel="00000000" w:rsidP="00000000" w:rsidRDefault="00000000" w:rsidRPr="00000000" w14:paraId="00000099">
      <w:pPr>
        <w:spacing w:after="0" w:line="259" w:lineRule="auto"/>
        <w:ind w:left="360" w:righ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A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B">
      <w:pPr>
        <w:pStyle w:val="Heading2"/>
        <w:ind w:left="0" w:hanging="14"/>
        <w:jc w:val="left"/>
        <w:rPr/>
      </w:pPr>
      <w:r w:rsidDel="00000000" w:rsidR="00000000" w:rsidRPr="00000000">
        <w:rPr>
          <w:rtl w:val="0"/>
        </w:rPr>
        <w:t xml:space="preserve">Tabuľka o zmenách vlastných zdrojov krytia neobežného majetku a obežného majetku</w:t>
      </w:r>
    </w:p>
    <w:tbl>
      <w:tblPr>
        <w:tblStyle w:val="Table6"/>
        <w:tblW w:w="9060.0" w:type="dxa"/>
        <w:jc w:val="left"/>
        <w:tblInd w:w="5.0" w:type="dxa"/>
        <w:tblLayout w:type="fixed"/>
        <w:tblLook w:val="0400"/>
      </w:tblPr>
      <w:tblGrid>
        <w:gridCol w:w="2340"/>
        <w:gridCol w:w="1575"/>
        <w:gridCol w:w="120"/>
        <w:gridCol w:w="1140"/>
        <w:gridCol w:w="1050"/>
        <w:gridCol w:w="1170"/>
        <w:gridCol w:w="1665"/>
        <w:tblGridChange w:id="0">
          <w:tblGrid>
            <w:gridCol w:w="2340"/>
            <w:gridCol w:w="1575"/>
            <w:gridCol w:w="120"/>
            <w:gridCol w:w="1140"/>
            <w:gridCol w:w="1050"/>
            <w:gridCol w:w="1170"/>
            <w:gridCol w:w="1665"/>
          </w:tblGrid>
        </w:tblGridChange>
      </w:tblGrid>
      <w:tr>
        <w:trPr>
          <w:cantSplit w:val="0"/>
          <w:trHeight w:val="8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C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D">
            <w:pPr>
              <w:keepNext w:val="1"/>
              <w:keepLines w:val="1"/>
              <w:spacing w:line="259" w:lineRule="auto"/>
              <w:ind w:left="115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Stav na začiatku bežného účtovného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keepNext w:val="1"/>
              <w:keepLines w:val="1"/>
              <w:spacing w:line="259" w:lineRule="auto"/>
              <w:ind w:left="0" w:right="0" w:firstLine="6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0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keepNext w:val="1"/>
              <w:keepLines w:val="1"/>
              <w:spacing w:line="259" w:lineRule="auto"/>
              <w:ind w:left="0" w:right="6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(+)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2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3">
            <w:pPr>
              <w:keepNext w:val="1"/>
              <w:keepLines w:val="1"/>
              <w:spacing w:line="259" w:lineRule="auto"/>
              <w:ind w:left="0" w:right="64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(-)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4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Presuny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keepNext w:val="1"/>
              <w:keepLines w:val="1"/>
              <w:spacing w:line="259" w:lineRule="auto"/>
              <w:ind w:left="0" w:right="63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(+, -)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6">
            <w:pPr>
              <w:keepNext w:val="1"/>
              <w:keepLines w:val="1"/>
              <w:spacing w:line="259" w:lineRule="auto"/>
              <w:ind w:left="106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Stav na konci bežného účtovného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7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obdobia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1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A8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Fondy zo zisku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AA">
            <w:pPr>
              <w:keepNext w:val="1"/>
              <w:keepLines w:val="1"/>
              <w:spacing w:after="160"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AC">
            <w:pPr>
              <w:keepNext w:val="1"/>
              <w:keepLines w:val="1"/>
              <w:spacing w:after="160"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D">
            <w:pPr>
              <w:keepNext w:val="1"/>
              <w:keepLines w:val="1"/>
              <w:spacing w:after="160"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7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F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Nevysporiadaný výsledok hospodárenia minulých rokov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0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2 599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1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3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4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389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5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2 988</w:t>
            </w:r>
          </w:p>
        </w:tc>
      </w:tr>
      <w:tr>
        <w:trPr>
          <w:cantSplit w:val="0"/>
          <w:trHeight w:val="72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6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Výsledok hospodárenia za účtovné obdobie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7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389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8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A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B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-389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C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</w:t>
            </w:r>
          </w:p>
        </w:tc>
      </w:tr>
      <w:tr>
        <w:trPr>
          <w:cantSplit w:val="0"/>
          <w:trHeight w:val="40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D">
            <w:pPr>
              <w:keepNext w:val="1"/>
              <w:keepLines w:val="1"/>
              <w:spacing w:line="259" w:lineRule="auto"/>
              <w:ind w:left="2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E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2 988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F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38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1">
            <w:pPr>
              <w:keepNext w:val="1"/>
              <w:keepLines w:val="1"/>
              <w:spacing w:line="259" w:lineRule="auto"/>
              <w:ind w:left="0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keepNext w:val="1"/>
              <w:keepLines w:val="1"/>
              <w:spacing w:line="259" w:lineRule="auto"/>
              <w:ind w:left="0" w:righ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3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3 026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4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5">
      <w:pPr>
        <w:pStyle w:val="Heading2"/>
        <w:ind w:left="-5" w:firstLine="226"/>
        <w:jc w:val="left"/>
        <w:rPr/>
      </w:pPr>
      <w:r w:rsidDel="00000000" w:rsidR="00000000" w:rsidRPr="00000000">
        <w:rPr>
          <w:rtl w:val="0"/>
        </w:rPr>
        <w:t xml:space="preserve">Tabuľka o záväzkoch</w:t>
      </w:r>
      <w:r w:rsidDel="00000000" w:rsidR="00000000" w:rsidRPr="00000000">
        <w:rPr>
          <w:b w:val="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7"/>
        <w:tblW w:w="9064.0" w:type="dxa"/>
        <w:jc w:val="left"/>
        <w:tblInd w:w="5.0" w:type="dxa"/>
        <w:tblLayout w:type="fixed"/>
        <w:tblLook w:val="0400"/>
      </w:tblPr>
      <w:tblGrid>
        <w:gridCol w:w="4001"/>
        <w:gridCol w:w="1874"/>
        <w:gridCol w:w="3189"/>
        <w:tblGridChange w:id="0">
          <w:tblGrid>
            <w:gridCol w:w="4001"/>
            <w:gridCol w:w="1874"/>
            <w:gridCol w:w="3189"/>
          </w:tblGrid>
        </w:tblGridChange>
      </w:tblGrid>
      <w:tr>
        <w:trPr>
          <w:cantSplit w:val="0"/>
          <w:trHeight w:val="408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6">
            <w:pPr>
              <w:keepNext w:val="1"/>
              <w:keepLines w:val="1"/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Druh záväzkov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7">
            <w:pPr>
              <w:keepNext w:val="1"/>
              <w:keepLines w:val="1"/>
              <w:spacing w:line="259" w:lineRule="auto"/>
              <w:ind w:left="9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Stav na konci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A">
            <w:pPr>
              <w:keepNext w:val="1"/>
              <w:keepLines w:val="1"/>
              <w:spacing w:line="259" w:lineRule="auto"/>
              <w:ind w:left="8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bežného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B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účtovného obdobia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keepNext w:val="1"/>
              <w:keepLines w:val="1"/>
              <w:spacing w:line="259" w:lineRule="auto"/>
              <w:ind w:left="7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keepNext w:val="1"/>
              <w:keepLines w:val="1"/>
              <w:spacing w:line="259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predchádzajúceho účtovného obdobia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keepNext w:val="1"/>
              <w:keepLines w:val="1"/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F">
            <w:pPr>
              <w:keepNext w:val="1"/>
              <w:keepLines w:val="1"/>
              <w:spacing w:line="259" w:lineRule="auto"/>
              <w:ind w:left="9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0">
            <w:pPr>
              <w:keepNext w:val="1"/>
              <w:keepLines w:val="1"/>
              <w:spacing w:line="259" w:lineRule="auto"/>
              <w:ind w:left="7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8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1">
            <w:pPr>
              <w:keepNext w:val="1"/>
              <w:keepLines w:val="1"/>
              <w:spacing w:line="259" w:lineRule="auto"/>
              <w:ind w:left="0" w:right="169" w:firstLine="0"/>
              <w:rPr/>
            </w:pPr>
            <w:r w:rsidDel="00000000" w:rsidR="00000000" w:rsidRPr="00000000">
              <w:rPr>
                <w:rtl w:val="0"/>
              </w:rPr>
              <w:t xml:space="preserve">Záväzky do lehoty splatnosti so zostatkovou dobou splatnosti do jedného roka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2">
            <w:pPr>
              <w:keepNext w:val="1"/>
              <w:keepLines w:val="1"/>
              <w:spacing w:line="259" w:lineRule="auto"/>
              <w:ind w:left="14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3">
            <w:pPr>
              <w:keepNext w:val="1"/>
              <w:keepLines w:val="1"/>
              <w:spacing w:line="259" w:lineRule="auto"/>
              <w:ind w:left="15" w:righ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</w:tr>
      <w:tr>
        <w:trPr>
          <w:cantSplit w:val="0"/>
          <w:trHeight w:val="45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4">
            <w:pPr>
              <w:keepNext w:val="1"/>
              <w:keepLines w:val="1"/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5">
            <w:pPr>
              <w:keepNext w:val="1"/>
              <w:keepLines w:val="1"/>
              <w:spacing w:line="259" w:lineRule="auto"/>
              <w:ind w:left="15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6">
            <w:pPr>
              <w:keepNext w:val="1"/>
              <w:keepLines w:val="1"/>
              <w:spacing w:line="259" w:lineRule="auto"/>
              <w:ind w:left="11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7">
            <w:pPr>
              <w:keepNext w:val="1"/>
              <w:keepLines w:val="1"/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8">
            <w:pPr>
              <w:keepNext w:val="1"/>
              <w:keepLines w:val="1"/>
              <w:spacing w:line="259" w:lineRule="auto"/>
              <w:ind w:left="13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9">
            <w:pPr>
              <w:keepNext w:val="1"/>
              <w:keepLines w:val="1"/>
              <w:spacing w:line="259" w:lineRule="auto"/>
              <w:ind w:left="15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keepNext w:val="1"/>
              <w:keepLines w:val="1"/>
              <w:spacing w:line="259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a dlhodobé záväzky spolu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B">
            <w:pPr>
              <w:keepNext w:val="1"/>
              <w:keepLines w:val="1"/>
              <w:spacing w:line="259" w:lineRule="auto"/>
              <w:ind w:left="15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C">
            <w:pPr>
              <w:keepNext w:val="1"/>
              <w:keepLines w:val="1"/>
              <w:spacing w:line="259" w:lineRule="auto"/>
              <w:ind w:left="11" w:righ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D">
      <w:pPr>
        <w:spacing w:after="0" w:line="259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pStyle w:val="Heading1"/>
        <w:numPr>
          <w:ilvl w:val="0"/>
          <w:numId w:val="4"/>
        </w:numPr>
        <w:ind w:left="346" w:hanging="360"/>
        <w:rPr/>
      </w:pPr>
      <w:bookmarkStart w:colFirst="0" w:colLast="0" w:name="_heading=h.3dy6vkm" w:id="4"/>
      <w:bookmarkEnd w:id="4"/>
      <w:r w:rsidDel="00000000" w:rsidR="00000000" w:rsidRPr="00000000">
        <w:rPr>
          <w:rtl w:val="0"/>
        </w:rPr>
        <w:t xml:space="preserve">ZMENY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A NOVÉ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ZLOŽENIE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  <w:t xml:space="preserve">ORGANIZÁCIE</w:t>
      </w:r>
      <w:r w:rsidDel="00000000" w:rsidR="00000000" w:rsidRPr="00000000">
        <w:rPr>
          <w:b w:val="0"/>
          <w:u w:val="no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spacing w:after="53" w:line="259" w:lineRule="auto"/>
        <w:ind w:left="0" w:right="0" w:firstLine="0"/>
        <w:jc w:val="left"/>
        <w:rPr/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ind w:left="355" w:right="457" w:firstLine="360"/>
        <w:rPr/>
      </w:pPr>
      <w:r w:rsidDel="00000000" w:rsidR="00000000" w:rsidRPr="00000000">
        <w:rPr>
          <w:rtl w:val="0"/>
        </w:rPr>
        <w:t xml:space="preserve">Správna rada Repairably, n.o. sa neuzniesla na žiadnych zmenách v štatúte ani zložení orgánov neziskovej organizácie.</w:t>
      </w:r>
    </w:p>
    <w:p w:rsidR="00000000" w:rsidDel="00000000" w:rsidP="00000000" w:rsidRDefault="00000000" w:rsidRPr="00000000" w14:paraId="000000E1">
      <w:pPr>
        <w:tabs>
          <w:tab w:val="center" w:leader="none" w:pos="360"/>
          <w:tab w:val="center" w:leader="none" w:pos="720"/>
          <w:tab w:val="center" w:leader="none" w:pos="1440"/>
          <w:tab w:val="center" w:leader="none" w:pos="3439"/>
        </w:tabs>
        <w:ind w:left="36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headerReference r:id="rId10" w:type="even"/>
      <w:footerReference r:id="rId11" w:type="default"/>
      <w:footerReference r:id="rId12" w:type="first"/>
      <w:footerReference r:id="rId13" w:type="even"/>
      <w:pgSz w:h="16838" w:w="11906" w:orient="portrait"/>
      <w:pgMar w:bottom="1617" w:top="1615" w:left="1416" w:right="947" w:header="708" w:footer="711"/>
      <w:pgNumType w:start="0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B">
    <w:pPr>
      <w:spacing w:after="0" w:line="259" w:lineRule="auto"/>
      <w:ind w:left="0" w:right="469" w:firstLine="0"/>
      <w:jc w:val="center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C">
    <w:pPr>
      <w:spacing w:after="0" w:line="259" w:lineRule="auto"/>
      <w:ind w:left="0" w:right="0" w:firstLine="0"/>
      <w:jc w:val="left"/>
      <w:rPr/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D">
    <w:pPr>
      <w:spacing w:after="0" w:line="259" w:lineRule="auto"/>
      <w:ind w:left="0" w:right="469" w:firstLine="0"/>
      <w:jc w:val="center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E"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F">
    <w:pPr>
      <w:spacing w:after="0" w:line="259" w:lineRule="auto"/>
      <w:ind w:left="0" w:right="469" w:firstLine="0"/>
      <w:jc w:val="center"/>
      <w:rPr>
        <w:rFonts w:ascii="Times New Roman" w:cs="Times New Roman" w:eastAsia="Times New Roman" w:hAnsi="Times New Roman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0">
    <w:pPr>
      <w:spacing w:after="0" w:line="259" w:lineRule="auto"/>
      <w:ind w:left="0" w:right="0" w:firstLine="0"/>
      <w:jc w:val="left"/>
      <w:rPr/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2">
    <w:pPr>
      <w:spacing w:after="0" w:line="259" w:lineRule="auto"/>
      <w:ind w:left="0" w:right="471" w:firstLine="0"/>
      <w:jc w:val="center"/>
      <w:rPr/>
    </w:pPr>
    <w:r w:rsidDel="00000000" w:rsidR="00000000" w:rsidRPr="00000000">
      <w:rPr/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4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2446700" y="377695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g:grpSp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SpPr/>
                          <wps:cNvPr id="21" name="Shape 21"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SpPr/>
                            <wps:cNvPr id="23" name="Shape 23"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SpPr/>
                              <wps:cNvPr id="25" name="Shape 25"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s:wsp>
                              <wps:cNvSpPr/>
                              <wps:cNvPr id="26" name="Shape 26"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rect b="b" l="l" r="r" t="t"/>
                                  <a:pathLst>
                                    <a:path extrusionOk="0" h="9144" w="5798566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4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sz w:val="24"/>
        <w:szCs w:val="24"/>
        <w:rtl w:val="0"/>
      </w:rPr>
      <w:t xml:space="preserve">Repairably, n. o.,  so sídlom: Búdková cesta 100406/22, 811 04 Bratislava -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3">
    <w:pPr>
      <w:spacing w:after="0" w:line="259" w:lineRule="auto"/>
      <w:ind w:left="0" w:right="470" w:firstLine="0"/>
      <w:jc w:val="center"/>
      <w:rPr/>
    </w:pPr>
    <w:r w:rsidDel="00000000" w:rsidR="00000000" w:rsidRPr="00000000">
      <w:rPr>
        <w:sz w:val="24"/>
        <w:szCs w:val="24"/>
        <w:rtl w:val="0"/>
      </w:rPr>
      <w:t xml:space="preserve">Staré Mesto, Slovenská republika, IČO: 50212613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4">
    <w:pPr>
      <w:spacing w:after="0" w:line="259" w:lineRule="auto"/>
      <w:ind w:left="0" w:right="0" w:firstLine="0"/>
      <w:jc w:val="left"/>
      <w:rPr/>
    </w:pPr>
    <w:r w:rsidDel="00000000" w:rsidR="00000000" w:rsidRPr="00000000">
      <w:rPr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5">
    <w:pPr>
      <w:spacing w:after="0" w:line="259" w:lineRule="auto"/>
      <w:ind w:left="0" w:right="471" w:firstLine="0"/>
      <w:jc w:val="center"/>
      <w:rPr/>
    </w:pPr>
    <w:r w:rsidDel="00000000" w:rsidR="00000000" w:rsidRPr="00000000">
      <w:rPr/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2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2446700" y="377695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g:grpSp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SpPr/>
                          <wps:cNvPr id="5" name="Shape 5"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SpPr/>
                            <wps:cNvPr id="7" name="Shape 7"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SpPr/>
                              <wps:cNvPr id="9" name="Shape 9"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s:wsp>
                              <wps:cNvSpPr/>
                              <wps:cNvPr id="10" name="Shape 10"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rect b="b" l="l" r="r" t="t"/>
                                  <a:pathLst>
                                    <a:path extrusionOk="0" h="9144" w="5798566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sz w:val="24"/>
        <w:szCs w:val="24"/>
        <w:rtl w:val="0"/>
      </w:rPr>
      <w:t xml:space="preserve">Repairably, n. o., so sídlom: Račianska 1575/78, 831 02 Bratislava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6">
    <w:pPr>
      <w:spacing w:after="0" w:line="259" w:lineRule="auto"/>
      <w:ind w:left="0" w:right="470" w:firstLine="0"/>
      <w:jc w:val="center"/>
      <w:rPr/>
    </w:pPr>
    <w:r w:rsidDel="00000000" w:rsidR="00000000" w:rsidRPr="00000000">
      <w:rPr>
        <w:sz w:val="24"/>
        <w:szCs w:val="24"/>
        <w:rtl w:val="0"/>
      </w:rPr>
      <w:t xml:space="preserve">Slovenská republika, IČO: 50212613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7">
    <w:pPr>
      <w:spacing w:after="0" w:line="259" w:lineRule="auto"/>
      <w:ind w:left="0" w:right="0" w:firstLine="0"/>
      <w:jc w:val="left"/>
      <w:rPr/>
    </w:pPr>
    <w:r w:rsidDel="00000000" w:rsidR="00000000" w:rsidRPr="00000000">
      <w:rPr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E8">
    <w:pPr>
      <w:spacing w:after="0" w:line="259" w:lineRule="auto"/>
      <w:ind w:left="0" w:right="471" w:firstLine="0"/>
      <w:jc w:val="center"/>
      <w:rPr>
        <w:sz w:val="24"/>
        <w:szCs w:val="24"/>
      </w:rPr>
    </w:pPr>
    <w:r w:rsidDel="00000000" w:rsidR="00000000" w:rsidRPr="00000000">
      <w:rPr/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3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2446700" y="377695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g:grpSp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SpPr/>
                          <wps:cNvPr id="13" name="Shape 13"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SpPr/>
                            <wps:cNvPr id="15" name="Shape 15"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SpPr/>
                              <wps:cNvPr id="17" name="Shape 17"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s:wsp>
                              <wps:cNvSpPr/>
                              <wps:cNvPr id="18" name="Shape 18"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rect b="b" l="l" r="r" t="t"/>
                                  <a:pathLst>
                                    <a:path extrusionOk="0" h="9144" w="5798566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sz w:val="24"/>
        <w:szCs w:val="24"/>
        <w:rtl w:val="0"/>
      </w:rPr>
      <w:t xml:space="preserve">Repairably, n. o.,  so sídlom: Račianska 1575/78, 831 02 Bratislava</w:t>
    </w:r>
  </w:p>
  <w:p w:rsidR="00000000" w:rsidDel="00000000" w:rsidP="00000000" w:rsidRDefault="00000000" w:rsidRPr="00000000" w14:paraId="000000E9">
    <w:pPr>
      <w:spacing w:after="0" w:line="259" w:lineRule="auto"/>
      <w:ind w:left="0" w:right="470" w:firstLine="0"/>
      <w:jc w:val="center"/>
      <w:rPr/>
    </w:pPr>
    <w:r w:rsidDel="00000000" w:rsidR="00000000" w:rsidRPr="00000000">
      <w:rPr>
        <w:sz w:val="24"/>
        <w:szCs w:val="24"/>
        <w:rtl w:val="0"/>
      </w:rPr>
      <w:t xml:space="preserve">Slovenská republika, IČO: 50212613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A">
    <w:pPr>
      <w:spacing w:after="0" w:line="259" w:lineRule="auto"/>
      <w:ind w:left="0" w:right="0" w:firstLine="0"/>
      <w:jc w:val="left"/>
      <w:rPr/>
    </w:pPr>
    <w:r w:rsidDel="00000000" w:rsidR="00000000" w:rsidRPr="00000000">
      <w:rPr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)"/>
      <w:lvlJc w:val="left"/>
      <w:pPr>
        <w:ind w:left="643" w:hanging="64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2">
    <w:lvl w:ilvl="0">
      <w:start w:val="1"/>
      <w:numFmt w:val="decimal"/>
      <w:lvlText w:val="%1)"/>
      <w:lvlJc w:val="left"/>
      <w:pPr>
        <w:ind w:left="643" w:hanging="64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3">
    <w:lvl w:ilvl="0">
      <w:start w:val="1"/>
      <w:numFmt w:val="lowerLetter"/>
      <w:lvlText w:val="%1)"/>
      <w:lvlJc w:val="left"/>
      <w:pPr>
        <w:ind w:left="0" w:firstLine="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4">
    <w:lvl w:ilvl="0">
      <w:start w:val="1"/>
      <w:numFmt w:val="decimal"/>
      <w:lvlText w:val="%1."/>
      <w:lvlJc w:val="left"/>
      <w:pPr>
        <w:ind w:left="346" w:hanging="360"/>
      </w:pPr>
      <w:rPr/>
    </w:lvl>
    <w:lvl w:ilvl="1">
      <w:start w:val="1"/>
      <w:numFmt w:val="lowerLetter"/>
      <w:lvlText w:val="%2."/>
      <w:lvlJc w:val="left"/>
      <w:pPr>
        <w:ind w:left="1066" w:hanging="360"/>
      </w:pPr>
      <w:rPr/>
    </w:lvl>
    <w:lvl w:ilvl="2">
      <w:start w:val="1"/>
      <w:numFmt w:val="lowerRoman"/>
      <w:lvlText w:val="%3."/>
      <w:lvlJc w:val="right"/>
      <w:pPr>
        <w:ind w:left="1786" w:hanging="180"/>
      </w:pPr>
      <w:rPr/>
    </w:lvl>
    <w:lvl w:ilvl="3">
      <w:start w:val="1"/>
      <w:numFmt w:val="decimal"/>
      <w:lvlText w:val="%4."/>
      <w:lvlJc w:val="left"/>
      <w:pPr>
        <w:ind w:left="2506" w:hanging="360"/>
      </w:pPr>
      <w:rPr/>
    </w:lvl>
    <w:lvl w:ilvl="4">
      <w:start w:val="1"/>
      <w:numFmt w:val="lowerLetter"/>
      <w:lvlText w:val="%5."/>
      <w:lvlJc w:val="left"/>
      <w:pPr>
        <w:ind w:left="3226" w:hanging="360"/>
      </w:pPr>
      <w:rPr/>
    </w:lvl>
    <w:lvl w:ilvl="5">
      <w:start w:val="1"/>
      <w:numFmt w:val="lowerRoman"/>
      <w:lvlText w:val="%6."/>
      <w:lvlJc w:val="right"/>
      <w:pPr>
        <w:ind w:left="3946" w:hanging="180"/>
      </w:pPr>
      <w:rPr/>
    </w:lvl>
    <w:lvl w:ilvl="6">
      <w:start w:val="1"/>
      <w:numFmt w:val="decimal"/>
      <w:lvlText w:val="%7."/>
      <w:lvlJc w:val="left"/>
      <w:pPr>
        <w:ind w:left="4666" w:hanging="360"/>
      </w:pPr>
      <w:rPr/>
    </w:lvl>
    <w:lvl w:ilvl="7">
      <w:start w:val="1"/>
      <w:numFmt w:val="lowerLetter"/>
      <w:lvlText w:val="%8."/>
      <w:lvlJc w:val="left"/>
      <w:pPr>
        <w:ind w:left="5386" w:hanging="360"/>
      </w:pPr>
      <w:rPr/>
    </w:lvl>
    <w:lvl w:ilvl="8">
      <w:start w:val="1"/>
      <w:numFmt w:val="lowerRoman"/>
      <w:lvlText w:val="%9."/>
      <w:lvlJc w:val="right"/>
      <w:pPr>
        <w:ind w:left="6106" w:hanging="180"/>
      </w:pPr>
      <w:rPr/>
    </w:lvl>
  </w:abstractNum>
  <w:abstractNum w:abstractNumId="5">
    <w:lvl w:ilvl="0">
      <w:start w:val="1"/>
      <w:numFmt w:val="bullet"/>
      <w:lvlText w:val="●"/>
      <w:lvlJc w:val="left"/>
      <w:pPr>
        <w:ind w:left="705" w:hanging="705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bullet"/>
      <w:lvlText w:val="o"/>
      <w:lvlJc w:val="left"/>
      <w:pPr>
        <w:ind w:left="1440" w:hanging="144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bullet"/>
      <w:lvlText w:val="•"/>
      <w:lvlJc w:val="left"/>
      <w:pPr>
        <w:ind w:left="2880" w:hanging="288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bullet"/>
      <w:lvlText w:val="o"/>
      <w:lvlJc w:val="left"/>
      <w:pPr>
        <w:ind w:left="3600" w:hanging="360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bullet"/>
      <w:lvlText w:val="•"/>
      <w:lvlJc w:val="left"/>
      <w:pPr>
        <w:ind w:left="5040" w:hanging="504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bullet"/>
      <w:lvlText w:val="o"/>
      <w:lvlJc w:val="left"/>
      <w:pPr>
        <w:ind w:left="5760" w:hanging="576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6">
    <w:lvl w:ilvl="0">
      <w:start w:val="1"/>
      <w:numFmt w:val="decimal"/>
      <w:lvlText w:val="%1)"/>
      <w:lvlJc w:val="left"/>
      <w:pPr>
        <w:ind w:left="705" w:hanging="705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440" w:hanging="144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2160" w:hanging="216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880" w:hanging="288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600" w:hanging="360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4320" w:hanging="432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5040" w:hanging="504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760" w:hanging="576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480" w:hanging="6480"/>
      </w:pPr>
      <w:rPr>
        <w:rFonts w:ascii="Calibri" w:cs="Calibri" w:eastAsia="Calibri" w:hAnsi="Calibri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13" w:line="248.00000000000006" w:lineRule="auto"/>
        <w:ind w:left="370" w:right="468" w:hanging="1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" w:before="0" w:line="250" w:lineRule="auto"/>
      <w:ind w:left="10" w:right="468" w:firstLine="35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32"/>
      <w:szCs w:val="32"/>
      <w:u w:val="singl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8.00000000000006" w:lineRule="auto"/>
      <w:ind w:left="236" w:right="468" w:firstLine="123.99999999999999"/>
      <w:jc w:val="center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B83DC4"/>
    <w:rPr>
      <w:color w:val="000000"/>
    </w:rPr>
  </w:style>
  <w:style w:type="paragraph" w:styleId="Heading1">
    <w:name w:val="heading 1"/>
    <w:next w:val="Normal"/>
    <w:link w:val="Heading1Char"/>
    <w:uiPriority w:val="9"/>
    <w:qFormat w:val="1"/>
    <w:pPr>
      <w:keepNext w:val="1"/>
      <w:keepLines w:val="1"/>
      <w:spacing w:after="12" w:line="250" w:lineRule="auto"/>
      <w:ind w:left="10"/>
      <w:outlineLvl w:val="0"/>
    </w:pPr>
    <w:rPr>
      <w:b w:val="1"/>
      <w:color w:val="000000"/>
      <w:sz w:val="32"/>
      <w:u w:color="000000" w:val="single"/>
    </w:rPr>
  </w:style>
  <w:style w:type="paragraph" w:styleId="Heading2">
    <w:name w:val="heading 2"/>
    <w:next w:val="Normal"/>
    <w:link w:val="Heading2Char"/>
    <w:uiPriority w:val="9"/>
    <w:unhideWhenUsed w:val="1"/>
    <w:qFormat w:val="1"/>
    <w:pPr>
      <w:keepNext w:val="1"/>
      <w:keepLines w:val="1"/>
      <w:spacing w:after="0"/>
      <w:ind w:left="236"/>
      <w:jc w:val="center"/>
      <w:outlineLvl w:val="1"/>
    </w:pPr>
    <w:rPr>
      <w:b w:val="1"/>
      <w:color w:val="000000"/>
    </w:rPr>
  </w:style>
  <w:style w:type="paragraph" w:styleId="Heading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character" w:styleId="Heading2Char" w:customStyle="1">
    <w:name w:val="Heading 2 Char"/>
    <w:link w:val="Heading2"/>
    <w:rPr>
      <w:rFonts w:ascii="Calibri" w:cs="Calibri" w:eastAsia="Calibri" w:hAnsi="Calibri"/>
      <w:b w:val="1"/>
      <w:color w:val="000000"/>
      <w:sz w:val="22"/>
    </w:rPr>
  </w:style>
  <w:style w:type="character" w:styleId="Heading1Char" w:customStyle="1">
    <w:name w:val="Heading 1 Char"/>
    <w:link w:val="Heading1"/>
    <w:rPr>
      <w:rFonts w:ascii="Calibri" w:cs="Calibri" w:eastAsia="Calibri" w:hAnsi="Calibri"/>
      <w:b w:val="1"/>
      <w:color w:val="000000"/>
      <w:sz w:val="32"/>
      <w:u w:color="000000" w:val="single"/>
    </w:rPr>
  </w:style>
  <w:style w:type="paragraph" w:styleId="TOC1">
    <w:name w:val="toc 1"/>
    <w:hidden w:val="1"/>
    <w:uiPriority w:val="39"/>
    <w:pPr>
      <w:spacing w:after="0"/>
      <w:ind w:left="25" w:right="478"/>
    </w:pPr>
    <w:rPr>
      <w:color w:val="0000ff"/>
      <w:sz w:val="24"/>
      <w:u w:color="0000ff" w:val="single"/>
    </w:rPr>
  </w:style>
  <w:style w:type="table" w:styleId="TableGrid" w:customStyle="1">
    <w:name w:val="TableGrid"/>
    <w:pPr>
      <w:spacing w:after="0" w:line="240" w:lineRule="auto"/>
    </w:pPr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Hyperlink">
    <w:name w:val="Hyperlink"/>
    <w:basedOn w:val="DefaultParagraphFont"/>
    <w:uiPriority w:val="99"/>
    <w:unhideWhenUsed w:val="1"/>
    <w:rsid w:val="00B83DC4"/>
    <w:rPr>
      <w:color w:val="0563c1" w:themeColor="hyperlink"/>
      <w:u w:val="single"/>
    </w:rPr>
  </w:style>
  <w:style w:type="paragraph" w:styleId="Subtitle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19.0" w:type="dxa"/>
        <w:left w:w="17.0" w:type="dxa"/>
        <w:right w:w="41.0" w:type="dxa"/>
      </w:tblCellMar>
    </w:tblPr>
  </w:style>
  <w:style w:type="table" w:styleId="a0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31.0" w:type="dxa"/>
        <w:left w:w="14.0" w:type="dxa"/>
        <w:right w:w="0.0" w:type="dxa"/>
      </w:tblCellMar>
    </w:tblPr>
  </w:style>
  <w:style w:type="table" w:styleId="a1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19.0" w:type="dxa"/>
        <w:left w:w="17.0" w:type="dxa"/>
        <w:right w:w="115.0" w:type="dxa"/>
      </w:tblCellMar>
    </w:tblPr>
  </w:style>
  <w:style w:type="table" w:styleId="a2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4.0" w:type="dxa"/>
        <w:left w:w="0.0" w:type="dxa"/>
        <w:right w:w="0.0" w:type="dxa"/>
      </w:tblCellMar>
    </w:tblPr>
  </w:style>
  <w:style w:type="table" w:styleId="a3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19.0" w:type="dxa"/>
        <w:left w:w="14.0" w:type="dxa"/>
        <w:right w:w="28.0" w:type="dxa"/>
      </w:tblCellMar>
    </w:tblPr>
  </w:style>
  <w:style w:type="table" w:styleId="a4" w:customStyle="1">
    <w:basedOn w:val="TableNormal"/>
    <w:pPr>
      <w:spacing w:after="0" w:line="240" w:lineRule="auto"/>
    </w:pPr>
    <w:tblPr>
      <w:tblStyleRowBandSize w:val="1"/>
      <w:tblStyleColBandSize w:val="1"/>
      <w:tblCellMar>
        <w:right w:w="45.0" w:type="dxa"/>
      </w:tblCellMar>
    </w:tblPr>
  </w:style>
  <w:style w:type="table" w:styleId="a5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character" w:styleId="markedcontent" w:customStyle="1">
    <w:name w:val="markedcontent"/>
    <w:basedOn w:val="DefaultParagraphFont"/>
    <w:rsid w:val="00FA6660"/>
  </w:style>
  <w:style w:type="table" w:styleId="a6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7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8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9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a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b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c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d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e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f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f0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f1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f2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table" w:styleId="af3" w:customStyle="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2.0" w:type="dxa"/>
        <w:left w:w="110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footer" Target="footer2.xml"/><Relationship Id="rId10" Type="http://schemas.openxmlformats.org/officeDocument/2006/relationships/header" Target="header1.xml"/><Relationship Id="rId13" Type="http://schemas.openxmlformats.org/officeDocument/2006/relationships/footer" Target="footer1.xml"/><Relationship Id="rId12" Type="http://schemas.openxmlformats.org/officeDocument/2006/relationships/footer" Target="footer3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ZPyDyACQtabIja+R18i/SoMV5g==">CgMxLjAyCGguZ2pkZ3hzMgloLjFmb2I5dGUyCWguMmV0OTJwMDIIaC50eWpjd3QyCWguM2R5NnZrbTgAciExYnE1NVptYm03Q3lfMzZqSG01cnJsc3ZXS2k4UnJqdjc=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2025-03-07T20:56:00Z</dcterms:created>
  <dc:creator>Monika Matuskova</dc:creator>
</cp:coreProperties>
</file>