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F3300" w14:textId="77777777" w:rsidR="00CD0101" w:rsidRPr="005877C7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5877C7">
        <w:rPr>
          <w:rFonts w:ascii="Times New Roman" w:hAnsi="Times New Roman" w:cs="Times New Roman"/>
          <w:b/>
          <w:color w:val="4472C4" w:themeColor="accent1"/>
        </w:rPr>
        <w:t>Čl. I </w:t>
      </w:r>
      <w:r w:rsidRPr="005877C7">
        <w:rPr>
          <w:rFonts w:ascii="Times New Roman" w:hAnsi="Times New Roman" w:cs="Times New Roman"/>
          <w:b/>
          <w:color w:val="4472C4" w:themeColor="accent1"/>
        </w:rPr>
        <w:tab/>
        <w:t>Všeobecné informácie</w:t>
      </w:r>
    </w:p>
    <w:p w14:paraId="5F946735" w14:textId="77777777" w:rsidR="00CD0101" w:rsidRPr="002E2695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5B483EC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I.1 </w:t>
      </w:r>
      <w:r w:rsidRPr="00F730ED">
        <w:rPr>
          <w:rFonts w:ascii="Times New Roman" w:hAnsi="Times New Roman" w:cs="Times New Roman"/>
          <w:b/>
        </w:rPr>
        <w:tab/>
        <w:t>Obchodné meno účtovnej jednotky:</w:t>
      </w:r>
    </w:p>
    <w:p w14:paraId="7D9D796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ab/>
      </w:r>
      <w:r w:rsidR="00960B74">
        <w:rPr>
          <w:rFonts w:ascii="Times New Roman" w:hAnsi="Times New Roman" w:cs="Times New Roman"/>
        </w:rPr>
        <w:t>DH CONSTRUCTION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s.r.o</w:t>
      </w:r>
      <w:proofErr w:type="spellEnd"/>
      <w:r>
        <w:rPr>
          <w:rFonts w:ascii="Times New Roman" w:hAnsi="Times New Roman" w:cs="Times New Roman"/>
        </w:rPr>
        <w:t>.</w:t>
      </w:r>
    </w:p>
    <w:p w14:paraId="1D46B909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Sídlo účtovnej jednotky:</w:t>
      </w:r>
    </w:p>
    <w:p w14:paraId="3D3561AA" w14:textId="77777777"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Komenského 3043/40</w:t>
      </w:r>
    </w:p>
    <w:p w14:paraId="43F096F7" w14:textId="77777777" w:rsidR="00CD0101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926 01 Sereď</w:t>
      </w:r>
    </w:p>
    <w:p w14:paraId="7FDC6442" w14:textId="77777777" w:rsidR="00960B74" w:rsidRPr="00F730ED" w:rsidRDefault="00960B74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</w:p>
    <w:p w14:paraId="44FF32B6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Opis hospodárskej činnosti účtovnej jednotky:</w:t>
      </w:r>
    </w:p>
    <w:p w14:paraId="0D4937FA" w14:textId="77777777" w:rsidR="00CD0101" w:rsidRDefault="00960B74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Ostatné stavebné kompletizačné práce</w:t>
      </w:r>
    </w:p>
    <w:p w14:paraId="4CF52CB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74C1397A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33C6E4B9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I.2</w:t>
      </w:r>
      <w:r w:rsidRPr="00F730ED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70415A28" w14:textId="3F564663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Spoločnosti k 31. decembru 20</w:t>
      </w:r>
      <w:r w:rsidR="00E20ED4">
        <w:rPr>
          <w:rFonts w:ascii="Times New Roman" w:hAnsi="Times New Roman" w:cs="Times New Roman"/>
        </w:rPr>
        <w:t>2</w:t>
      </w:r>
      <w:r w:rsidR="00AF6224">
        <w:rPr>
          <w:rFonts w:ascii="Times New Roman" w:hAnsi="Times New Roman" w:cs="Times New Roman"/>
        </w:rPr>
        <w:t>3</w:t>
      </w:r>
      <w:r w:rsidRPr="00F730ED">
        <w:rPr>
          <w:rFonts w:ascii="Times New Roman" w:hAnsi="Times New Roman" w:cs="Times New Roman"/>
        </w:rPr>
        <w:t xml:space="preserve">, za predchádzajúce účtovné obdobie, bola schválená valným zhromaždením Spoločnosti dňa </w:t>
      </w:r>
      <w:r w:rsidR="00AF6224">
        <w:rPr>
          <w:rFonts w:ascii="Times New Roman" w:hAnsi="Times New Roman" w:cs="Times New Roman"/>
        </w:rPr>
        <w:t>26.03.2024</w:t>
      </w:r>
      <w:r w:rsidR="00E20ED4">
        <w:rPr>
          <w:rFonts w:ascii="Times New Roman" w:hAnsi="Times New Roman" w:cs="Times New Roman"/>
        </w:rPr>
        <w:t>.</w:t>
      </w:r>
    </w:p>
    <w:p w14:paraId="162C9F47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8E72C40" w14:textId="77777777" w:rsidR="00CD0101" w:rsidRPr="00F730ED" w:rsidRDefault="00CD0101" w:rsidP="00CD0101">
      <w:pPr>
        <w:pStyle w:val="Odsekzoznamu"/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7997BB3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I.3</w:t>
      </w:r>
      <w:r w:rsidRPr="00F730ED">
        <w:rPr>
          <w:rFonts w:ascii="Times New Roman" w:hAnsi="Times New Roman" w:cs="Times New Roman"/>
          <w:b/>
        </w:rPr>
        <w:tab/>
        <w:t>Právny dôvod na zostavenie účtovnej závierky:</w:t>
      </w:r>
    </w:p>
    <w:p w14:paraId="062B63D0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49A0D79D" w14:textId="77777777" w:rsidR="00CD0101" w:rsidRPr="00F730ED" w:rsidRDefault="004C3480" w:rsidP="00CD0101">
      <w:pPr>
        <w:pStyle w:val="Odsekzoznamu"/>
        <w:tabs>
          <w:tab w:val="left" w:pos="1604"/>
          <w:tab w:val="left" w:pos="2815"/>
        </w:tabs>
        <w:spacing w:after="0" w:line="276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0101" w:rsidRPr="00F730ED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CD0101"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3A7C6C97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525EAC6E" w14:textId="77777777" w:rsidR="00CD0101" w:rsidRPr="00F730ED" w:rsidRDefault="00CD0101" w:rsidP="00CD0101">
      <w:pPr>
        <w:pStyle w:val="Odsekzoznamu"/>
        <w:spacing w:after="0" w:line="276" w:lineRule="auto"/>
        <w:ind w:left="0"/>
        <w:jc w:val="both"/>
        <w:rPr>
          <w:rFonts w:ascii="Times New Roman" w:hAnsi="Times New Roman" w:cs="Times New Roman"/>
          <w:b/>
        </w:rPr>
      </w:pPr>
    </w:p>
    <w:p w14:paraId="1509CE0E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I.4 </w:t>
      </w:r>
      <w:r w:rsidRPr="00F730ED">
        <w:rPr>
          <w:rFonts w:ascii="Times New Roman" w:hAnsi="Times New Roman" w:cs="Times New Roman"/>
          <w:b/>
        </w:rPr>
        <w:tab/>
        <w:t>Informácie o skupine účtovných jednotiek</w:t>
      </w:r>
    </w:p>
    <w:p w14:paraId="3432BD9D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C0138">
        <w:rPr>
          <w:rFonts w:ascii="Times New Roman" w:hAnsi="Times New Roman" w:cs="Times New Roman"/>
        </w:rPr>
        <w:t xml:space="preserve">             Nie je - nemá</w:t>
      </w:r>
    </w:p>
    <w:p w14:paraId="19A0F14D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  <w:b/>
        </w:rPr>
        <w:tab/>
      </w:r>
    </w:p>
    <w:p w14:paraId="4E55D277" w14:textId="77777777" w:rsidR="00CD0101" w:rsidRDefault="00CD0101" w:rsidP="00CD0101">
      <w:pPr>
        <w:spacing w:after="0" w:line="276" w:lineRule="auto"/>
        <w:ind w:left="709" w:hanging="709"/>
        <w:jc w:val="both"/>
        <w:rPr>
          <w:rFonts w:ascii="Times New Roman" w:hAnsi="Times New Roman" w:cs="Times New Roman"/>
        </w:rPr>
      </w:pPr>
    </w:p>
    <w:p w14:paraId="4D78019C" w14:textId="77777777" w:rsidR="00CD0101" w:rsidRPr="00F730ED" w:rsidRDefault="00CD0101" w:rsidP="00CD0101">
      <w:pPr>
        <w:spacing w:after="0" w:line="276" w:lineRule="auto"/>
        <w:ind w:left="709" w:hanging="1"/>
        <w:jc w:val="both"/>
        <w:rPr>
          <w:rFonts w:ascii="Times New Roman" w:hAnsi="Times New Roman" w:cs="Times New Roman"/>
        </w:rPr>
      </w:pPr>
    </w:p>
    <w:p w14:paraId="0FE2AA7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I.5 </w:t>
      </w:r>
      <w:r w:rsidRPr="00F730ED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CD0101" w:rsidRPr="00F730ED" w14:paraId="4A1C8E01" w14:textId="77777777" w:rsidTr="008C4389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05B28D8C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DECE012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735CCC75" w14:textId="77777777" w:rsidR="00CD0101" w:rsidRPr="00F730ED" w:rsidRDefault="00CD0101" w:rsidP="008C438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30ED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CD0101" w:rsidRPr="00F730ED" w14:paraId="38BCB0AA" w14:textId="77777777" w:rsidTr="008C4389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44808C9D" w14:textId="77777777" w:rsidR="00CD0101" w:rsidRPr="00F730ED" w:rsidRDefault="00CD0101" w:rsidP="008C4389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730ED">
              <w:rPr>
                <w:rFonts w:ascii="Times New Roman" w:hAnsi="Times New Roman" w:cs="Times New Roman"/>
              </w:rPr>
              <w:t>Priemerný prepočítaný počet zamestnancov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9F2B1F" w14:textId="5A57C3FD" w:rsidR="00CD0101" w:rsidRPr="00F730ED" w:rsidRDefault="008E720B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7F45EDB2" w14:textId="77777777" w:rsidR="00CD0101" w:rsidRPr="00F730ED" w:rsidRDefault="00960B74" w:rsidP="008C438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</w:tbl>
    <w:p w14:paraId="39D22BEC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4EEBBF1F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450FDF8E" w14:textId="77777777" w:rsidR="00CD0101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0D001585" w14:textId="77777777" w:rsidR="00CD0101" w:rsidRPr="00F730ED" w:rsidRDefault="00CD0101" w:rsidP="00CD0101">
      <w:pPr>
        <w:spacing w:after="0" w:line="276" w:lineRule="auto"/>
        <w:ind w:left="1418" w:hanging="709"/>
        <w:jc w:val="both"/>
        <w:rPr>
          <w:rFonts w:ascii="Times New Roman" w:hAnsi="Times New Roman" w:cs="Times New Roman"/>
        </w:rPr>
      </w:pPr>
    </w:p>
    <w:p w14:paraId="57463501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orgánoch spoločnosti</w:t>
      </w:r>
    </w:p>
    <w:p w14:paraId="3B6C4F3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527C161" w14:textId="3F14CAC6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Členom štatutárneho orgánu, ani členom dozorných orgánov  neboli v roku 20</w:t>
      </w:r>
      <w:r w:rsidR="007767F9">
        <w:rPr>
          <w:rFonts w:ascii="Times New Roman" w:hAnsi="Times New Roman" w:cs="Times New Roman"/>
        </w:rPr>
        <w:t>2</w:t>
      </w:r>
      <w:r w:rsidR="008E720B">
        <w:rPr>
          <w:rFonts w:ascii="Times New Roman" w:hAnsi="Times New Roman" w:cs="Times New Roman"/>
        </w:rPr>
        <w:t>4</w:t>
      </w:r>
      <w:r w:rsidRPr="00F730ED">
        <w:rPr>
          <w:rFonts w:ascii="Times New Roman" w:hAnsi="Times New Roman" w:cs="Times New Roman"/>
        </w:rPr>
        <w:t xml:space="preserve"> poskytnuté žiadne pôžičky, záruky alebo iné formy zabezpečenia, ani finančné prostriedky alebo iné plnenia na súkromné účely členov, ktoré sa vyúčtovávajú</w:t>
      </w:r>
      <w:r w:rsidR="00E20ED4">
        <w:rPr>
          <w:rFonts w:ascii="Times New Roman" w:hAnsi="Times New Roman" w:cs="Times New Roman"/>
        </w:rPr>
        <w:t>.</w:t>
      </w:r>
    </w:p>
    <w:p w14:paraId="21327C42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D5B789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EEC828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198C2A4D" w14:textId="77777777" w:rsidR="00614FF5" w:rsidRDefault="00614FF5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488161A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268C0336" w14:textId="77777777" w:rsidR="00CD0101" w:rsidRPr="00F730ED" w:rsidRDefault="00CD0101" w:rsidP="00CD0101">
      <w:pPr>
        <w:spacing w:after="0" w:line="276" w:lineRule="auto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lastRenderedPageBreak/>
        <w:t>Čl. III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prijatých postupoch</w:t>
      </w:r>
    </w:p>
    <w:p w14:paraId="6463E34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>III. 1</w:t>
      </w:r>
      <w:r w:rsidRPr="00F730ED">
        <w:rPr>
          <w:rFonts w:ascii="Times New Roman" w:hAnsi="Times New Roman" w:cs="Times New Roman"/>
          <w:b/>
        </w:rPr>
        <w:tab/>
        <w:t>Účtovná jednotka bude nepretržite pokračovať vo svojej činnosti:</w:t>
      </w:r>
    </w:p>
    <w:p w14:paraId="67138252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hAnsi="Times New Roman" w:cs="Times New Roman"/>
          <w:b/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áno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30ED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727B67F7" w14:textId="77777777" w:rsidR="00CD0101" w:rsidRPr="00F730ED" w:rsidRDefault="00CD0101" w:rsidP="00CD0101">
      <w:pPr>
        <w:spacing w:after="0" w:line="276" w:lineRule="auto"/>
        <w:ind w:left="708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Účtovná závierka bola zostavená za predpokladu nepretržitého trvania Spoločnosti (</w:t>
      </w:r>
      <w:proofErr w:type="spellStart"/>
      <w:r w:rsidRPr="00F730ED">
        <w:rPr>
          <w:rFonts w:ascii="Times New Roman" w:hAnsi="Times New Roman" w:cs="Times New Roman"/>
        </w:rPr>
        <w:t>going</w:t>
      </w:r>
      <w:proofErr w:type="spellEnd"/>
      <w:r w:rsidRPr="00F730ED">
        <w:rPr>
          <w:rFonts w:ascii="Times New Roman" w:hAnsi="Times New Roman" w:cs="Times New Roman"/>
        </w:rPr>
        <w:t xml:space="preserve"> </w:t>
      </w:r>
      <w:proofErr w:type="spellStart"/>
      <w:r w:rsidRPr="00F730ED">
        <w:rPr>
          <w:rFonts w:ascii="Times New Roman" w:hAnsi="Times New Roman" w:cs="Times New Roman"/>
        </w:rPr>
        <w:t>concern</w:t>
      </w:r>
      <w:proofErr w:type="spellEnd"/>
      <w:r w:rsidRPr="00F730ED">
        <w:rPr>
          <w:rFonts w:ascii="Times New Roman" w:hAnsi="Times New Roman" w:cs="Times New Roman"/>
        </w:rPr>
        <w:t>). Účtovné metódy a všeobecné účtovné zásady boli účtovnou jednotkou konzistentne aplikované.</w:t>
      </w:r>
    </w:p>
    <w:p w14:paraId="03506951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EE5023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F730ED">
        <w:rPr>
          <w:rFonts w:ascii="Times New Roman" w:hAnsi="Times New Roman" w:cs="Times New Roman"/>
          <w:b/>
        </w:rPr>
        <w:t xml:space="preserve">III. 2  </w:t>
      </w:r>
      <w:r w:rsidRPr="00F730ED">
        <w:rPr>
          <w:rFonts w:ascii="Times New Roman" w:hAnsi="Times New Roman" w:cs="Times New Roman"/>
          <w:b/>
        </w:rPr>
        <w:tab/>
        <w:t>Dlhodobý nehmotný majetok a dlhodobý hmotný majetok</w:t>
      </w:r>
    </w:p>
    <w:p w14:paraId="729213BA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90BB61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nakupovaný sa oceňuje obstarávacou cenou, ktorá zahŕňa cenu obstarania a náklady súvisiace s obstaraním (clo, prepravu, montáž, poistné a pod.). </w:t>
      </w:r>
    </w:p>
    <w:p w14:paraId="0154687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1E378EB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Súčasťou obstarávacej ceny dlhodobého hmotného a nehmotného majetku nie sú úroky z cudzích zdrojov ani realizované kurzové rozdiely, ktoré vznikli do momentu uvedenia dlhodobého majetku do používania.</w:t>
      </w:r>
    </w:p>
    <w:p w14:paraId="546AF04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258FB09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Dlhodobý majetok vytvorený vlastnou činnosťou sa oceňuje vlastnými nákladmi. Vlastnými nákladmi sú všetky priame náklady vynaložené na výrobu alebo inú činnosť a nepriame náklady, ktoré sa vzťahujú na výrobu alebo inú činnosť. </w:t>
      </w:r>
    </w:p>
    <w:p w14:paraId="1475564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747BFD6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 používania. Drobný dlhodobý nehmotný majetok, ktorého obstarávacia cena (resp. vlastné náklady) je 2 400 EUR a nižšia, sa odpisuje jednorazovo pri uvedení do používania. </w:t>
      </w:r>
    </w:p>
    <w:p w14:paraId="53B5D5F9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1DEA513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Pozemky sa neodpisujú. Predpokladaná doba používania, metóda odpisovania a odpisová sadzba sú uvedené v nasledujúcej tabuľke:</w:t>
      </w:r>
    </w:p>
    <w:p w14:paraId="556F87CB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2269"/>
      </w:tblGrid>
      <w:tr w:rsidR="00CD0101" w:rsidRPr="00F730ED" w14:paraId="116B8608" w14:textId="77777777" w:rsidTr="008C4389">
        <w:trPr>
          <w:trHeight w:val="250"/>
        </w:trPr>
        <w:tc>
          <w:tcPr>
            <w:tcW w:w="3118" w:type="dxa"/>
            <w:gridSpan w:val="2"/>
          </w:tcPr>
          <w:p w14:paraId="32B951F0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A8930D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Predpokladaná</w:t>
            </w:r>
          </w:p>
        </w:tc>
        <w:tc>
          <w:tcPr>
            <w:tcW w:w="141" w:type="dxa"/>
          </w:tcPr>
          <w:p w14:paraId="4C237AF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8319E9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Metóda</w:t>
            </w:r>
          </w:p>
        </w:tc>
        <w:tc>
          <w:tcPr>
            <w:tcW w:w="142" w:type="dxa"/>
          </w:tcPr>
          <w:p w14:paraId="729EC60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</w:tcPr>
          <w:p w14:paraId="5020B27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Ročná odpisová</w:t>
            </w:r>
          </w:p>
        </w:tc>
      </w:tr>
      <w:tr w:rsidR="00CD0101" w:rsidRPr="00F730ED" w14:paraId="113E633A" w14:textId="77777777" w:rsidTr="008C4389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5018B9D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0755F469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78E029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6E0709CA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F0F728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2EA9B7D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3FFE137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sadzba</w:t>
            </w:r>
          </w:p>
        </w:tc>
      </w:tr>
      <w:tr w:rsidR="00CD0101" w:rsidRPr="00F730ED" w14:paraId="7DF48269" w14:textId="77777777" w:rsidTr="008C438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  <w:vAlign w:val="center"/>
          </w:tcPr>
          <w:p w14:paraId="2171601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Stavby</w:t>
            </w:r>
            <w:r>
              <w:rPr>
                <w:color w:val="auto"/>
                <w:sz w:val="22"/>
                <w:szCs w:val="22"/>
              </w:rPr>
              <w:t xml:space="preserve"> - vlastné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58133A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60</w:t>
            </w:r>
          </w:p>
        </w:tc>
        <w:tc>
          <w:tcPr>
            <w:tcW w:w="141" w:type="dxa"/>
            <w:tcBorders>
              <w:top w:val="single" w:sz="4" w:space="0" w:color="auto"/>
            </w:tcBorders>
            <w:vAlign w:val="center"/>
          </w:tcPr>
          <w:p w14:paraId="18A7052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A7C81B4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  <w:vAlign w:val="center"/>
          </w:tcPr>
          <w:p w14:paraId="7588B180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</w:tcBorders>
            <w:vAlign w:val="center"/>
          </w:tcPr>
          <w:p w14:paraId="180E76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1,6667</w:t>
            </w:r>
          </w:p>
        </w:tc>
      </w:tr>
      <w:tr w:rsidR="00CD0101" w:rsidRPr="00F730ED" w14:paraId="59BD304D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283BF812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Stavby - prenajaté a ich technické zhodnotenie</w:t>
            </w:r>
          </w:p>
        </w:tc>
        <w:tc>
          <w:tcPr>
            <w:tcW w:w="1985" w:type="dxa"/>
            <w:vAlign w:val="center"/>
          </w:tcPr>
          <w:p w14:paraId="1FA8A32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</w:t>
            </w:r>
          </w:p>
        </w:tc>
        <w:tc>
          <w:tcPr>
            <w:tcW w:w="141" w:type="dxa"/>
            <w:vAlign w:val="center"/>
          </w:tcPr>
          <w:p w14:paraId="2388F0F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7919BC8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0812364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DB812F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5</w:t>
            </w:r>
          </w:p>
        </w:tc>
      </w:tr>
      <w:tr w:rsidR="00CD0101" w:rsidRPr="00F730ED" w14:paraId="0822E356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9F2E33F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Stroje, prístroje a zariadenia</w:t>
            </w:r>
          </w:p>
        </w:tc>
        <w:tc>
          <w:tcPr>
            <w:tcW w:w="1985" w:type="dxa"/>
            <w:vAlign w:val="center"/>
          </w:tcPr>
          <w:p w14:paraId="0604C99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6 až 12</w:t>
            </w:r>
          </w:p>
        </w:tc>
        <w:tc>
          <w:tcPr>
            <w:tcW w:w="141" w:type="dxa"/>
            <w:vAlign w:val="center"/>
          </w:tcPr>
          <w:p w14:paraId="00B6A0A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3E686E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A393986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060AEE9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16,6 až 8,3</w:t>
            </w:r>
          </w:p>
        </w:tc>
      </w:tr>
      <w:tr w:rsidR="00CD0101" w:rsidRPr="00F730ED" w14:paraId="502F4457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3D7800AE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Dopravné prostriedky</w:t>
            </w:r>
          </w:p>
        </w:tc>
        <w:tc>
          <w:tcPr>
            <w:tcW w:w="1985" w:type="dxa"/>
            <w:vAlign w:val="center"/>
          </w:tcPr>
          <w:p w14:paraId="3FBEF40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4 až 6</w:t>
            </w:r>
          </w:p>
        </w:tc>
        <w:tc>
          <w:tcPr>
            <w:tcW w:w="141" w:type="dxa"/>
            <w:vAlign w:val="center"/>
          </w:tcPr>
          <w:p w14:paraId="1BA4315F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506BCEB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lineárna</w:t>
            </w:r>
          </w:p>
        </w:tc>
        <w:tc>
          <w:tcPr>
            <w:tcW w:w="142" w:type="dxa"/>
            <w:vAlign w:val="center"/>
          </w:tcPr>
          <w:p w14:paraId="6E8A27B5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45224EA1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25 až 16,6</w:t>
            </w:r>
          </w:p>
        </w:tc>
      </w:tr>
      <w:tr w:rsidR="00CD0101" w:rsidRPr="00F730ED" w14:paraId="2A16067E" w14:textId="77777777" w:rsidTr="008C4389">
        <w:trPr>
          <w:trHeight w:val="250"/>
        </w:trPr>
        <w:tc>
          <w:tcPr>
            <w:tcW w:w="3118" w:type="dxa"/>
            <w:gridSpan w:val="2"/>
            <w:vAlign w:val="center"/>
          </w:tcPr>
          <w:p w14:paraId="405D8CE1" w14:textId="77777777" w:rsidR="00CD0101" w:rsidRPr="00F730ED" w:rsidRDefault="00CD0101" w:rsidP="008C4389">
            <w:pPr>
              <w:pStyle w:val="Tabulka"/>
              <w:spacing w:line="276" w:lineRule="auto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Drobný dlhodobý hmotný majetok</w:t>
            </w:r>
          </w:p>
        </w:tc>
        <w:tc>
          <w:tcPr>
            <w:tcW w:w="1985" w:type="dxa"/>
            <w:vAlign w:val="center"/>
          </w:tcPr>
          <w:p w14:paraId="5FF2745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41" w:type="dxa"/>
            <w:vAlign w:val="center"/>
          </w:tcPr>
          <w:p w14:paraId="73654CC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040143D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jednorazový odpis</w:t>
            </w:r>
          </w:p>
        </w:tc>
        <w:tc>
          <w:tcPr>
            <w:tcW w:w="142" w:type="dxa"/>
            <w:vAlign w:val="center"/>
          </w:tcPr>
          <w:p w14:paraId="055531D2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269" w:type="dxa"/>
            <w:vAlign w:val="center"/>
          </w:tcPr>
          <w:p w14:paraId="3064E79C" w14:textId="77777777" w:rsidR="00CD0101" w:rsidRPr="00F730ED" w:rsidRDefault="00CD0101" w:rsidP="008C4389">
            <w:pPr>
              <w:pStyle w:val="Tabulka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F730ED"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2A03D9C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ab/>
      </w:r>
    </w:p>
    <w:p w14:paraId="70C778FE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Metódy odpisovania, doby použiteľnosti a zostatkové hodnoty sa prehodnocujú ku dňu, ku ktorému sa zostavuje účtovná závierka, a ak je potrebné urobia sa úpravy.</w:t>
      </w:r>
    </w:p>
    <w:p w14:paraId="2F799B37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67445908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i/>
        </w:rPr>
      </w:pPr>
      <w:r w:rsidRPr="00F730ED">
        <w:rPr>
          <w:rFonts w:ascii="Times New Roman" w:hAnsi="Times New Roman" w:cs="Times New Roman"/>
          <w:b/>
          <w:i/>
        </w:rPr>
        <w:t>Posúdenie zníženia hodnoty majetku</w:t>
      </w:r>
    </w:p>
    <w:p w14:paraId="44186FC2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Opravné položky sa tvoria na základe zásady opatrnosti, ak je opodstatnené predpokladať, že došlo k zníženiu hodnoty majetku oproti jeho oceneniu v účtovníctve. Opravná položka sa účtuje v sume opodstatneného predpokladu zníženia hodnoty majetku oproti jeho oceneniu v účtovníctve.</w:t>
      </w:r>
    </w:p>
    <w:p w14:paraId="788435DF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0313A866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 xml:space="preserve">Faktory, ktoré sú považované za dôležité pri  posudzovaní zníženia hodnoty majetku sú: </w:t>
      </w:r>
    </w:p>
    <w:p w14:paraId="242FF240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technologický pokrok,</w:t>
      </w:r>
    </w:p>
    <w:p w14:paraId="5E6D46A2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významne nedostatočné prevádzkové výsledky v porovnaní s historickými alebo plánovanými prevádzkovými výsledkami,</w:t>
      </w:r>
    </w:p>
    <w:p w14:paraId="213BAD57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  <w:t>významné zmeny v spôsobe použitia majetku Spoločnosti alebo celkovej zmeny stratégie Spoločnosti,</w:t>
      </w:r>
    </w:p>
    <w:p w14:paraId="09759915" w14:textId="77777777" w:rsidR="00CD0101" w:rsidRPr="00F730ED" w:rsidRDefault="00CD0101" w:rsidP="00CD0101">
      <w:pPr>
        <w:tabs>
          <w:tab w:val="left" w:pos="426"/>
        </w:tabs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•</w:t>
      </w:r>
      <w:r w:rsidRPr="00F730ED">
        <w:rPr>
          <w:rFonts w:ascii="Times New Roman" w:hAnsi="Times New Roman" w:cs="Times New Roman"/>
        </w:rPr>
        <w:tab/>
      </w:r>
      <w:proofErr w:type="spellStart"/>
      <w:r w:rsidRPr="00F730ED">
        <w:rPr>
          <w:rFonts w:ascii="Times New Roman" w:hAnsi="Times New Roman" w:cs="Times New Roman"/>
        </w:rPr>
        <w:t>zastaralosť</w:t>
      </w:r>
      <w:proofErr w:type="spellEnd"/>
      <w:r w:rsidRPr="00F730ED">
        <w:rPr>
          <w:rFonts w:ascii="Times New Roman" w:hAnsi="Times New Roman" w:cs="Times New Roman"/>
        </w:rPr>
        <w:t xml:space="preserve"> produktov.</w:t>
      </w:r>
    </w:p>
    <w:p w14:paraId="7F7E7020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</w:p>
    <w:p w14:paraId="30A06FFD" w14:textId="77777777" w:rsidR="00CD0101" w:rsidRPr="00F730ED" w:rsidRDefault="00CD0101" w:rsidP="00CD0101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t>Ak Spoločnosť zistí, že na základe existencie jedného alebo viacerých indikátorov zníženia hodnoty majetku možno predpokladať, že došlo k zníženiu hodnoty majetku oproti jeho oceneniu v účtovníctve, vypočíta zníženie hodnoty majetku na základe odhadov projektovaných čistých diskontovaných peňažných tokov, ktoré sa očakávajú z daného majetku, vrátane jeho prípadného predaja. Odhadované zníženie hodnoty by sa mohlo preukázať ako nedostatočné, ak by analýzy nadhodnotili peňažné toky alebo ak sa zmenia podmienky.</w:t>
      </w:r>
    </w:p>
    <w:p w14:paraId="15F51A33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6FACF7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EF63099" w14:textId="77777777" w:rsidR="00CD0101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Dotácie poskytnuté na obstaranie majetku:</w:t>
      </w:r>
    </w:p>
    <w:p w14:paraId="15B316C1" w14:textId="77777777" w:rsidR="00CD0101" w:rsidRPr="00CC0138" w:rsidRDefault="00CD0101" w:rsidP="00CD0101">
      <w:pPr>
        <w:pStyle w:val="Odsekzoznamu"/>
        <w:numPr>
          <w:ilvl w:val="0"/>
          <w:numId w:val="1"/>
        </w:num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žiadne</w:t>
      </w:r>
    </w:p>
    <w:p w14:paraId="127CB44C" w14:textId="77777777" w:rsidR="00CD0101" w:rsidRPr="00F730ED" w:rsidRDefault="00CD0101" w:rsidP="00CD0101">
      <w:pPr>
        <w:spacing w:after="0" w:line="276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1D7457" w14:textId="77777777" w:rsidR="00CD0101" w:rsidRDefault="00CD0101" w:rsidP="00CD0101">
      <w:pPr>
        <w:spacing w:after="0" w:line="276" w:lineRule="auto"/>
        <w:jc w:val="both"/>
        <w:rPr>
          <w:rFonts w:ascii="Times New Roman" w:hAnsi="Times New Roman" w:cs="Times New Roman"/>
          <w:b/>
        </w:rPr>
      </w:pPr>
    </w:p>
    <w:p w14:paraId="6605184D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Pohľadávky</w:t>
      </w:r>
    </w:p>
    <w:p w14:paraId="6C8234FC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37A0C8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Pohľadávky pri ich vzniku sa oceňujú ich menovitou hodnotou; postúpené pohľadávky a pohľadávky nadobudnuté vkladom do základného imania sa oceňujú obstarávacou cenou vrátane nákladov súvisiacich s obstaraním. Toto ocenenie sa znižuje o pochybné a nevymožiteľné pohľadávky.</w:t>
      </w:r>
    </w:p>
    <w:p w14:paraId="231FEE9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B114A8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Finančné účty</w:t>
      </w:r>
    </w:p>
    <w:p w14:paraId="01653347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6CE58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Finančné účty tvorí peňažná hotovosť, ceniny, zostatky na bankových účtoch a oceňujú sa menovitou hodnotou. Zníženie ich hodnoty sa vyjadruje opravnou položkou.</w:t>
      </w:r>
    </w:p>
    <w:p w14:paraId="46AEA23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912CF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III.5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Náklady budúcich období a príjmy budúcich období</w:t>
      </w:r>
    </w:p>
    <w:p w14:paraId="40761AB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EC311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Náklady budúcich období a príjmy budúcich období sa vykazujú vo výške, ktorá je potrebná na dodržanie zásady vecnej a časovej súvislosti s účtovným obdobím.</w:t>
      </w:r>
    </w:p>
    <w:p w14:paraId="3924A2FD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D8D970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III.6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Rezervy</w:t>
      </w:r>
    </w:p>
    <w:p w14:paraId="4BE6EC1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FAEE7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Rezerva je záväzok predstavujúci existujúcu povinnosť Spoločnosti, ktorá vznikla z minulých udalostí a je pravdepodobné, že v budúcnosti zníži jej ekonomické úžitky. Rezervy sú záväzky s neurčitým časovým vymedzením alebo výškou a oceňujú sa odhadom v sume potrebnej na splnenie existujúcej povinnosti ku dňu, ku ktorému sa zostavuje účtovná závierka.</w:t>
      </w:r>
    </w:p>
    <w:p w14:paraId="599B1E1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DEA16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Tvorba rezervy sa účtuje na vecne príslušný nákladový alebo majetkový účet, ku ktorému záväzok prislúcha. Použitie rezervy sa účtuje na ťarchu vecne príslušného účtu rezerv so súvzťažným zápisom v prospech vecne príslušného účtu záväzkov. Rozpustenie nepotrebnej rezervy alebo jej časti sa účtuje opačným účtovným zápisom ako sa účtovala tvorba rezervy. </w:t>
      </w:r>
    </w:p>
    <w:p w14:paraId="2DE239E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AD4B5E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Tvorba rezervy na bonusy, rabaty, skontá a vrátenie kúpnej ceny pri reklamácii sa účtuje ako zníženie pôvodne dosiahnutých výnosov so súvzťažným zápisom v prospech účtu rezerv. </w:t>
      </w:r>
    </w:p>
    <w:p w14:paraId="2D52337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58DDF1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Rezervy na nevyfakturované dodávky majetku sa nevykazujú s vplyvom na výsledok hospodárenia a oceňujú sa v odhadovanej výške záväzku.</w:t>
      </w:r>
    </w:p>
    <w:p w14:paraId="6EB4FE73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927458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III.7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Záväzky</w:t>
      </w:r>
    </w:p>
    <w:p w14:paraId="7D86237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E0B81B8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Záväzky pri ich vzniku sa oceňujú menovitou hodnotou. Záväzky pri ich prevzatí sa oceňujú obstarávacou cenou. Ak sa pri inventarizácii zistí, že suma záväzkov je iná ako ich výška v účtovníctve, uvedú sa záväzky v účtovníctve a v účtovnej závierke v tomto zistenom ocenení.</w:t>
      </w:r>
    </w:p>
    <w:p w14:paraId="3A7C427E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0F9CA9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III.8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Výdavky budúcich období a výnosy budúcich období</w:t>
      </w:r>
    </w:p>
    <w:p w14:paraId="0DF9E4C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CA508D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Výdavky budúcich období a výnosy budúcich období sa vykazujú vo výške, ktorá je potrebná na dodržanie zásady vecnej a časovej súvislosti s účtovným obdobím.</w:t>
      </w:r>
    </w:p>
    <w:p w14:paraId="5A811C25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21990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9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Výnosy</w:t>
      </w:r>
    </w:p>
    <w:p w14:paraId="71F75B8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7E612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za vlastné výkony a tovar neobsahujú daň z pridanej hodnoty. Sú tiež znížené o zľavy a zrážky (rabaty, bonusy, skontá, dobropisy a pod.), bez ohľadu na to, či zákazník mal vopred na zľavu nárok, alebo či ide o dodatočne uznanú zľavu.</w:t>
      </w:r>
    </w:p>
    <w:p w14:paraId="406196E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AE6897B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Tržby z predaja výrobkov a tovaru sa vykazujú v deň splnenia dodávky podľa Obchodného zákonníka, podľa </w:t>
      </w:r>
      <w:proofErr w:type="spellStart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Incoterms</w:t>
      </w:r>
      <w:proofErr w:type="spellEnd"/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alebo iných podmienok dohodnutých v zmluve. </w:t>
      </w:r>
    </w:p>
    <w:p w14:paraId="7935400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AE6084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Tržby z predaja služieb sa vykazujú v účtovnom období, v ktorom boli služby poskytnuté.</w:t>
      </w:r>
    </w:p>
    <w:p w14:paraId="35D7C357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Výnosové úroky sa účtujú rovnomerne v účtovných obdobiach, ktorých sa vecne a časovo týkajú / na základe časového rozlíšenia metódou efektívnej úrokovej miery.</w:t>
      </w:r>
    </w:p>
    <w:p w14:paraId="316DA1A5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5DF03E4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Výnosy z dividend sa zaúčtujú v čase vzniku práva Spoločnosti na prijatie platby.</w:t>
      </w:r>
    </w:p>
    <w:p w14:paraId="67A53092" w14:textId="77777777" w:rsidR="00CD0101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453CB6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636ECA1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10 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Porovnateľné údaje</w:t>
      </w:r>
    </w:p>
    <w:p w14:paraId="4420C683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86C6A41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v dôsledku zmeny účtovných metód a účtovných zásad nie sú hodnoty za bezprostredne predchádzajúce účtovné obdobie v jednotlivých súčastiach účtovnej závierky porovnateľné, uvádza sa vysvetlenie o neporovnateľných hodnotách v poznámkach. </w:t>
      </w:r>
    </w:p>
    <w:p w14:paraId="549AACF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EAE490" w14:textId="77777777" w:rsidR="00CD0101" w:rsidRPr="00F730ED" w:rsidRDefault="00CD0101" w:rsidP="00CD010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p w14:paraId="6A4F37CF" w14:textId="77777777" w:rsidR="00CD0101" w:rsidRPr="00F730ED" w:rsidRDefault="00CD0101" w:rsidP="00CD0101">
      <w:pPr>
        <w:spacing w:after="0" w:line="276" w:lineRule="auto"/>
        <w:ind w:left="992" w:hanging="992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IV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Informácie, ktoré vysvetľujú a dopĺňajú položky súvahy a výkazu ziskov a strát</w:t>
      </w:r>
    </w:p>
    <w:p w14:paraId="7C1CF5AF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7E0A3394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1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p w14:paraId="6869C274" w14:textId="77777777" w:rsidR="00CD0101" w:rsidRDefault="00CD0101" w:rsidP="00CD0101">
      <w:pPr>
        <w:pStyle w:val="Zkladntext"/>
        <w:ind w:left="0"/>
        <w:rPr>
          <w:sz w:val="22"/>
          <w:szCs w:val="22"/>
        </w:rPr>
      </w:pPr>
    </w:p>
    <w:p w14:paraId="3C55C890" w14:textId="77777777" w:rsidR="00CD0101" w:rsidRPr="00F730ED" w:rsidRDefault="00CD0101" w:rsidP="00CD0101">
      <w:pPr>
        <w:pStyle w:val="Zkladntext"/>
        <w:ind w:left="0"/>
        <w:rPr>
          <w:sz w:val="22"/>
          <w:szCs w:val="22"/>
        </w:rPr>
      </w:pPr>
      <w:r w:rsidRPr="00F730ED">
        <w:rPr>
          <w:sz w:val="22"/>
          <w:szCs w:val="22"/>
        </w:rPr>
        <w:t>Štruktúra záväzkov (okrem záväzkov zo sociálneho fondu a odloženého daňového záväzku) podľa zostatkovej doby splatnosti je uvedená v nasledujúcom prehľade:</w:t>
      </w:r>
    </w:p>
    <w:p w14:paraId="41FC0FC8" w14:textId="77777777" w:rsidR="00CD0101" w:rsidRPr="00F730ED" w:rsidRDefault="00CD0101" w:rsidP="00CD0101">
      <w:pPr>
        <w:pStyle w:val="Zkladntext"/>
        <w:rPr>
          <w:sz w:val="22"/>
          <w:szCs w:val="22"/>
        </w:rPr>
      </w:pPr>
    </w:p>
    <w:bookmarkStart w:id="0" w:name="_MON_1450595791"/>
    <w:bookmarkEnd w:id="0"/>
    <w:p w14:paraId="7DF652D4" w14:textId="68C53C4A" w:rsidR="00CD0101" w:rsidRPr="00F730ED" w:rsidRDefault="00FD0B69" w:rsidP="00CD0101">
      <w:pPr>
        <w:ind w:left="426"/>
        <w:rPr>
          <w:rFonts w:ascii="Times New Roman" w:hAnsi="Times New Roman" w:cs="Times New Roman"/>
        </w:rPr>
      </w:pPr>
      <w:r w:rsidRPr="00F730ED">
        <w:rPr>
          <w:rFonts w:ascii="Times New Roman" w:hAnsi="Times New Roman" w:cs="Times New Roman"/>
        </w:rPr>
        <w:object w:dxaOrig="8951" w:dyaOrig="2445" w14:anchorId="154DF7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439.2pt;height:133.8pt" o:ole="" o:preferrelative="f">
            <v:imagedata r:id="rId7" o:title=""/>
            <o:lock v:ext="edit" aspectratio="f"/>
          </v:shape>
          <o:OLEObject Type="Embed" ProgID="Excel.Sheet.12" ShapeID="_x0000_i1030" DrawAspect="Content" ObjectID="_1802674646" r:id="rId8"/>
        </w:object>
      </w:r>
    </w:p>
    <w:p w14:paraId="6DD493C9" w14:textId="77777777" w:rsidR="00CD0101" w:rsidRPr="00F730ED" w:rsidRDefault="00CD0101" w:rsidP="00A910FC">
      <w:pPr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Informácie o iných aktívach a iných pasívach</w:t>
      </w:r>
    </w:p>
    <w:p w14:paraId="0F368121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</w:rPr>
      </w:pPr>
    </w:p>
    <w:p w14:paraId="39049340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a)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podmienenom majetku</w:t>
      </w:r>
    </w:p>
    <w:p w14:paraId="7F91C3EE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podmienený majetok.</w:t>
      </w:r>
    </w:p>
    <w:p w14:paraId="16167ED2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80BED6A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A0055F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podmienených záväzkoch</w:t>
      </w:r>
    </w:p>
    <w:p w14:paraId="21FB161C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 dôsledku ktorých by jej vznikol významný náklad.</w:t>
      </w:r>
    </w:p>
    <w:p w14:paraId="388BE8B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6CA02E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449F8C6" w14:textId="77777777" w:rsidR="00CD0101" w:rsidRPr="00F730ED" w:rsidRDefault="00CD0101" w:rsidP="00CD0101">
      <w:pPr>
        <w:spacing w:after="0" w:line="276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</w:t>
      </w: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údajoch na podsúvahových účtoch</w:t>
      </w:r>
    </w:p>
    <w:p w14:paraId="04D9ABA2" w14:textId="77777777" w:rsidR="00CD0101" w:rsidRPr="00CC0138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C0138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    - žiadne</w:t>
      </w:r>
    </w:p>
    <w:p w14:paraId="2D9A2850" w14:textId="77777777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:b/>
          <w:color w:val="4472C4" w:themeColor="accent1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096353" w14:textId="77777777" w:rsidR="00CD0101" w:rsidRPr="00F730ED" w:rsidRDefault="00CD0101" w:rsidP="00CD0101">
      <w:pPr>
        <w:spacing w:after="0" w:line="276" w:lineRule="auto"/>
        <w:ind w:left="993" w:hanging="993"/>
        <w:rPr>
          <w:rFonts w:ascii="Times New Roman" w:hAnsi="Times New Roman" w:cs="Times New Roman"/>
          <w:b/>
          <w:color w:val="4472C4" w:themeColor="accent1"/>
        </w:rPr>
      </w:pPr>
      <w:r w:rsidRPr="00F730ED">
        <w:rPr>
          <w:rFonts w:ascii="Times New Roman" w:hAnsi="Times New Roman" w:cs="Times New Roman"/>
          <w:b/>
          <w:color w:val="4472C4" w:themeColor="accent1"/>
        </w:rPr>
        <w:t>Čl. VI</w:t>
      </w:r>
      <w:r w:rsidRPr="00F730ED">
        <w:rPr>
          <w:rFonts w:ascii="Times New Roman" w:hAnsi="Times New Roman" w:cs="Times New Roman"/>
          <w:b/>
          <w:color w:val="4472C4" w:themeColor="accent1"/>
        </w:rPr>
        <w:tab/>
        <w:t> Udalosti, ktoré nastali po dni, ku ktorému sa zostavuje účtovná závierka</w:t>
      </w:r>
    </w:p>
    <w:p w14:paraId="19342DF6" w14:textId="77777777" w:rsidR="00CD0101" w:rsidRPr="00F730ED" w:rsidRDefault="00CD0101" w:rsidP="00CD0101">
      <w:pPr>
        <w:spacing w:after="0" w:line="276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 j)   Udalosti, ktoré nastali po dni, ku ktorému sa zostavuje účtovná závierka</w:t>
      </w:r>
    </w:p>
    <w:p w14:paraId="01D402CC" w14:textId="77777777" w:rsidR="00CD0101" w:rsidRPr="00F730ED" w:rsidRDefault="00CD0101" w:rsidP="00CD0101">
      <w:pPr>
        <w:tabs>
          <w:tab w:val="left" w:pos="3150"/>
        </w:tabs>
        <w:spacing w:after="0" w:line="276" w:lineRule="auto"/>
        <w:rPr>
          <w:rFonts w:ascii="Times New Roman" w:eastAsia="MS Gothic" w:hAnsi="Times New Roman" w:cs="Times New Roman"/>
        </w:rPr>
      </w:pPr>
    </w:p>
    <w:p w14:paraId="3D7C0A13" w14:textId="3064FC9D" w:rsidR="00CD0101" w:rsidRPr="00F730ED" w:rsidRDefault="00CD0101" w:rsidP="00CD0101">
      <w:pPr>
        <w:spacing w:after="0" w:line="276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neidentifikovala žiadne skutočnosti medzi dňom, ku ktorému sa účtovná závierka zostavuje a dňom zostavenia účtovnej závierky, ktoré by mali významný vplyv na výsledok hospodárenia Spoločnosti prípadne na celkovú finančnú situáciu Spoločnosti za obdobie od 1. januára 20</w:t>
      </w:r>
      <w:r w:rsidR="007767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4C348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do 31. decembra 20</w:t>
      </w:r>
      <w:r w:rsidR="007767F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4C3480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  <w:r w:rsidRPr="00F730E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5A9B5D0F" w14:textId="77777777" w:rsidR="00726BBB" w:rsidRDefault="00726BBB"/>
    <w:sectPr w:rsidR="00726BBB" w:rsidSect="00FB3281">
      <w:headerReference w:type="default" r:id="rId9"/>
      <w:footerReference w:type="default" r:id="rId10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07868" w14:textId="77777777" w:rsidR="000D4939" w:rsidRDefault="000D4939">
      <w:pPr>
        <w:spacing w:after="0" w:line="240" w:lineRule="auto"/>
      </w:pPr>
      <w:r>
        <w:separator/>
      </w:r>
    </w:p>
  </w:endnote>
  <w:endnote w:type="continuationSeparator" w:id="0">
    <w:p w14:paraId="5ED1E099" w14:textId="77777777" w:rsidR="000D4939" w:rsidRDefault="000D4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3C1FC" w14:textId="77777777" w:rsidR="002C5478" w:rsidRPr="00F17E37" w:rsidRDefault="00993620" w:rsidP="00195651">
    <w:pPr>
      <w:pStyle w:val="Pta"/>
      <w:jc w:val="center"/>
      <w:rPr>
        <w:rFonts w:ascii="Times New Roman" w:hAnsi="Times New Roman" w:cs="Times New Roman"/>
        <w:color w:val="808080" w:themeColor="background1" w:themeShade="80"/>
        <w:sz w:val="16"/>
        <w:szCs w:val="16"/>
      </w:rPr>
    </w:pP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Strana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PAGE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5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  <w:r w:rsidRPr="00F17E37">
      <w:rPr>
        <w:rFonts w:ascii="Times New Roman" w:hAnsi="Times New Roman" w:cs="Times New Roman"/>
        <w:color w:val="808080" w:themeColor="background1" w:themeShade="80"/>
        <w:sz w:val="16"/>
        <w:szCs w:val="16"/>
      </w:rPr>
      <w:t xml:space="preserve"> z 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begin"/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instrText>NUMPAGES  \* Arabic  \* MERGEFORMAT</w:instrTex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noProof/>
        <w:color w:val="808080" w:themeColor="background1" w:themeShade="80"/>
        <w:sz w:val="16"/>
        <w:szCs w:val="16"/>
      </w:rPr>
      <w:t>6</w:t>
    </w:r>
    <w:r w:rsidRPr="00F17E37">
      <w:rPr>
        <w:rFonts w:ascii="Times New Roman" w:hAnsi="Times New Roman" w:cs="Times New Roman"/>
        <w:b/>
        <w:bCs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3A428" w14:textId="77777777" w:rsidR="000D4939" w:rsidRDefault="000D4939">
      <w:pPr>
        <w:spacing w:after="0" w:line="240" w:lineRule="auto"/>
      </w:pPr>
      <w:r>
        <w:separator/>
      </w:r>
    </w:p>
  </w:footnote>
  <w:footnote w:type="continuationSeparator" w:id="0">
    <w:p w14:paraId="7CAE4722" w14:textId="77777777" w:rsidR="000D4939" w:rsidRDefault="000D4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B8325F" w14:paraId="01B33137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13E904EA" w14:textId="77777777" w:rsidR="002C5478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D6E3D20" w14:textId="77777777" w:rsidR="002C5478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392BF6B4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5</w:t>
          </w:r>
        </w:p>
      </w:tc>
      <w:tc>
        <w:tcPr>
          <w:tcW w:w="297" w:type="dxa"/>
        </w:tcPr>
        <w:p w14:paraId="66A41774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024A298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587E78CF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06ED8401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0EDD5EE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F34F4D0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4DA091E0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24090EB3" w14:textId="77777777" w:rsidR="002C5478" w:rsidRPr="0018540B" w:rsidRDefault="00993620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0A85B815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6F3A2F1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0BBEE2ED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5145CBD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93692CD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6DAAC200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4AE159AF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423A66C4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9</w:t>
          </w:r>
        </w:p>
      </w:tc>
      <w:tc>
        <w:tcPr>
          <w:tcW w:w="297" w:type="dxa"/>
        </w:tcPr>
        <w:p w14:paraId="55853F06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73CFB081" w14:textId="77777777" w:rsidR="002C5478" w:rsidRPr="0018540B" w:rsidRDefault="00960B74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>
            <w:rPr>
              <w:rFonts w:ascii="Times New Roman" w:hAnsi="Times New Roman" w:cs="Times New Roman"/>
              <w:position w:val="2"/>
              <w:szCs w:val="24"/>
            </w:rPr>
            <w:t>6</w:t>
          </w:r>
        </w:p>
      </w:tc>
    </w:tr>
  </w:tbl>
  <w:p w14:paraId="5273B145" w14:textId="77777777" w:rsidR="002C5478" w:rsidRPr="00CE03EC" w:rsidRDefault="002C5478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E0AB7"/>
    <w:multiLevelType w:val="hybridMultilevel"/>
    <w:tmpl w:val="72D865A6"/>
    <w:lvl w:ilvl="0" w:tplc="B76671AC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91530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01"/>
    <w:rsid w:val="000236F7"/>
    <w:rsid w:val="000D4939"/>
    <w:rsid w:val="002C5478"/>
    <w:rsid w:val="002D1E37"/>
    <w:rsid w:val="003D6353"/>
    <w:rsid w:val="004405D3"/>
    <w:rsid w:val="004930EC"/>
    <w:rsid w:val="004C3480"/>
    <w:rsid w:val="004E2FB5"/>
    <w:rsid w:val="00614FF5"/>
    <w:rsid w:val="00726BBB"/>
    <w:rsid w:val="007767F9"/>
    <w:rsid w:val="008B7638"/>
    <w:rsid w:val="008E720B"/>
    <w:rsid w:val="008F2CC3"/>
    <w:rsid w:val="00925F02"/>
    <w:rsid w:val="00960B74"/>
    <w:rsid w:val="00993620"/>
    <w:rsid w:val="00A910FC"/>
    <w:rsid w:val="00AF6224"/>
    <w:rsid w:val="00B519CC"/>
    <w:rsid w:val="00BB6843"/>
    <w:rsid w:val="00CD0101"/>
    <w:rsid w:val="00D10D8B"/>
    <w:rsid w:val="00DA1F4B"/>
    <w:rsid w:val="00E20ED4"/>
    <w:rsid w:val="00F612FD"/>
    <w:rsid w:val="00FB17A4"/>
    <w:rsid w:val="00FD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46DCC5"/>
  <w15:chartTrackingRefBased/>
  <w15:docId w15:val="{1E98B808-7D31-40AB-8160-CFEF8BB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D010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D010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D0101"/>
  </w:style>
  <w:style w:type="paragraph" w:styleId="Pta">
    <w:name w:val="footer"/>
    <w:basedOn w:val="Normlny"/>
    <w:link w:val="PtaChar"/>
    <w:uiPriority w:val="99"/>
    <w:unhideWhenUsed/>
    <w:rsid w:val="00CD01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D0101"/>
  </w:style>
  <w:style w:type="table" w:styleId="Mriekatabuky">
    <w:name w:val="Table Grid"/>
    <w:basedOn w:val="Normlnatabuka"/>
    <w:uiPriority w:val="39"/>
    <w:rsid w:val="00CD0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rsid w:val="00CD0101"/>
    <w:pPr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styleId="Zkladntext">
    <w:name w:val="Body Text"/>
    <w:basedOn w:val="Normlny"/>
    <w:link w:val="ZkladntextChar"/>
    <w:rsid w:val="00CD0101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CD0101"/>
    <w:rPr>
      <w:rFonts w:ascii="Times New Roman" w:eastAsia="Times New Roman" w:hAnsi="Times New Roman" w:cs="Times New Roman"/>
      <w:sz w:val="18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D1E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D1E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Miklošíková</dc:creator>
  <cp:keywords/>
  <dc:description/>
  <cp:lastModifiedBy>Daniela Miklošíková</cp:lastModifiedBy>
  <cp:revision>12</cp:revision>
  <cp:lastPrinted>2019-03-20T13:29:00Z</cp:lastPrinted>
  <dcterms:created xsi:type="dcterms:W3CDTF">2023-06-26T16:23:00Z</dcterms:created>
  <dcterms:modified xsi:type="dcterms:W3CDTF">2025-03-05T09:11:00Z</dcterms:modified>
</cp:coreProperties>
</file>