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embeddings/oleObject1.xlsx" ContentType="application/vnd.openxmlformats-officedocument.spreadsheetml.sheet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lavika"/>
        <w:tabs>
          <w:tab w:val="center" w:pos="4962" w:leader="none"/>
          <w:tab w:val="right" w:pos="9213" w:leader="none"/>
        </w:tabs>
        <w:ind w:right="-1" w:hanging="0"/>
        <w:jc w:val="right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>
        <w:rPr>
          <w:rFonts w:cs="Arial" w:ascii="Arial" w:hAnsi="Arial"/>
          <w:color w:val="000000" w:themeColor="text1"/>
          <w:sz w:val="18"/>
          <w:szCs w:val="18"/>
          <w:lang w:val="en-GB"/>
        </w:rPr>
      </w:r>
    </w:p>
    <w:p>
      <w:pPr>
        <w:pStyle w:val="Nadpis1"/>
        <w:numPr>
          <w:ilvl w:val="0"/>
          <w:numId w:val="2"/>
        </w:numPr>
        <w:rPr>
          <w:rFonts w:ascii="Arial" w:hAnsi="Arial" w:cs="Arial"/>
          <w:color w:val="000000" w:themeColor="text1"/>
          <w:szCs w:val="18"/>
        </w:rPr>
      </w:pPr>
      <w:r>
        <w:rPr>
          <w:rFonts w:eastAsia="Calibri" w:cs="Arial" w:ascii="Arial" w:hAnsi="Arial"/>
          <w:color w:val="000000" w:themeColor="text1"/>
          <w:szCs w:val="18"/>
          <w:lang w:eastAsia="sk-SK"/>
        </w:rPr>
        <w:t>Informácie</w:t>
      </w:r>
      <w:r>
        <w:rPr>
          <w:rFonts w:cs="Arial" w:ascii="Arial" w:hAnsi="Arial"/>
          <w:color w:val="000000" w:themeColor="text1"/>
          <w:szCs w:val="18"/>
          <w:lang w:eastAsia="sk-SK"/>
        </w:rPr>
        <w:t xml:space="preserve"> o účtovnej jednotke</w:t>
      </w:r>
    </w:p>
    <w:p>
      <w:pPr>
        <w:pStyle w:val="Textbody"/>
        <w:rPr>
          <w:rFonts w:ascii="Arial" w:hAnsi="Arial" w:cs="Arial"/>
          <w:color w:val="000000" w:themeColor="text1"/>
          <w:szCs w:val="18"/>
          <w:lang w:eastAsia="sk-SK"/>
        </w:rPr>
      </w:pPr>
      <w:r>
        <w:rPr>
          <w:rFonts w:cs="Arial" w:ascii="Arial" w:hAnsi="Arial"/>
          <w:color w:val="000000" w:themeColor="text1"/>
          <w:szCs w:val="18"/>
          <w:lang w:eastAsia="sk-SK"/>
        </w:rPr>
      </w:r>
    </w:p>
    <w:p>
      <w:pPr>
        <w:pStyle w:val="Nadpis2"/>
        <w:numPr>
          <w:ilvl w:val="0"/>
          <w:numId w:val="6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Obchodné meno a sídlo spoločnosti</w:t>
      </w:r>
    </w:p>
    <w:p>
      <w:pPr>
        <w:pStyle w:val="Standard"/>
        <w:spacing w:before="120" w:after="0"/>
        <w:ind w:left="426" w:hanging="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BG-Graspointner s. r. o.</w:t>
      </w:r>
    </w:p>
    <w:p>
      <w:pPr>
        <w:pStyle w:val="Standard"/>
        <w:ind w:left="426" w:hanging="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Kuchyňa 586</w:t>
      </w:r>
    </w:p>
    <w:p>
      <w:pPr>
        <w:pStyle w:val="Standard"/>
        <w:ind w:left="426" w:hanging="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900 52  Kuchyňa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Spoločnosť</w:t>
      </w:r>
      <w:r>
        <w:rPr>
          <w:rFonts w:eastAsia="Arial" w:cs="Arial" w:ascii="Arial" w:hAnsi="Arial"/>
          <w:color w:val="000000" w:themeColor="text1"/>
          <w:szCs w:val="18"/>
        </w:rPr>
        <w:t xml:space="preserve"> BG-Graspointner s.r.o. </w:t>
      </w:r>
      <w:r>
        <w:rPr>
          <w:rFonts w:cs="Arial" w:ascii="Arial" w:hAnsi="Arial"/>
          <w:color w:val="000000" w:themeColor="text1"/>
          <w:szCs w:val="18"/>
        </w:rPr>
        <w:t>(ďalej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len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Spoločnosť)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bola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založená</w:t>
      </w:r>
      <w:r>
        <w:rPr>
          <w:rFonts w:eastAsia="Arial" w:cs="Arial" w:ascii="Arial" w:hAnsi="Arial"/>
          <w:color w:val="000000" w:themeColor="text1"/>
          <w:szCs w:val="18"/>
        </w:rPr>
        <w:t xml:space="preserve"> 25. januára 1996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obchodného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registra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bola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zapísaná</w:t>
      </w:r>
      <w:r>
        <w:rPr>
          <w:rFonts w:eastAsia="Arial" w:cs="Arial" w:ascii="Arial" w:hAnsi="Arial"/>
          <w:color w:val="000000" w:themeColor="text1"/>
          <w:szCs w:val="18"/>
        </w:rPr>
        <w:t xml:space="preserve"> 21. marca 1996 (Obchodný register Mestského súdu Bratislava III, </w:t>
      </w:r>
      <w:r>
        <w:rPr>
          <w:rFonts w:cs="Arial" w:ascii="Arial" w:hAnsi="Arial"/>
          <w:color w:val="000000" w:themeColor="text1"/>
          <w:szCs w:val="18"/>
        </w:rPr>
        <w:t>oddiel Sro, vložka</w:t>
      </w:r>
      <w:r>
        <w:rPr>
          <w:rFonts w:eastAsia="Arial" w:cs="Arial" w:ascii="Arial" w:hAnsi="Arial"/>
          <w:color w:val="000000" w:themeColor="text1"/>
          <w:szCs w:val="18"/>
        </w:rPr>
        <w:t xml:space="preserve"> č. 13363/B.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Hlavnými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činnosťami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Spoločnosti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sú:</w:t>
      </w:r>
    </w:p>
    <w:p>
      <w:pPr>
        <w:pStyle w:val="Standard"/>
        <w:numPr>
          <w:ilvl w:val="0"/>
          <w:numId w:val="7"/>
        </w:numPr>
        <w:spacing w:before="120" w:after="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výroba betónových stavebných prvkov,</w:t>
      </w:r>
    </w:p>
    <w:p>
      <w:pPr>
        <w:pStyle w:val="Standard"/>
        <w:numPr>
          <w:ilvl w:val="0"/>
          <w:numId w:val="5"/>
        </w:num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výroba transportného betónu,</w:t>
      </w:r>
    </w:p>
    <w:p>
      <w:pPr>
        <w:pStyle w:val="Standard"/>
        <w:numPr>
          <w:ilvl w:val="0"/>
          <w:numId w:val="5"/>
        </w:num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kúpa tovaru v rozsahu voľnej živnosti na účely jeho predaja konečnému spotrebiteľovi (maloobchod),</w:t>
      </w:r>
    </w:p>
    <w:p>
      <w:pPr>
        <w:pStyle w:val="Standard"/>
        <w:numPr>
          <w:ilvl w:val="0"/>
          <w:numId w:val="5"/>
        </w:numPr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kúpa tovaru v rozsahu voľnej živnosti na účely jeho predaja iným prevádzkovateľom živnosti (veľkoobchod).</w:t>
      </w:r>
    </w:p>
    <w:p>
      <w:pPr>
        <w:pStyle w:val="Textbody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Právny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dôvod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zostavenie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závierky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Textbody"/>
        <w:ind w:left="426" w:hanging="426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ab/>
        <w:t>Účtovná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Spoločnosti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31.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decembru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2024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zostavená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ako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riadna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podľa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§</w:t>
      </w:r>
      <w:r>
        <w:rPr>
          <w:rFonts w:eastAsia="Arial" w:cs="Arial" w:ascii="Arial" w:hAnsi="Arial"/>
          <w:color w:val="000000" w:themeColor="text1"/>
          <w:szCs w:val="18"/>
        </w:rPr>
        <w:t> </w:t>
      </w:r>
      <w:r>
        <w:rPr>
          <w:rFonts w:cs="Arial" w:ascii="Arial" w:hAnsi="Arial"/>
          <w:color w:val="000000" w:themeColor="text1"/>
          <w:szCs w:val="18"/>
        </w:rPr>
        <w:t>17 ods.</w:t>
      </w:r>
      <w:r>
        <w:rPr>
          <w:rFonts w:eastAsia="Arial" w:cs="Arial" w:ascii="Arial" w:hAnsi="Arial"/>
          <w:color w:val="000000" w:themeColor="text1"/>
          <w:szCs w:val="18"/>
        </w:rPr>
        <w:t> </w:t>
      </w:r>
      <w:r>
        <w:rPr>
          <w:rFonts w:cs="Arial" w:ascii="Arial" w:hAnsi="Arial"/>
          <w:color w:val="000000" w:themeColor="text1"/>
          <w:szCs w:val="18"/>
        </w:rPr>
        <w:t>6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zákona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NR SR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č.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431/2002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Z. z.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 účtovníctve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od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1.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januára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2024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</w:t>
      </w:r>
      <w:r>
        <w:rPr>
          <w:rFonts w:eastAsia="Arial" w:cs="Arial" w:ascii="Arial" w:hAnsi="Arial"/>
          <w:color w:val="000000" w:themeColor="text1"/>
          <w:szCs w:val="18"/>
        </w:rPr>
        <w:t> </w:t>
      </w:r>
      <w:r>
        <w:rPr>
          <w:rFonts w:cs="Arial" w:ascii="Arial" w:hAnsi="Arial"/>
          <w:color w:val="000000" w:themeColor="text1"/>
          <w:szCs w:val="18"/>
        </w:rPr>
        <w:t>31.</w:t>
      </w:r>
      <w:r>
        <w:rPr>
          <w:rFonts w:eastAsia="Arial" w:cs="Arial" w:ascii="Arial" w:hAnsi="Arial"/>
          <w:color w:val="000000" w:themeColor="text1"/>
          <w:szCs w:val="18"/>
        </w:rPr>
        <w:t> </w:t>
      </w:r>
      <w:r>
        <w:rPr>
          <w:rFonts w:cs="Arial" w:ascii="Arial" w:hAnsi="Arial"/>
          <w:color w:val="000000" w:themeColor="text1"/>
          <w:szCs w:val="18"/>
        </w:rPr>
        <w:t>decembra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2024.</w:t>
      </w:r>
    </w:p>
    <w:p>
      <w:pPr>
        <w:pStyle w:val="Textbody"/>
        <w:ind w:left="426" w:hanging="426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Účtovná závierka je určená pre používateľov, ktorí majú primerané znalosti o obchodných a ekonomických činnostiach a účtovníctve,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 skupine</w:t>
      </w:r>
    </w:p>
    <w:p>
      <w:pPr>
        <w:pStyle w:val="Textbody"/>
        <w:rPr>
          <w:rStyle w:val="M2359083177929547904predvolenpsmoodseku1"/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Style w:val="M2359083177929547904predvolenpsmoodseku1"/>
          <w:rFonts w:cs="Arial" w:ascii="Arial" w:hAnsi="Arial"/>
          <w:color w:val="000000" w:themeColor="text1"/>
          <w:szCs w:val="18"/>
          <w:shd w:fill="FFFFFF" w:val="clear"/>
        </w:rPr>
        <w:t xml:space="preserve">Materskou spoločnosťou Spoločnosti  je Graspointner Holding GmbH, </w:t>
      </w:r>
      <w:bookmarkStart w:id="0" w:name="_Hlk160610984"/>
      <w:r>
        <w:rPr>
          <w:rStyle w:val="M2359083177929547904predvolenpsmoodseku1"/>
          <w:rFonts w:cs="Arial" w:ascii="Arial" w:hAnsi="Arial"/>
          <w:color w:val="000000" w:themeColor="text1"/>
          <w:szCs w:val="18"/>
          <w:shd w:fill="FFFFFF" w:val="clear"/>
        </w:rPr>
        <w:t>Gessenschwandt 39, Oberwang 4882</w:t>
      </w:r>
      <w:bookmarkEnd w:id="0"/>
      <w:r>
        <w:rPr>
          <w:rStyle w:val="M2359083177929547904predvolenpsmoodseku1"/>
          <w:rFonts w:cs="Arial" w:ascii="Arial" w:hAnsi="Arial"/>
          <w:color w:val="000000" w:themeColor="text1"/>
          <w:szCs w:val="18"/>
          <w:shd w:fill="FFFFFF" w:val="clear"/>
        </w:rPr>
        <w:t>, Rakúsko. Konsolidovanú účtovnú závierku zostavuje spoločnosť v Rakúsku. Túto konsolidovanú účtovnú závierku je možné dostať priamo v sídle uvedenej spoločnosti. Adresa registrového súdu, ktorý vedie obchodný register, kde sú uložené konsolidované účtovné závierky, je Oberwang, Rakúsko.</w:t>
      </w:r>
    </w:p>
    <w:p>
      <w:pPr>
        <w:pStyle w:val="Textbody"/>
        <w:spacing w:before="120" w:after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bookmarkStart w:id="1" w:name="_MON_1803213667"/>
      <w:bookmarkStart w:id="2" w:name="_1771164051"/>
      <w:bookmarkStart w:id="3" w:name="_1405921752"/>
      <w:bookmarkStart w:id="4" w:name="_1771060376"/>
      <w:bookmarkEnd w:id="1"/>
      <w:bookmarkEnd w:id="2"/>
      <w:bookmarkEnd w:id="3"/>
      <w:bookmarkEnd w:id="4"/>
      <w:r>
        <w:rPr>
          <w:rFonts w:cs="Arial" w:ascii="Arial" w:hAnsi="Arial"/>
          <w:color w:val="000000" w:themeColor="text1"/>
          <w:szCs w:val="18"/>
        </w:rPr>
        <w:t>Zamestnanci</w:t>
      </w:r>
    </w:p>
    <w:p>
      <w:pPr>
        <w:pStyle w:val="Standard"/>
        <w:ind w:left="426" w:hanging="0"/>
        <w:rPr>
          <w:rFonts w:ascii="Arial" w:hAnsi="Arial" w:cs="Arial"/>
          <w:color w:val="000000" w:themeColor="text1"/>
          <w:sz w:val="18"/>
          <w:szCs w:val="18"/>
        </w:rPr>
      </w:pPr>
      <w:r>
        <w:rPr/>
        <w:object>
          <v:shape id="ole_rId2" style="width:434.25pt;height:40.5pt" o:ole="">
            <v:imagedata r:id="rId3" o:title=""/>
          </v:shape>
          <o:OLEObject Type="Embed" ProgID="Excel.Sheet.12" ShapeID="ole_rId2" DrawAspect="Content" ObjectID="_195885102" r:id="rId2"/>
        </w:object>
      </w:r>
    </w:p>
    <w:p>
      <w:pPr>
        <w:pStyle w:val="Standard"/>
        <w:ind w:left="426" w:hanging="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Údaje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 neobmedzenom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ručení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Standard"/>
        <w:ind w:left="426" w:hanging="0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Textbody"/>
        <w:spacing w:before="120" w:after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Dátum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schválenia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predchádzajúce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obdobie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Účtovná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Spoločnosti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31.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decembru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2023,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predchádzajúce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obdobie,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bola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schválená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rozhodnutím jediného spoločníka 20. marca 2024.</w:t>
      </w:r>
    </w:p>
    <w:p>
      <w:pPr>
        <w:pStyle w:val="Textbody"/>
        <w:spacing w:before="120" w:after="0"/>
        <w:ind w:left="426" w:hanging="426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Zverejnenie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predchádzajúce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obdobie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Účtovná závierka Spoločnosti k 31. decembru 2023 bola uložená do registra účtovných závierok 7. marca 2024.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  <w:r>
        <w:br w:type="page"/>
      </w:r>
    </w:p>
    <w:p>
      <w:pPr>
        <w:pStyle w:val="Nadpis2"/>
        <w:numPr>
          <w:ilvl w:val="0"/>
          <w:numId w:val="3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 orgánoch spoločnosti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Členom štatutárneho orgánu neboli v roku 2024 poskytnuté žiadne pôžičky, záruky alebo iné formy zabezpečenia, ani finančné prostriedky alebo iné plnenia na súkromné účely členov, ktoré sa vyúčtovávajú  (v roku 2023: žiadne).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1"/>
        <w:numPr>
          <w:ilvl w:val="0"/>
          <w:numId w:val="2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 spoločníkoch účtovnej jednotky</w:t>
      </w:r>
    </w:p>
    <w:p>
      <w:pPr>
        <w:pStyle w:val="Textbody"/>
        <w:spacing w:before="120" w:after="0"/>
        <w:rPr>
          <w:rFonts w:ascii="Arial" w:hAnsi="Arial" w:cs="Arial"/>
          <w:color w:val="000000" w:themeColor="text1"/>
          <w:szCs w:val="18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 wp14:anchorId="2F935F92">
                <wp:simplePos x="0" y="0"/>
                <wp:positionH relativeFrom="margin">
                  <wp:posOffset>238125</wp:posOffset>
                </wp:positionH>
                <wp:positionV relativeFrom="paragraph">
                  <wp:posOffset>256540</wp:posOffset>
                </wp:positionV>
                <wp:extent cx="5478145" cy="1341755"/>
                <wp:effectExtent l="0" t="0" r="27940" b="11430"/>
                <wp:wrapSquare wrapText="bothSides"/>
                <wp:docPr id="1" name="Ráme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7400" cy="1341000"/>
                        </a:xfrm>
                        <a:prstGeom prst="rect">
                          <a:avLst/>
                        </a:prstGeom>
                        <a:noFill/>
                        <a:ln w="720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364" w:type="dxa"/>
                              <w:jc w:val="left"/>
                              <w:tblInd w:w="6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1843"/>
                              <w:gridCol w:w="160"/>
                              <w:gridCol w:w="1399"/>
                              <w:gridCol w:w="160"/>
                              <w:gridCol w:w="1116"/>
                              <w:gridCol w:w="197"/>
                              <w:gridCol w:w="1504"/>
                              <w:gridCol w:w="159"/>
                              <w:gridCol w:w="1825"/>
                            </w:tblGrid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Spoločník, akcionár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75" w:type="dxa"/>
                                  <w:gridSpan w:val="3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Výška podielu na základnom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Podiel na hlasovacích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Iný podiel na ostatných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92" w:hRule="atLeast"/>
                              </w:trPr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675" w:type="dxa"/>
                                  <w:gridSpan w:val="3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  <w:t>imaní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  <w:t>právach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  <w:t>položkách VI ako na ZI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0" w:hRule="atLeast"/>
                              </w:trPr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absolútne v EUR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v %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v %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v %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843" w:type="dxa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center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83" w:hRule="atLeast"/>
                              </w:trPr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Graspointner Holding GmbH.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657 240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97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bottom w:val="single" w:sz="4" w:space="0" w:color="000001"/>
                                    <w:insideH w:val="single" w:sz="4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>
                                    <w:top w:val="single" w:sz="4" w:space="0" w:color="000001"/>
                                    <w:bottom w:val="double" w:sz="6" w:space="0" w:color="000001"/>
                                    <w:insideH w:val="double" w:sz="6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657 240</w:t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>
                                    <w:top w:val="single" w:sz="4" w:space="0" w:color="000001"/>
                                    <w:bottom w:val="double" w:sz="6" w:space="0" w:color="000001"/>
                                    <w:insideH w:val="double" w:sz="6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97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1"/>
                                    <w:bottom w:val="double" w:sz="6" w:space="0" w:color="000001"/>
                                    <w:insideH w:val="double" w:sz="6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5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25" w:type="dxa"/>
                                  <w:tcBorders>
                                    <w:top w:val="single" w:sz="4" w:space="0" w:color="000001"/>
                                    <w:bottom w:val="double" w:sz="6" w:space="0" w:color="000001"/>
                                    <w:insideH w:val="double" w:sz="6" w:space="0" w:color="000001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1843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99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60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16" w:type="dxa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b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b/>
                                      <w:bCs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gridSpan w:val="2"/>
                                  <w:tcBorders/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andard"/>
                                    <w:snapToGrid w:val="false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z w:val="16"/>
                                      <w:szCs w:val="16"/>
                                      <w:lang w:eastAsia="sk-SK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andard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ámec1" stroked="t" style="position:absolute;margin-left:18.75pt;margin-top:20.2pt;width:431.25pt;height:105.55pt;mso-position-horizontal-relative:margin" wp14:anchorId="2F935F92">
                <w10:wrap type="none"/>
                <v:fill o:detectmouseclick="t" on="false"/>
                <v:stroke color="gray" weight="720" joinstyle="round" endcap="flat"/>
                <v:textbox>
                  <w:txbxContent>
                    <w:tbl>
                      <w:tblPr>
                        <w:tblW w:w="8364" w:type="dxa"/>
                        <w:jc w:val="left"/>
                        <w:tblInd w:w="6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1843"/>
                        <w:gridCol w:w="160"/>
                        <w:gridCol w:w="1399"/>
                        <w:gridCol w:w="160"/>
                        <w:gridCol w:w="1116"/>
                        <w:gridCol w:w="197"/>
                        <w:gridCol w:w="1504"/>
                        <w:gridCol w:w="159"/>
                        <w:gridCol w:w="1825"/>
                      </w:tblGrid>
                      <w:tr>
                        <w:trPr>
                          <w:trHeight w:val="240" w:hRule="atLeast"/>
                        </w:trPr>
                        <w:tc>
                          <w:tcPr>
                            <w:tcW w:w="1843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Spoločník, akcionár</w:t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2675" w:type="dxa"/>
                            <w:gridSpan w:val="3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Výška podielu na základnom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Podiel na hlasovacích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Iný podiel na ostatných</w:t>
                            </w:r>
                          </w:p>
                        </w:tc>
                      </w:tr>
                      <w:tr>
                        <w:trPr>
                          <w:trHeight w:val="192" w:hRule="atLeast"/>
                        </w:trPr>
                        <w:tc>
                          <w:tcPr>
                            <w:tcW w:w="1843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2675" w:type="dxa"/>
                            <w:gridSpan w:val="3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>imaní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>právach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>položkách VI ako na ZI</w:t>
                            </w:r>
                          </w:p>
                        </w:tc>
                      </w:tr>
                      <w:tr>
                        <w:trPr>
                          <w:trHeight w:val="240" w:hRule="atLeast"/>
                        </w:trPr>
                        <w:tc>
                          <w:tcPr>
                            <w:tcW w:w="1843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39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absolútne v EUR</w:t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116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v %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v %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v %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843" w:type="dxa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60" w:type="dxa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60" w:type="dxa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e</w:t>
                            </w:r>
                          </w:p>
                        </w:tc>
                      </w:tr>
                      <w:tr>
                        <w:trPr>
                          <w:trHeight w:val="483" w:hRule="atLeast"/>
                        </w:trPr>
                        <w:tc>
                          <w:tcPr>
                            <w:tcW w:w="1843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Graspointner Holding GmbH.</w:t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39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657 240</w:t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116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97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bottom w:val="single" w:sz="4" w:space="0" w:color="000001"/>
                              <w:insideH w:val="single" w:sz="4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5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825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1843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399" w:type="dxa"/>
                            <w:tcBorders>
                              <w:top w:val="single" w:sz="4" w:space="0" w:color="000001"/>
                              <w:bottom w:val="double" w:sz="6" w:space="0" w:color="000001"/>
                              <w:insideH w:val="double" w:sz="6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657 240</w:t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116" w:type="dxa"/>
                            <w:tcBorders>
                              <w:top w:val="single" w:sz="4" w:space="0" w:color="000001"/>
                              <w:bottom w:val="double" w:sz="6" w:space="0" w:color="000001"/>
                              <w:insideH w:val="double" w:sz="6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97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1"/>
                              <w:bottom w:val="double" w:sz="6" w:space="0" w:color="000001"/>
                              <w:insideH w:val="double" w:sz="6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5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</w:r>
                          </w:p>
                        </w:tc>
                        <w:tc>
                          <w:tcPr>
                            <w:tcW w:w="1825" w:type="dxa"/>
                            <w:tcBorders>
                              <w:top w:val="single" w:sz="4" w:space="0" w:color="000001"/>
                              <w:bottom w:val="double" w:sz="6" w:space="0" w:color="000001"/>
                              <w:insideH w:val="double" w:sz="6" w:space="0" w:color="000001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jc w:val="right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1843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399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60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116" w:type="dxa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b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b/>
                                <w:bCs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701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  <w:tc>
                          <w:tcPr>
                            <w:tcW w:w="1984" w:type="dxa"/>
                            <w:gridSpan w:val="2"/>
                            <w:tcBorders/>
                            <w:shd w:fill="auto" w:val="clear"/>
                            <w:vAlign w:val="bottom"/>
                          </w:tcPr>
                          <w:p>
                            <w:pPr>
                              <w:pStyle w:val="Standard"/>
                              <w:snapToGrid w:val="false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</w:pP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  <w:lang w:eastAsia="sk-SK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Standard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 w:ascii="Arial" w:hAnsi="Arial"/>
          <w:color w:val="000000" w:themeColor="text1"/>
          <w:szCs w:val="18"/>
        </w:rPr>
        <w:t>Štruktúra spoločníkov k 31. decembru 2024 je takáto: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bookmarkStart w:id="5" w:name="OLE_LINK13"/>
      <w:bookmarkStart w:id="6" w:name="OLE_LINK14"/>
      <w:bookmarkStart w:id="7" w:name="OLE_LINK13"/>
      <w:bookmarkStart w:id="8" w:name="OLE_LINK14"/>
      <w:bookmarkEnd w:id="7"/>
      <w:bookmarkEnd w:id="8"/>
      <w:r>
        <w:rPr>
          <w:rFonts w:cs="Arial" w:ascii="Arial" w:hAnsi="Arial"/>
          <w:color w:val="000000" w:themeColor="text1"/>
          <w:szCs w:val="18"/>
        </w:rPr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Nadpis1"/>
        <w:numPr>
          <w:ilvl w:val="0"/>
          <w:numId w:val="2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ab/>
        <w:t xml:space="preserve">Informácie o účtovných zásadách a účtovných metódach  </w:t>
      </w:r>
    </w:p>
    <w:p>
      <w:pPr>
        <w:pStyle w:val="Textbody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       </w:t>
      </w:r>
      <w:r>
        <w:rPr>
          <w:rFonts w:cs="Arial" w:ascii="Arial" w:hAnsi="Arial"/>
          <w:color w:val="000000" w:themeColor="text1"/>
          <w:szCs w:val="18"/>
        </w:rPr>
        <w:t>Východiská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zostavenie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závierky</w:t>
      </w:r>
    </w:p>
    <w:p>
      <w:pPr>
        <w:pStyle w:val="Textbody"/>
        <w:ind w:left="45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Účtovná závierka bola zostavená za predpokladu nepretržitého trvania Spoločnosti BG-Graspointner s.r.o.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Posúdili sme vplyv súčasnej geopolitickej situácie na účtovnú závierku za rok 2024.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súčasná geopolitická situácia nemá zásadný vplyv na schopnosť spoločnosti nepretržite pokračovať v činnosti nasledujúcich 12 mesiacov.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Účtovné metódy a všeobecné účtovné zásady boli účtovnou jednotkou konzistentne aplikované.</w:t>
      </w:r>
    </w:p>
    <w:p>
      <w:pPr>
        <w:pStyle w:val="Textbody"/>
        <w:ind w:left="45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eastAsia="Arial" w:cs="Arial"/>
          <w:color w:val="000000" w:themeColor="text1"/>
          <w:szCs w:val="18"/>
        </w:rPr>
      </w:pPr>
      <w:r>
        <w:rPr>
          <w:rFonts w:eastAsia="Arial" w:cs="Arial" w:ascii="Arial" w:hAnsi="Arial"/>
          <w:color w:val="000000" w:themeColor="text1"/>
          <w:szCs w:val="18"/>
        </w:rPr>
        <w:t xml:space="preserve">       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Dlhodobý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nehmotný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hmotný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majetok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Dlhodobý majetok nakupovaný sa oceňuje obstarávacou cenou, ktorá zahŕňa cenu obstarania a náklady súvisiace s obstaraním (preprava, montáž, poistné a pod.)</w:t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Odpisy dlhodobého hmotného majetku sú stanovené vychádzajúc z predpokladanej doby jeho používania a predpokladaného priebehu jeho opotrebenia.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Dlhodobý hmotný majetok obstaraný formou finančného prenájmu je ocenený obstarávacou cenou zistenou u prenajímateľa.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highlight w:val="cyan"/>
        </w:rPr>
        <w:t>Ročný odpis je určený s presnosťou na celé kalendárne mesiace počnúc mesiacom, v ktorom boli splnené podmienky na začatie odpisovania. Odpisovať sa začína prvým dňom  po uvedení dlhodobého majetku do používania</w:t>
      </w:r>
      <w:r>
        <w:rPr>
          <w:rFonts w:cs="Arial" w:ascii="Arial" w:hAnsi="Arial"/>
          <w:color w:val="000000" w:themeColor="text1"/>
          <w:szCs w:val="18"/>
          <w:highlight w:val="yellow"/>
        </w:rPr>
        <w:t>.</w:t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Drobný dlhodobý nehmotný majetok, ktorého obstarávacia cena (resp. vlastné náklady) je 2 400 EUR a nižšia a drobný dlhodobý nehmotný majetok, ktorého obstarávacia cena (resp. vlastné náklady) je 1 700 EUR a nižšia, sa odpisuje v intervale 2 rokov. Majetok sa odpisuje rovnomerne a účtovné odpisy sa rovnajú daňovým odpisom.</w:t>
      </w:r>
    </w:p>
    <w:p>
      <w:pPr>
        <w:pStyle w:val="Textbody"/>
        <w:spacing w:before="240" w:after="200"/>
        <w:ind w:left="36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Predpokladaná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doba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používania,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metóda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odpisovania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 odpisová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sadzba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uvedené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 nasledujúcej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tabuľke:</w:t>
      </w:r>
    </w:p>
    <w:tbl>
      <w:tblPr>
        <w:tblW w:w="8788" w:type="dxa"/>
        <w:jc w:val="left"/>
        <w:tblInd w:w="446" w:type="dxa"/>
        <w:tblBorders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6"/>
        <w:gridCol w:w="425"/>
        <w:gridCol w:w="1"/>
        <w:gridCol w:w="1701"/>
        <w:gridCol w:w="1"/>
        <w:gridCol w:w="140"/>
        <w:gridCol w:w="1"/>
        <w:gridCol w:w="1701"/>
        <w:gridCol w:w="141"/>
        <w:gridCol w:w="1"/>
        <w:gridCol w:w="1699"/>
      </w:tblGrid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Predpokladaná</w:t>
            </w:r>
          </w:p>
        </w:tc>
        <w:tc>
          <w:tcPr>
            <w:tcW w:w="141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Metóda</w:t>
            </w:r>
          </w:p>
        </w:tc>
        <w:tc>
          <w:tcPr>
            <w:tcW w:w="141" w:type="dxa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0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Ročná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odpisová</w:t>
            </w:r>
          </w:p>
        </w:tc>
      </w:tr>
      <w:tr>
        <w:trPr>
          <w:trHeight w:val="250" w:hRule="atLeast"/>
        </w:trPr>
        <w:tc>
          <w:tcPr>
            <w:tcW w:w="2976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426" w:type="dxa"/>
            <w:gridSpan w:val="2"/>
            <w:tcBorders>
              <w:bottom w:val="single" w:sz="4" w:space="0" w:color="000001"/>
              <w:insideH w:val="single" w:sz="4" w:space="0" w:color="000001"/>
            </w:tcBorders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>
              <w:bottom w:val="single" w:sz="4" w:space="0" w:color="000001"/>
              <w:insideH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doba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používania</w:t>
            </w:r>
          </w:p>
        </w:tc>
        <w:tc>
          <w:tcPr>
            <w:tcW w:w="141" w:type="dxa"/>
            <w:gridSpan w:val="2"/>
            <w:tcBorders>
              <w:bottom w:val="single" w:sz="4" w:space="0" w:color="000001"/>
              <w:insideH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1" w:type="dxa"/>
            <w:tcBorders>
              <w:bottom w:val="single" w:sz="4" w:space="0" w:color="000001"/>
              <w:insideH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Odpisovania</w:t>
            </w:r>
          </w:p>
        </w:tc>
        <w:tc>
          <w:tcPr>
            <w:tcW w:w="142" w:type="dxa"/>
            <w:gridSpan w:val="2"/>
            <w:tcBorders>
              <w:bottom w:val="single" w:sz="4" w:space="0" w:color="000001"/>
              <w:insideH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699" w:type="dxa"/>
            <w:tcBorders>
              <w:bottom w:val="single" w:sz="4" w:space="0" w:color="000001"/>
              <w:insideH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Sadzba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%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>
              <w:top w:val="single" w:sz="4" w:space="0" w:color="000001"/>
            </w:tcBorders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Stroje,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prístroje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a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zariadenia</w:t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Style w:val="Predvolenpsmoodseku1"/>
                <w:rFonts w:eastAsia="Arial" w:cs="Arial" w:ascii="Arial" w:hAnsi="Arial"/>
                <w:color w:val="000000" w:themeColor="text1"/>
                <w:szCs w:val="18"/>
              </w:rPr>
              <w:t xml:space="preserve">              </w:t>
            </w:r>
            <w:r>
              <w:rPr>
                <w:rStyle w:val="Predvolenpsmoodseku1"/>
                <w:rFonts w:cs="Arial" w:ascii="Arial" w:hAnsi="Arial"/>
                <w:color w:val="000000" w:themeColor="text1"/>
                <w:szCs w:val="18"/>
              </w:rPr>
              <w:t>12</w:t>
            </w:r>
          </w:p>
        </w:tc>
        <w:tc>
          <w:tcPr>
            <w:tcW w:w="141" w:type="dxa"/>
            <w:gridSpan w:val="2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Lineárna</w:t>
            </w:r>
          </w:p>
        </w:tc>
        <w:tc>
          <w:tcPr>
            <w:tcW w:w="141" w:type="dxa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</w:tcBorders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8,33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Ostatný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dlhodobý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hmotný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majetok</w:t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Style w:val="Predvolenpsmoodseku1"/>
                <w:rFonts w:eastAsia="Arial" w:cs="Arial" w:ascii="Arial" w:hAnsi="Arial"/>
                <w:color w:val="000000" w:themeColor="text1"/>
                <w:szCs w:val="18"/>
              </w:rPr>
              <w:t xml:space="preserve">                </w:t>
            </w:r>
            <w:r>
              <w:rPr>
                <w:rStyle w:val="Predvolenpsmoodseku1"/>
                <w:rFonts w:cs="Arial" w:ascii="Arial" w:hAnsi="Arial"/>
                <w:color w:val="000000" w:themeColor="text1"/>
                <w:szCs w:val="18"/>
              </w:rPr>
              <w:t>4</w:t>
            </w:r>
          </w:p>
        </w:tc>
        <w:tc>
          <w:tcPr>
            <w:tcW w:w="141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Lineárna</w:t>
            </w:r>
          </w:p>
        </w:tc>
        <w:tc>
          <w:tcPr>
            <w:tcW w:w="141" w:type="dxa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0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Style w:val="Predvolenpsmoodseku1"/>
                <w:rFonts w:eastAsia="Arial" w:cs="Arial" w:ascii="Arial" w:hAnsi="Arial"/>
                <w:color w:val="000000" w:themeColor="text1"/>
                <w:szCs w:val="18"/>
              </w:rPr>
              <w:t xml:space="preserve">               </w:t>
            </w:r>
            <w:r>
              <w:rPr>
                <w:rStyle w:val="Predvolenpsmoodseku1"/>
                <w:rFonts w:eastAsia="Arial" w:cs="Arial" w:ascii="Arial" w:hAnsi="Arial"/>
                <w:color w:val="000000" w:themeColor="text1"/>
                <w:szCs w:val="18"/>
              </w:rPr>
              <w:t>2</w:t>
            </w:r>
            <w:r>
              <w:rPr>
                <w:rStyle w:val="Predvolenpsmoodseku1"/>
                <w:rFonts w:cs="Arial" w:ascii="Arial" w:hAnsi="Arial"/>
                <w:color w:val="000000" w:themeColor="text1"/>
                <w:szCs w:val="18"/>
              </w:rPr>
              <w:t>5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Dopravné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prostriedky</w:t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Style w:val="Predvolenpsmoodseku1"/>
                <w:rFonts w:eastAsia="Arial" w:cs="Arial" w:ascii="Arial" w:hAnsi="Arial"/>
                <w:color w:val="000000" w:themeColor="text1"/>
                <w:szCs w:val="18"/>
              </w:rPr>
              <w:t xml:space="preserve">                </w:t>
            </w:r>
            <w:r>
              <w:rPr>
                <w:rStyle w:val="Predvolenpsmoodseku1"/>
                <w:rFonts w:cs="Arial" w:ascii="Arial" w:hAnsi="Arial"/>
                <w:color w:val="000000" w:themeColor="text1"/>
                <w:szCs w:val="18"/>
              </w:rPr>
              <w:t>4</w:t>
            </w:r>
          </w:p>
        </w:tc>
        <w:tc>
          <w:tcPr>
            <w:tcW w:w="141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Lineárna</w:t>
            </w:r>
          </w:p>
        </w:tc>
        <w:tc>
          <w:tcPr>
            <w:tcW w:w="141" w:type="dxa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0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25</w:t>
            </w:r>
          </w:p>
        </w:tc>
      </w:tr>
      <w:tr>
        <w:trPr>
          <w:trHeight w:val="250" w:hRule="atLeast"/>
        </w:trPr>
        <w:tc>
          <w:tcPr>
            <w:tcW w:w="3401" w:type="dxa"/>
            <w:gridSpan w:val="2"/>
            <w:tcBorders/>
            <w:shd w:fill="auto" w:val="clear"/>
          </w:tcPr>
          <w:p>
            <w:pPr>
              <w:pStyle w:val="Tabulka"/>
              <w:snapToGrid w:val="false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Drobný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dlhodobý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hmotný</w:t>
            </w: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majetok</w:t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eastAsia="Arial" w:cs="Arial" w:ascii="Arial" w:hAnsi="Arial"/>
                <w:color w:val="000000" w:themeColor="text1"/>
                <w:szCs w:val="18"/>
              </w:rPr>
              <w:t xml:space="preserve">  </w:t>
            </w:r>
            <w:r>
              <w:rPr>
                <w:rFonts w:cs="Arial" w:ascii="Arial" w:hAnsi="Arial"/>
                <w:color w:val="000000" w:themeColor="text1"/>
                <w:szCs w:val="18"/>
              </w:rPr>
              <w:t>2</w:t>
            </w:r>
          </w:p>
        </w:tc>
        <w:tc>
          <w:tcPr>
            <w:tcW w:w="141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2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Lineárna</w:t>
            </w:r>
          </w:p>
        </w:tc>
        <w:tc>
          <w:tcPr>
            <w:tcW w:w="141" w:type="dxa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</w:r>
          </w:p>
        </w:tc>
        <w:tc>
          <w:tcPr>
            <w:tcW w:w="1700" w:type="dxa"/>
            <w:gridSpan w:val="2"/>
            <w:tcBorders/>
            <w:shd w:color="auto" w:fill="auto" w:val="clear"/>
          </w:tcPr>
          <w:p>
            <w:pPr>
              <w:pStyle w:val="Tabulka"/>
              <w:snapToGrid w:val="false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50</w:t>
            </w:r>
          </w:p>
        </w:tc>
      </w:tr>
    </w:tbl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Zásoby – tovar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27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Nakupované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zásoby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obstarávacou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cenou,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ktorá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zahŕňa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cenu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zásob.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Náklady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súvisiace</w:t>
      </w:r>
      <w:r>
        <w:rPr>
          <w:rFonts w:eastAsia="Arial" w:cs="Arial" w:ascii="Arial" w:hAnsi="Arial"/>
          <w:color w:val="000000" w:themeColor="text1"/>
          <w:szCs w:val="18"/>
        </w:rPr>
        <w:t xml:space="preserve">    </w:t>
      </w:r>
      <w:r>
        <w:rPr>
          <w:rFonts w:cs="Arial" w:ascii="Arial" w:hAnsi="Arial"/>
          <w:color w:val="000000" w:themeColor="text1"/>
          <w:szCs w:val="18"/>
        </w:rPr>
        <w:t>s obstaraním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(prepravné,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poistné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pod.)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ako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vedľajšie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náklady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obstarania.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Nakupované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zásoby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> 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váženým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aritmetickým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priemerom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 obstarávacích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cien. Zníženie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hodnoty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zásob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upravuje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vytvorením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opravnej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položky.</w:t>
      </w:r>
    </w:p>
    <w:p>
      <w:pPr>
        <w:pStyle w:val="Textbody"/>
        <w:ind w:left="27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27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Dlhodobý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hmotný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majetok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zásoby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sú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poistené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prípad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škôd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spôsobených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krádežou,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haváriou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živelnou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pohromou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výšky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8 298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 xml:space="preserve"> EUR.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Pohľadávky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Pohľadávky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vzniku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menovitou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hodnotou.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Postúpené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pohľadávky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 pohľadávky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nadobudnuté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vkladom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základného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imania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obstarávacou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cenou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vrátane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nákladov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súvisiacich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 obstaraním.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Toto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ocenenie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znížené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pochybné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nevymožiteľné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pohľadávky.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Peňažné prostriedky a ceniny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Peňažné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prostriedky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ceniny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menovitou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hodnotou.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Zníženie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hodnoty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vyjadruje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opravnou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položkou.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Náklady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budúcich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príjmy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budúcich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Náklady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budúcich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príjmy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budúcich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vykazujú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výške,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ktorá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potrebná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dodržanie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zásady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vecnej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časovej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súvislosti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účtovným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obdobím.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Zníženie hodnoty majetku a opravné položky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ind w:left="426" w:hanging="0"/>
        <w:rPr>
          <w:rFonts w:ascii="Arial" w:hAnsi="Arial" w:cs="Arial"/>
          <w:b w:val="false"/>
          <w:b w:val="false"/>
          <w:color w:val="000000" w:themeColor="text1"/>
          <w:szCs w:val="18"/>
        </w:rPr>
      </w:pPr>
      <w:r>
        <w:rPr>
          <w:rFonts w:cs="Arial" w:ascii="Arial" w:hAnsi="Arial"/>
          <w:b w:val="false"/>
          <w:color w:val="000000" w:themeColor="text1"/>
          <w:szCs w:val="18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>
      <w:pPr>
        <w:pStyle w:val="Textbody"/>
        <w:rPr>
          <w:rFonts w:ascii="Arial" w:hAnsi="Arial" w:cs="Arial"/>
          <w:b/>
          <w:b/>
          <w:color w:val="000000" w:themeColor="text1"/>
          <w:szCs w:val="18"/>
        </w:rPr>
      </w:pPr>
      <w:r>
        <w:rPr>
          <w:rFonts w:cs="Arial" w:ascii="Arial" w:hAnsi="Arial"/>
          <w:b/>
          <w:color w:val="000000" w:themeColor="text1"/>
          <w:szCs w:val="18"/>
        </w:rPr>
      </w:r>
    </w:p>
    <w:tbl>
      <w:tblPr>
        <w:tblW w:w="8696" w:type="dxa"/>
        <w:jc w:val="left"/>
        <w:tblInd w:w="46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08"/>
        <w:gridCol w:w="3402"/>
        <w:gridCol w:w="2886"/>
      </w:tblGrid>
      <w:tr>
        <w:trPr>
          <w:trHeight w:val="375" w:hRule="atLeast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Pismenka"/>
              <w:tabs>
                <w:tab w:val="left" w:pos="4686" w:leader="none"/>
              </w:tabs>
              <w:spacing w:lineRule="atLeast" w:line="100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Charakteristika majetku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Pismenka"/>
              <w:tabs>
                <w:tab w:val="left" w:pos="4686" w:leader="none"/>
              </w:tabs>
              <w:spacing w:lineRule="atLeast" w:line="100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Odhad zníženia hodnoty majetku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Pismenka"/>
              <w:tabs>
                <w:tab w:val="left" w:pos="4686" w:leader="none"/>
              </w:tabs>
              <w:spacing w:lineRule="atLeast" w:line="100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Vytvorená opravná položka</w:t>
            </w:r>
          </w:p>
        </w:tc>
      </w:tr>
      <w:tr>
        <w:trPr>
          <w:trHeight w:val="390" w:hRule="atLeast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Standard"/>
              <w:ind w:firstLine="180"/>
              <w:rPr>
                <w:rFonts w:ascii="Arial" w:hAnsi="Arial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 </w:t>
            </w: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Standard"/>
              <w:snapToGrid w:val="false"/>
              <w:ind w:firstLine="5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Standard"/>
              <w:snapToGrid w:val="false"/>
              <w:ind w:firstLine="5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Standard"/>
              <w:ind w:firstLine="180"/>
              <w:rPr>
                <w:rFonts w:ascii="Arial" w:hAnsi="Arial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 </w:t>
            </w: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Standard"/>
              <w:snapToGrid w:val="false"/>
              <w:ind w:firstLine="5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Standard"/>
              <w:snapToGrid w:val="false"/>
              <w:ind w:firstLine="54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</w:tbl>
    <w:p>
      <w:pPr>
        <w:pStyle w:val="Zkladntext1"/>
        <w:rPr>
          <w:rFonts w:ascii="Arial" w:hAnsi="Arial" w:eastAsia="Times New Roman" w:cs="Arial"/>
          <w:color w:val="000000" w:themeColor="text1"/>
          <w:szCs w:val="18"/>
          <w:shd w:fill="FFFFFF" w:val="clear"/>
          <w:lang w:bidi="ar-SA"/>
        </w:rPr>
      </w:pPr>
      <w:r>
        <w:rPr>
          <w:rFonts w:eastAsia="Times New Roman" w:cs="Arial" w:ascii="Arial" w:hAnsi="Arial"/>
          <w:color w:val="000000" w:themeColor="text1"/>
          <w:szCs w:val="18"/>
          <w:shd w:fill="FFFFFF" w:val="clear"/>
          <w:lang w:bidi="ar-SA"/>
        </w:rPr>
      </w:r>
    </w:p>
    <w:p>
      <w:pPr>
        <w:pStyle w:val="Zkladntext1"/>
        <w:rPr>
          <w:rFonts w:ascii="Arial" w:hAnsi="Arial" w:cs="Arial"/>
          <w:color w:val="000000" w:themeColor="text1"/>
          <w:szCs w:val="18"/>
        </w:rPr>
      </w:pPr>
      <w:r>
        <w:rPr>
          <w:rFonts w:eastAsia="Times New Roman" w:cs="Arial" w:ascii="Arial" w:hAnsi="Arial"/>
          <w:color w:val="000000" w:themeColor="text1"/>
          <w:szCs w:val="18"/>
          <w:shd w:fill="FFFFFF" w:val="clear"/>
          <w:lang w:bidi="ar-SA"/>
        </w:rPr>
        <w:t>Opravná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položka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k pohľadávkam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sa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tvorí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podľa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nasledujúcich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pravidiel</w:t>
      </w:r>
      <w:r>
        <w:rPr>
          <w:rFonts w:eastAsia="Arial" w:cs="Arial" w:ascii="Arial" w:hAnsi="Arial"/>
          <w:color w:val="000000" w:themeColor="text1"/>
          <w:szCs w:val="18"/>
          <w:shd w:fill="FFFFFF" w:val="clear"/>
          <w:lang w:bidi="ar-SA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  <w:lang w:bidi="ar-SA"/>
        </w:rPr>
        <w:t>:</w:t>
      </w:r>
    </w:p>
    <w:p>
      <w:pPr>
        <w:pStyle w:val="Standard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tbl>
      <w:tblPr>
        <w:tblStyle w:val="Mriekatabuky"/>
        <w:tblW w:w="8690" w:type="dxa"/>
        <w:jc w:val="left"/>
        <w:tblInd w:w="42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54"/>
        <w:gridCol w:w="2768"/>
        <w:gridCol w:w="2768"/>
      </w:tblGrid>
      <w:tr>
        <w:trPr>
          <w:trHeight w:val="301" w:hRule="atLeast"/>
        </w:trPr>
        <w:tc>
          <w:tcPr>
            <w:tcW w:w="3154" w:type="dxa"/>
            <w:tcBorders/>
            <w:shd w:fill="auto" w:val="clear"/>
            <w:tcMar>
              <w:left w:w="108" w:type="dxa"/>
            </w:tcMar>
          </w:tcPr>
          <w:p>
            <w:pPr>
              <w:pStyle w:val="Pismenka"/>
              <w:tabs>
                <w:tab w:val="left" w:pos="4686" w:leader="none"/>
              </w:tabs>
              <w:spacing w:lineRule="atLeast" w:line="100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Pohľadávky</w:t>
            </w:r>
          </w:p>
        </w:tc>
        <w:tc>
          <w:tcPr>
            <w:tcW w:w="2768" w:type="dxa"/>
            <w:tcBorders/>
            <w:shd w:fill="auto" w:val="clear"/>
            <w:tcMar>
              <w:left w:w="108" w:type="dxa"/>
            </w:tcMar>
          </w:tcPr>
          <w:p>
            <w:pPr>
              <w:pStyle w:val="Pismenka"/>
              <w:tabs>
                <w:tab w:val="left" w:pos="4686" w:leader="none"/>
              </w:tabs>
              <w:spacing w:lineRule="atLeast" w:line="100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 xml:space="preserve">Počet dní po splatnosti </w:t>
            </w:r>
          </w:p>
        </w:tc>
        <w:tc>
          <w:tcPr>
            <w:tcW w:w="2768" w:type="dxa"/>
            <w:tcBorders/>
            <w:shd w:fill="auto" w:val="clear"/>
            <w:tcMar>
              <w:left w:w="108" w:type="dxa"/>
            </w:tcMar>
          </w:tcPr>
          <w:p>
            <w:pPr>
              <w:pStyle w:val="Pismenka"/>
              <w:tabs>
                <w:tab w:val="left" w:pos="4686" w:leader="none"/>
              </w:tabs>
              <w:spacing w:lineRule="atLeast" w:line="100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Tvorba OP (v %)</w:t>
            </w:r>
          </w:p>
        </w:tc>
      </w:tr>
      <w:tr>
        <w:trPr/>
        <w:tc>
          <w:tcPr>
            <w:tcW w:w="3154" w:type="dxa"/>
            <w:tcBorders/>
            <w:shd w:fill="auto" w:val="clear"/>
            <w:tcMar>
              <w:left w:w="108" w:type="dxa"/>
            </w:tcMar>
          </w:tcPr>
          <w:p>
            <w:pPr>
              <w:pStyle w:val="Textbody"/>
              <w:ind w:left="0" w:hanging="0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Pohľadávky po splatnosti</w:t>
            </w:r>
          </w:p>
        </w:tc>
        <w:tc>
          <w:tcPr>
            <w:tcW w:w="2768" w:type="dxa"/>
            <w:tcBorders/>
            <w:shd w:fill="auto" w:val="clear"/>
            <w:tcMar>
              <w:left w:w="108" w:type="dxa"/>
            </w:tcMar>
          </w:tcPr>
          <w:p>
            <w:pPr>
              <w:pStyle w:val="Textbody"/>
              <w:ind w:left="0" w:hanging="0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180 – 360 dní</w:t>
            </w:r>
          </w:p>
        </w:tc>
        <w:tc>
          <w:tcPr>
            <w:tcW w:w="2768" w:type="dxa"/>
            <w:tcBorders/>
            <w:shd w:fill="auto" w:val="clear"/>
            <w:tcMar>
              <w:left w:w="108" w:type="dxa"/>
            </w:tcMar>
          </w:tcPr>
          <w:p>
            <w:pPr>
              <w:pStyle w:val="Textbody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50</w:t>
            </w:r>
          </w:p>
        </w:tc>
      </w:tr>
      <w:tr>
        <w:trPr/>
        <w:tc>
          <w:tcPr>
            <w:tcW w:w="3154" w:type="dxa"/>
            <w:tcBorders/>
            <w:shd w:fill="auto" w:val="clear"/>
            <w:tcMar>
              <w:left w:w="108" w:type="dxa"/>
            </w:tcMar>
          </w:tcPr>
          <w:p>
            <w:pPr>
              <w:pStyle w:val="Textbody"/>
              <w:ind w:left="0" w:hanging="0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Pohľadávky po splatnosti</w:t>
            </w:r>
          </w:p>
        </w:tc>
        <w:tc>
          <w:tcPr>
            <w:tcW w:w="2768" w:type="dxa"/>
            <w:tcBorders/>
            <w:shd w:fill="auto" w:val="clear"/>
            <w:tcMar>
              <w:left w:w="108" w:type="dxa"/>
            </w:tcMar>
          </w:tcPr>
          <w:p>
            <w:pPr>
              <w:pStyle w:val="Textbody"/>
              <w:ind w:left="0" w:hanging="0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Nad 361 dní</w:t>
            </w:r>
          </w:p>
        </w:tc>
        <w:tc>
          <w:tcPr>
            <w:tcW w:w="2768" w:type="dxa"/>
            <w:tcBorders/>
            <w:shd w:fill="auto" w:val="clear"/>
            <w:tcMar>
              <w:left w:w="108" w:type="dxa"/>
            </w:tcMar>
          </w:tcPr>
          <w:p>
            <w:pPr>
              <w:pStyle w:val="Textbody"/>
              <w:ind w:left="0" w:hanging="0"/>
              <w:jc w:val="center"/>
              <w:rPr>
                <w:rFonts w:ascii="Arial" w:hAnsi="Arial" w:cs="Arial"/>
                <w:color w:val="000000" w:themeColor="text1"/>
                <w:szCs w:val="18"/>
              </w:rPr>
            </w:pPr>
            <w:r>
              <w:rPr>
                <w:rFonts w:cs="Arial" w:ascii="Arial" w:hAnsi="Arial"/>
                <w:color w:val="000000" w:themeColor="text1"/>
                <w:szCs w:val="18"/>
              </w:rPr>
              <w:t>100</w:t>
            </w:r>
          </w:p>
        </w:tc>
      </w:tr>
    </w:tbl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Zkladntext1"/>
        <w:jc w:val="left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Pri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tvorbe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opravnej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položky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posudzuje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individuálne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riziko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nezaplatenia.</w:t>
      </w:r>
    </w:p>
    <w:p>
      <w:pPr>
        <w:pStyle w:val="Standard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Rezervy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Rezervy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záväzky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 neurčitým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časovým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vymedzením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alebo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výškou;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tvoria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krytie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známych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rizík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alebo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strát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 podnikania.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 očakávanej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výške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záväzku.</w:t>
      </w:r>
    </w:p>
    <w:p>
      <w:pPr>
        <w:pStyle w:val="Pismenka"/>
        <w:tabs>
          <w:tab w:val="left" w:pos="5538" w:leader="none"/>
        </w:tabs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Záväzky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Záväzky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vzniku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menovitou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hodnotou.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Záväzky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prevzatí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oceňujú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obstarávacou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cenou.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Ak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inventarizácii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zistí,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že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suma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záväzkov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je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ako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výška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 účtovníctve,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uvedú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záväzky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 účtovníctve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 účtovnej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 tomto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zistenom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ocenení.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  <w:r>
        <w:br w:type="page"/>
      </w:r>
    </w:p>
    <w:p>
      <w:pPr>
        <w:pStyle w:val="Pismenka"/>
        <w:tabs>
          <w:tab w:val="left" w:pos="5538" w:leader="none"/>
        </w:tabs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Výdavky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budúcich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výnosy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budúcich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období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5538" w:leader="none"/>
        </w:tabs>
        <w:rPr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      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Výdavky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budúcich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období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výnosy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budúcich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období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sa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vykazujú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vo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výške,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ktorá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je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potrebná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na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> </w:t>
      </w:r>
      <w:r>
        <w:rPr>
          <w:rFonts w:cs="Arial" w:ascii="Arial" w:hAnsi="Arial"/>
          <w:b w:val="false"/>
          <w:color w:val="000000" w:themeColor="text1"/>
          <w:szCs w:val="18"/>
        </w:rPr>
        <w:t>dodržanie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zásady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vecnej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a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časovej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súvislosti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s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účtovným</w:t>
      </w:r>
      <w:r>
        <w:rPr>
          <w:rFonts w:eastAsia="Arial" w:cs="Arial" w:ascii="Arial" w:hAnsi="Arial"/>
          <w:b w:val="false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color w:val="000000" w:themeColor="text1"/>
          <w:szCs w:val="18"/>
        </w:rPr>
        <w:t>obdobím.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b w:val="false"/>
          <w:b w:val="false"/>
          <w:color w:val="000000" w:themeColor="text1"/>
          <w:szCs w:val="18"/>
        </w:rPr>
      </w:pPr>
      <w:r>
        <w:rPr>
          <w:rFonts w:cs="Arial" w:ascii="Arial" w:hAnsi="Arial"/>
          <w:b w:val="false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Prenájom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(lízing)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Majetok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prenajatý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základe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operatívneho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prenájmu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vykazuje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ako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svoj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majetok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jeho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vlastník,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nie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nájomca.</w:t>
      </w:r>
    </w:p>
    <w:p>
      <w:pPr>
        <w:pStyle w:val="Textbody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Finančný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prenájom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obstaranie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dlhodobého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hmotného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majetku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základe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nájomnej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zmluvy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 dojednaným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právom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kúpy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prenajatej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veci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dohodnuté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platby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počas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dohodnutej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doby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nájmu.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Majetok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prenajatý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 formou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finančného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prenájmu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vykazuje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ako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svoj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majetok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 odpisuje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jeho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nájomca,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nie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vlastník.</w:t>
      </w:r>
    </w:p>
    <w:p>
      <w:pPr>
        <w:pStyle w:val="Textbody"/>
        <w:rPr>
          <w:rFonts w:ascii="Arial" w:hAnsi="Arial" w:eastAsia="Arial" w:cs="Arial"/>
          <w:color w:val="000000" w:themeColor="text1"/>
          <w:szCs w:val="18"/>
          <w:shd w:fill="FFFFFF" w:val="clear"/>
        </w:rPr>
      </w:pPr>
      <w:r>
        <w:rPr>
          <w:rFonts w:eastAsia="Arial" w:cs="Arial" w:ascii="Arial" w:hAnsi="Arial"/>
          <w:color w:val="000000" w:themeColor="text1"/>
          <w:szCs w:val="18"/>
          <w:shd w:fill="FFFFFF" w:val="clear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Prijatie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majetku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nájomcom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 účtovníctve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nájomcu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účtuje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 deň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prijatia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majetku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ťarchu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príslušného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účtu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majetku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súvzťažným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zápisom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prospech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účtu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474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–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Záväzky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 nájmu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výške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dohodnutých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platieb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znížených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o nerealizované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finančné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náklady.</w:t>
      </w:r>
    </w:p>
    <w:p>
      <w:pPr>
        <w:pStyle w:val="Textbody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Súčasťou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dohodnutých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platieb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kúpna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cena,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ktorú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konci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dohodnutej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doby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finančného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prenájmu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prechádza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vlastnícke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právo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k prenajatému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majetku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z prenajímateľa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nájomcu.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Dohodnutá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doba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nájmu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najmenej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60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%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doby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odpisovania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podľa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daňových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predpisov,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minimálne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však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3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roky.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Platba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nájomného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je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alokovaná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medzi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splátku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istiny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a finančné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náklady,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vypočítané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metódou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efektívnej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úrokovej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miery.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Finančné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náklady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sa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účtujú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na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ťarchu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účtu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562</w:t>
      </w:r>
      <w:r>
        <w:rPr>
          <w:rFonts w:eastAsia="Arial" w:cs="Arial" w:ascii="Arial" w:hAnsi="Arial"/>
          <w:color w:val="000000" w:themeColor="text1"/>
          <w:szCs w:val="18"/>
          <w:shd w:fill="FFFFFF" w:val="clear"/>
        </w:rPr>
        <w:t xml:space="preserve"> – </w:t>
      </w:r>
      <w:r>
        <w:rPr>
          <w:rFonts w:cs="Arial" w:ascii="Arial" w:hAnsi="Arial"/>
          <w:color w:val="000000" w:themeColor="text1"/>
          <w:szCs w:val="18"/>
          <w:shd w:fill="FFFFFF" w:val="clear"/>
        </w:rPr>
        <w:t>Úroky.</w:t>
      </w:r>
    </w:p>
    <w:p>
      <w:pPr>
        <w:pStyle w:val="Textbody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Cudzia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mena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Majetok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záväzky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vyjadrené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cudzej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dňu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uskutočnenia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účtovného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prípadu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prepočítavajú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euro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referenčným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výmenným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kurzom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určeným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vyhláseným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Európskou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centrálnou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bankou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(ECB)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alebo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Národnou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bankou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Slovenska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(NBS)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deň,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ktorý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predchádza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dňu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uskutočnenia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účtovného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prípadu.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Majetok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záväzky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vyjadrené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cudzej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(okrem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prijatých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poskytnutých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preddavkov)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dňu,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 ktorému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zostavuje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účtovná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závierka,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prepočítavajú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euro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referenčným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výmenným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kurzom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určeným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vyhláseným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ECB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alebo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NBS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deň,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ktorému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zostavuje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účtovná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závierka,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účtujú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 vplyvom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výsledok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hospodárenia.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Prijaté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poskytnuté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preddavky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cudzej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účet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zriadený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eurách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z účtu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zriadeného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eurách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prepočítavajú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euro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kurzom,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ktorý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boli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tieto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hodnoty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nakúpené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alebo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predané.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Prijaté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poskytnuté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preddavky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cudzej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prepočítavajú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euro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referenčným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výmenným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kurzom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určeným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 vyhláseným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ECB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alebo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NBS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v deň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predchádzajúci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dňu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uskutočnenia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účtovného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prípadu.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dňu,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ktorému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zostavuje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účtovná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závierka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sa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na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menu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euro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už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neprepočítavajú.</w:t>
      </w:r>
    </w:p>
    <w:p>
      <w:pPr>
        <w:pStyle w:val="Textbody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Výnosy</w:t>
      </w:r>
    </w:p>
    <w:p>
      <w:pPr>
        <w:pStyle w:val="Pismenka"/>
        <w:tabs>
          <w:tab w:val="left" w:pos="4686" w:leader="none"/>
        </w:tabs>
        <w:spacing w:lineRule="atLeast" w:line="100"/>
        <w:ind w:left="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Tržby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vlastné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výkony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tovar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neobsahujú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daň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pridanej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hodnoty.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tiež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znížené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zľavy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zrážky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(rabaty,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bonusy,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skontá,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dobropisy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pod.)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bez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ohľadu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to,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či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zákazník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mal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vopred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zľavu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nárok,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alebo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či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ide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 dodatočne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uznanú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zľavu.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ind w:left="0" w:hanging="0"/>
        <w:rPr>
          <w:rFonts w:ascii="Arial" w:hAnsi="Arial" w:cs="Arial"/>
          <w:b/>
          <w:b/>
          <w:color w:val="000000" w:themeColor="text1"/>
          <w:szCs w:val="18"/>
          <w:highlight w:val="white"/>
        </w:rPr>
      </w:pPr>
      <w:r>
        <w:rPr>
          <w:rFonts w:cs="Arial" w:ascii="Arial" w:hAnsi="Arial"/>
          <w:b/>
          <w:color w:val="000000" w:themeColor="text1"/>
          <w:szCs w:val="18"/>
          <w:shd w:fill="FFFFFF" w:val="clear"/>
        </w:rPr>
        <w:t>Oprava chýb minulých účtovných období</w:t>
      </w:r>
    </w:p>
    <w:p>
      <w:pPr>
        <w:pStyle w:val="Textbody"/>
        <w:ind w:left="786" w:hanging="0"/>
        <w:rPr>
          <w:rFonts w:ascii="Arial" w:hAnsi="Arial" w:cs="Arial"/>
          <w:b/>
          <w:b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b/>
          <w:color w:val="000000" w:themeColor="text1"/>
          <w:szCs w:val="18"/>
          <w:shd w:fill="FFFFFF" w:val="clear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  <w:highlight w:val="white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Významné chyby minulých účtovných období účtovaných v bežnom účtovnom období účtuje Spoločnosť vplyvom na nerozdelený zisk minulých rokov alebo na neuhradenú stratu minulých rokov. Nevýznamné chyby minulých účtovných období účtovaných v bežnom účtovnom období účtuje Spoločnosť vplyvom na výsledok hospodárenia bežného účtovného obdobia.</w:t>
      </w:r>
    </w:p>
    <w:p>
      <w:pPr>
        <w:pStyle w:val="Textbody"/>
        <w:ind w:left="450" w:hanging="0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Textbody"/>
        <w:ind w:left="450" w:hanging="0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V účtovnom období 2024 Spoločnosť nevykonala žiadne opravy významných chýb minulých účtovných období.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Nadpis1"/>
        <w:numPr>
          <w:ilvl w:val="0"/>
          <w:numId w:val="2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 údajoch V súvahE a VýKaze Ziskov A STRÁT</w:t>
      </w:r>
    </w:p>
    <w:p>
      <w:pPr>
        <w:pStyle w:val="Hlavika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cs="Arial" w:ascii="Arial" w:hAnsi="Arial"/>
          <w:color w:val="000000" w:themeColor="text1"/>
          <w:sz w:val="18"/>
          <w:szCs w:val="18"/>
        </w:rPr>
      </w:r>
    </w:p>
    <w:p>
      <w:pPr>
        <w:pStyle w:val="Nadpis2"/>
        <w:numPr>
          <w:ilvl w:val="0"/>
          <w:numId w:val="8"/>
        </w:numPr>
        <w:suppressAutoHyphens w:val="false"/>
        <w:spacing w:before="12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Goodwill /  záporný goodwill</w:t>
      </w:r>
    </w:p>
    <w:p>
      <w:pPr>
        <w:pStyle w:val="Textbody"/>
        <w:rPr>
          <w:rFonts w:ascii="Arial" w:hAnsi="Arial" w:cs="Arial"/>
          <w:color w:val="000000" w:themeColor="text1"/>
          <w:szCs w:val="18"/>
          <w:highlight w:val="white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Nemá náplň.</w:t>
      </w:r>
    </w:p>
    <w:p>
      <w:pPr>
        <w:pStyle w:val="Standard"/>
        <w:rPr>
          <w:rFonts w:ascii="Arial" w:hAnsi="Arial" w:cs="Arial"/>
          <w:color w:val="000000" w:themeColor="text1"/>
          <w:sz w:val="18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 w:val="18"/>
          <w:szCs w:val="18"/>
          <w:shd w:fill="FFFFFF" w:val="clear"/>
        </w:rPr>
      </w:r>
    </w:p>
    <w:p>
      <w:pPr>
        <w:pStyle w:val="Nadpis2"/>
        <w:numPr>
          <w:ilvl w:val="0"/>
          <w:numId w:val="4"/>
        </w:numPr>
        <w:suppressAutoHyphens w:val="false"/>
        <w:spacing w:before="12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 významných položkách derivátov, majetku a záväzkoch zabezpečených derivátmi</w:t>
      </w:r>
    </w:p>
    <w:p>
      <w:pPr>
        <w:pStyle w:val="Textbody"/>
        <w:rPr>
          <w:rFonts w:ascii="Arial" w:hAnsi="Arial" w:cs="Arial"/>
          <w:color w:val="000000" w:themeColor="text1"/>
          <w:szCs w:val="18"/>
          <w:highlight w:val="white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Nemá náplň.</w:t>
      </w:r>
    </w:p>
    <w:p>
      <w:pPr>
        <w:pStyle w:val="Hlavika"/>
        <w:jc w:val="both"/>
        <w:rPr>
          <w:rFonts w:ascii="Arial" w:hAnsi="Arial" w:cs="Arial"/>
          <w:color w:val="000000" w:themeColor="text1"/>
          <w:sz w:val="18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 w:val="18"/>
          <w:szCs w:val="18"/>
          <w:shd w:fill="FFFFFF" w:val="clear"/>
        </w:rPr>
      </w:r>
    </w:p>
    <w:p>
      <w:pPr>
        <w:pStyle w:val="Nadpis2"/>
        <w:numPr>
          <w:ilvl w:val="0"/>
          <w:numId w:val="4"/>
        </w:numPr>
        <w:suppressAutoHyphens w:val="false"/>
        <w:spacing w:before="12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Štruktúra záväzkov</w:t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Informácie o záväzkoch bez bankových úverov a finančných výpomocí podľa zostatkovej doby splatnosti je uvedená v nasledujúcom prehľade:</w:t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tbl>
      <w:tblPr>
        <w:tblW w:w="8798" w:type="dxa"/>
        <w:jc w:val="left"/>
        <w:tblInd w:w="486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076"/>
        <w:gridCol w:w="160"/>
        <w:gridCol w:w="1701"/>
        <w:gridCol w:w="160"/>
        <w:gridCol w:w="1701"/>
      </w:tblGrid>
      <w:tr>
        <w:trPr>
          <w:trHeight w:val="225" w:hRule="atLeast"/>
        </w:trPr>
        <w:tc>
          <w:tcPr>
            <w:tcW w:w="5076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31. december 2023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31. december 2024</w:t>
            </w:r>
          </w:p>
        </w:tc>
      </w:tr>
      <w:tr>
        <w:trPr>
          <w:trHeight w:val="225" w:hRule="atLeast"/>
        </w:trPr>
        <w:tc>
          <w:tcPr>
            <w:tcW w:w="5076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60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EUR</w:t>
            </w:r>
          </w:p>
        </w:tc>
        <w:tc>
          <w:tcPr>
            <w:tcW w:w="160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EUR</w:t>
            </w:r>
          </w:p>
        </w:tc>
      </w:tr>
      <w:tr>
        <w:trPr>
          <w:trHeight w:val="225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Záväzky po lehote splatnosti</w:t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2 921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10 148</w:t>
            </w:r>
          </w:p>
        </w:tc>
      </w:tr>
      <w:tr>
        <w:trPr>
          <w:trHeight w:val="225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Záväzky so zostatkovou dobou splatnosti do 1 roka</w:t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295 926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520 233</w:t>
            </w:r>
          </w:p>
        </w:tc>
      </w:tr>
      <w:tr>
        <w:trPr>
          <w:trHeight w:val="240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Spolu krátkodobé záväzky</w:t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298 847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highlight w:val="yellow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530 381</w:t>
            </w:r>
          </w:p>
        </w:tc>
      </w:tr>
      <w:tr>
        <w:trPr>
          <w:trHeight w:val="240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</w:tr>
      <w:tr>
        <w:trPr>
          <w:trHeight w:val="225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Záväzky so zostatkovou dobou splatnosti 1 až 5 rokov</w:t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Záväzky so zostatkovou dobou splatnosti dlhšou ako 5 rokov</w:t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100 000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0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Spolu dlhodobé záväzky</w:t>
            </w:r>
          </w:p>
        </w:tc>
        <w:tc>
          <w:tcPr>
            <w:tcW w:w="16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100 000</w:t>
            </w:r>
          </w:p>
        </w:tc>
        <w:tc>
          <w:tcPr>
            <w:tcW w:w="16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701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numPr>
                <w:ilvl w:val="0"/>
                <w:numId w:val="10"/>
              </w:numPr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000</w:t>
            </w:r>
          </w:p>
        </w:tc>
      </w:tr>
    </w:tbl>
    <w:p>
      <w:pPr>
        <w:pStyle w:val="Standard"/>
        <w:ind w:left="426" w:hanging="0"/>
        <w:jc w:val="both"/>
        <w:rPr>
          <w:rFonts w:ascii="Arial" w:hAnsi="Arial" w:eastAsia="MS Gothic" w:cs="Arial"/>
          <w:color w:val="000000" w:themeColor="text1"/>
          <w:sz w:val="18"/>
          <w:szCs w:val="18"/>
        </w:rPr>
      </w:pPr>
      <w:r>
        <w:rPr>
          <w:rFonts w:eastAsia="MS Gothic" w:cs="Arial" w:ascii="Arial" w:hAnsi="Arial"/>
          <w:color w:val="000000" w:themeColor="text1"/>
          <w:sz w:val="18"/>
          <w:szCs w:val="18"/>
        </w:rPr>
      </w:r>
    </w:p>
    <w:p>
      <w:pPr>
        <w:pStyle w:val="Standard"/>
        <w:rPr>
          <w:rFonts w:ascii="Arial" w:hAnsi="Arial" w:eastAsia="MS Gothic" w:cs="Arial"/>
          <w:color w:val="000000" w:themeColor="text1"/>
          <w:sz w:val="18"/>
          <w:szCs w:val="18"/>
        </w:rPr>
      </w:pPr>
      <w:r>
        <w:rPr>
          <w:rFonts w:eastAsia="MS Gothic" w:cs="Arial" w:ascii="Arial" w:hAnsi="Arial"/>
          <w:color w:val="000000" w:themeColor="text1"/>
          <w:sz w:val="18"/>
          <w:szCs w:val="18"/>
        </w:rPr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tbl>
      <w:tblPr>
        <w:tblW w:w="8788" w:type="dxa"/>
        <w:jc w:val="left"/>
        <w:tblInd w:w="426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6"/>
        <w:gridCol w:w="1618"/>
        <w:gridCol w:w="1784"/>
      </w:tblGrid>
      <w:tr>
        <w:trPr/>
        <w:tc>
          <w:tcPr>
            <w:tcW w:w="5386" w:type="dxa"/>
            <w:tcBorders/>
            <w:shd w:color="auto" w:fill="auto" w:val="clear"/>
          </w:tcPr>
          <w:p>
            <w:pPr>
              <w:pStyle w:val="Normal"/>
              <w:ind w:left="-114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1618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31. december 2023</w:t>
            </w:r>
          </w:p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 xml:space="preserve">EUR </w:t>
            </w:r>
          </w:p>
        </w:tc>
        <w:tc>
          <w:tcPr>
            <w:tcW w:w="1784" w:type="dxa"/>
            <w:tcBorders>
              <w:bottom w:val="single" w:sz="4" w:space="0" w:color="00000A"/>
              <w:insideH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31. december 2024</w:t>
            </w:r>
          </w:p>
          <w:p>
            <w:pPr>
              <w:pStyle w:val="Standard"/>
              <w:suppressAutoHyphens w:val="false"/>
              <w:snapToGrid w:val="false"/>
              <w:ind w:left="-238" w:firstLine="238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 xml:space="preserve">EUR </w:t>
            </w:r>
          </w:p>
        </w:tc>
      </w:tr>
      <w:tr>
        <w:trPr/>
        <w:tc>
          <w:tcPr>
            <w:tcW w:w="5386" w:type="dxa"/>
            <w:tcBorders/>
            <w:shd w:color="auto" w:fill="auto" w:val="clear"/>
          </w:tcPr>
          <w:p>
            <w:pPr>
              <w:pStyle w:val="Standard"/>
              <w:suppressAutoHyphens w:val="false"/>
              <w:snapToGrid w:val="false"/>
              <w:ind w:left="-238" w:firstLine="238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Celková suma záväzkov so zostatkovou dobou splatnosti nad päť rokov</w:t>
            </w:r>
          </w:p>
        </w:tc>
        <w:tc>
          <w:tcPr>
            <w:tcW w:w="1618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84" w:type="dxa"/>
            <w:tcBorders>
              <w:top w:val="single" w:sz="4" w:space="0" w:color="00000A"/>
            </w:tcBorders>
            <w:shd w:color="auto"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ind w:left="-238" w:firstLine="238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20 350</w:t>
            </w:r>
          </w:p>
        </w:tc>
      </w:tr>
    </w:tbl>
    <w:p>
      <w:pPr>
        <w:pStyle w:val="Standard"/>
        <w:suppressAutoHyphens w:val="false"/>
        <w:snapToGrid w:val="false"/>
        <w:ind w:left="-238" w:firstLine="238"/>
        <w:rPr>
          <w:rFonts w:ascii="Arial" w:hAnsi="Arial" w:cs="Arial"/>
          <w:color w:val="000000" w:themeColor="text1"/>
          <w:sz w:val="16"/>
          <w:szCs w:val="16"/>
          <w:lang w:eastAsia="sk-SK"/>
        </w:rPr>
      </w:pPr>
      <w:r>
        <w:rPr>
          <w:rFonts w:cs="Arial" w:ascii="Arial" w:hAnsi="Arial"/>
          <w:color w:val="000000" w:themeColor="text1"/>
          <w:sz w:val="16"/>
          <w:szCs w:val="16"/>
          <w:lang w:eastAsia="sk-SK"/>
        </w:rPr>
      </w:r>
    </w:p>
    <w:p>
      <w:pPr>
        <w:pStyle w:val="Standard"/>
        <w:suppressAutoHyphens w:val="false"/>
        <w:snapToGrid w:val="false"/>
        <w:ind w:left="-238" w:firstLine="238"/>
        <w:rPr>
          <w:rFonts w:ascii="Arial" w:hAnsi="Arial" w:cs="Arial"/>
          <w:color w:val="000000" w:themeColor="text1"/>
          <w:sz w:val="16"/>
          <w:szCs w:val="16"/>
          <w:lang w:eastAsia="sk-SK"/>
        </w:rPr>
      </w:pPr>
      <w:r>
        <w:rPr>
          <w:rFonts w:cs="Arial" w:ascii="Arial" w:hAnsi="Arial"/>
          <w:color w:val="000000" w:themeColor="text1"/>
          <w:sz w:val="16"/>
          <w:szCs w:val="16"/>
          <w:lang w:eastAsia="sk-SK"/>
        </w:rPr>
      </w:r>
    </w:p>
    <w:p>
      <w:pPr>
        <w:pStyle w:val="Telotextu"/>
        <w:ind w:left="708" w:hanging="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Spoločnosť neeviduje žiadne zabezpečené záväzky.</w:t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Style w:val="Predvolenpsmoodseku1"/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Style w:val="Predvolenpsmoodseku1"/>
          <w:rFonts w:cs="Arial" w:ascii="Arial" w:hAnsi="Arial"/>
          <w:color w:val="000000" w:themeColor="text1"/>
          <w:szCs w:val="18"/>
        </w:rPr>
        <w:t>V rámc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i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krátkodobých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a dlhodobých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záväzkov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  <w:shd w:fill="FFFFFF" w:val="clear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  <w:shd w:fill="FFFFFF" w:val="clear"/>
        </w:rPr>
        <w:t>Spolo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čnosť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eviduje aj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 xml:space="preserve"> záväzky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z finančného</w:t>
      </w:r>
      <w:r>
        <w:rPr>
          <w:rStyle w:val="Predvolenpsmoodseku1"/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Style w:val="Predvolenpsmoodseku1"/>
          <w:rFonts w:cs="Arial" w:ascii="Arial" w:hAnsi="Arial"/>
          <w:color w:val="000000" w:themeColor="text1"/>
          <w:szCs w:val="18"/>
        </w:rPr>
        <w:t>lízingu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tbl>
      <w:tblPr>
        <w:tblW w:w="8982" w:type="dxa"/>
        <w:jc w:val="left"/>
        <w:tblInd w:w="486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20"/>
        <w:gridCol w:w="864"/>
        <w:gridCol w:w="1187"/>
        <w:gridCol w:w="1275"/>
        <w:gridCol w:w="993"/>
        <w:gridCol w:w="1275"/>
        <w:gridCol w:w="1276"/>
        <w:gridCol w:w="991"/>
      </w:tblGrid>
      <w:tr>
        <w:trPr>
          <w:trHeight w:val="225" w:hRule="atLeast"/>
        </w:trPr>
        <w:tc>
          <w:tcPr>
            <w:tcW w:w="112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864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3455" w:type="dxa"/>
            <w:gridSpan w:val="3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white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FF" w:val="clear"/>
                <w:lang w:eastAsia="sk-SK"/>
              </w:rPr>
              <w:t>31. december 2023</w:t>
            </w:r>
          </w:p>
        </w:tc>
        <w:tc>
          <w:tcPr>
            <w:tcW w:w="3542" w:type="dxa"/>
            <w:gridSpan w:val="3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highlight w:val="white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FF" w:val="clear"/>
                <w:lang w:eastAsia="sk-SK"/>
              </w:rPr>
              <w:t>31. december 2024</w:t>
            </w:r>
          </w:p>
        </w:tc>
      </w:tr>
      <w:tr>
        <w:trPr>
          <w:trHeight w:val="225" w:hRule="atLeast"/>
        </w:trPr>
        <w:tc>
          <w:tcPr>
            <w:tcW w:w="112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r>
          </w:p>
        </w:tc>
        <w:tc>
          <w:tcPr>
            <w:tcW w:w="864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r>
          </w:p>
        </w:tc>
        <w:tc>
          <w:tcPr>
            <w:tcW w:w="1187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shd w:fill="FFFF00" w:val="clear"/>
                <w:lang w:eastAsia="sk-SK"/>
              </w:rPr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993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</w:tr>
      <w:tr>
        <w:trPr>
          <w:trHeight w:val="225" w:hRule="atLeast"/>
        </w:trPr>
        <w:tc>
          <w:tcPr>
            <w:tcW w:w="112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864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do jedného roka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od jedného roka</w:t>
            </w:r>
          </w:p>
        </w:tc>
        <w:tc>
          <w:tcPr>
            <w:tcW w:w="993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viac ako päť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do jedného roka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od jedného roka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viac ako päť</w:t>
            </w:r>
          </w:p>
        </w:tc>
      </w:tr>
      <w:tr>
        <w:trPr>
          <w:trHeight w:val="225" w:hRule="atLeast"/>
        </w:trPr>
        <w:tc>
          <w:tcPr>
            <w:tcW w:w="1120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864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vrátane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do piatich rokov</w:t>
            </w:r>
          </w:p>
        </w:tc>
        <w:tc>
          <w:tcPr>
            <w:tcW w:w="993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rokov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vrátane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do piatich rokov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rokov</w:t>
            </w:r>
          </w:p>
        </w:tc>
      </w:tr>
      <w:tr>
        <w:trPr>
          <w:trHeight w:val="225" w:hRule="atLeast"/>
        </w:trPr>
        <w:tc>
          <w:tcPr>
            <w:tcW w:w="1120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864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275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vrátane</w:t>
            </w:r>
          </w:p>
        </w:tc>
        <w:tc>
          <w:tcPr>
            <w:tcW w:w="993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275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276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vrátane</w:t>
            </w:r>
          </w:p>
        </w:tc>
        <w:tc>
          <w:tcPr>
            <w:tcW w:w="991" w:type="dxa"/>
            <w:tcBorders>
              <w:bottom w:val="single" w:sz="4" w:space="0" w:color="000001"/>
              <w:insideH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</w:tr>
      <w:tr>
        <w:trPr>
          <w:trHeight w:val="225" w:hRule="atLeast"/>
        </w:trPr>
        <w:tc>
          <w:tcPr>
            <w:tcW w:w="1120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Istina</w:t>
            </w:r>
          </w:p>
        </w:tc>
        <w:tc>
          <w:tcPr>
            <w:tcW w:w="864" w:type="dxa"/>
            <w:tcBorders>
              <w:top w:val="single" w:sz="4" w:space="0" w:color="000001"/>
            </w:tcBorders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3 699</w:t>
            </w:r>
          </w:p>
        </w:tc>
        <w:tc>
          <w:tcPr>
            <w:tcW w:w="1276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9 690</w:t>
            </w:r>
          </w:p>
        </w:tc>
        <w:tc>
          <w:tcPr>
            <w:tcW w:w="991" w:type="dxa"/>
            <w:tcBorders>
              <w:top w:val="single" w:sz="4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984" w:type="dxa"/>
            <w:gridSpan w:val="2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Finančný náklad</w:t>
            </w:r>
          </w:p>
        </w:tc>
        <w:tc>
          <w:tcPr>
            <w:tcW w:w="1187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517</w:t>
            </w:r>
          </w:p>
        </w:tc>
        <w:tc>
          <w:tcPr>
            <w:tcW w:w="1276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523</w:t>
            </w:r>
          </w:p>
        </w:tc>
        <w:tc>
          <w:tcPr>
            <w:tcW w:w="991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20" w:type="dxa"/>
            <w:tcBorders/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864" w:type="dxa"/>
            <w:tcBorders/>
            <w:shd w:fill="auto" w:val="clear"/>
            <w:vAlign w:val="bottom"/>
          </w:tcPr>
          <w:p>
            <w:pPr>
              <w:pStyle w:val="Standard"/>
              <w:suppressAutoHyphens w:val="false"/>
              <w:snapToGrid w:val="false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</w:r>
          </w:p>
        </w:tc>
        <w:tc>
          <w:tcPr>
            <w:tcW w:w="1187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4 216</w:t>
            </w:r>
          </w:p>
        </w:tc>
        <w:tc>
          <w:tcPr>
            <w:tcW w:w="1276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10 213</w:t>
            </w:r>
          </w:p>
        </w:tc>
        <w:tc>
          <w:tcPr>
            <w:tcW w:w="991" w:type="dxa"/>
            <w:tcBorders>
              <w:top w:val="single" w:sz="4" w:space="0" w:color="000001"/>
              <w:bottom w:val="double" w:sz="6" w:space="0" w:color="000001"/>
              <w:insideH w:val="double" w:sz="6" w:space="0" w:color="000001"/>
            </w:tcBorders>
            <w:shd w:fill="auto" w:val="clear"/>
            <w:vAlign w:val="center"/>
          </w:tcPr>
          <w:p>
            <w:pPr>
              <w:pStyle w:val="Standard"/>
              <w:suppressAutoHyphens w:val="false"/>
              <w:snapToGrid w:val="false"/>
              <w:jc w:val="right"/>
              <w:rPr>
                <w:rFonts w:ascii="Arial" w:hAnsi="Arial" w:cs="Arial"/>
                <w:b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  <w:r>
              <w:rPr>
                <w:rFonts w:cs="Arial" w:ascii="Arial" w:hAnsi="Arial"/>
                <w:b/>
                <w:bCs/>
                <w:color w:val="000000" w:themeColor="text1"/>
                <w:sz w:val="16"/>
                <w:szCs w:val="16"/>
                <w:lang w:eastAsia="sk-SK"/>
              </w:rPr>
              <w:t>0</w:t>
            </w:r>
          </w:p>
        </w:tc>
      </w:tr>
    </w:tbl>
    <w:p>
      <w:pPr>
        <w:pStyle w:val="Standard"/>
        <w:rPr>
          <w:rFonts w:ascii="Arial" w:hAnsi="Arial" w:eastAsia="MS Gothic" w:cs="Arial"/>
          <w:color w:val="000000" w:themeColor="text1"/>
          <w:sz w:val="18"/>
          <w:szCs w:val="18"/>
        </w:rPr>
      </w:pPr>
      <w:r>
        <w:rPr>
          <w:rFonts w:eastAsia="MS Gothic" w:cs="Arial" w:ascii="Arial" w:hAnsi="Arial"/>
          <w:color w:val="000000" w:themeColor="text1"/>
          <w:sz w:val="18"/>
          <w:szCs w:val="18"/>
        </w:rPr>
      </w:r>
    </w:p>
    <w:p>
      <w:pPr>
        <w:pStyle w:val="Standard"/>
        <w:rPr>
          <w:rFonts w:ascii="Arial" w:hAnsi="Arial" w:eastAsia="MS Gothic" w:cs="Arial"/>
          <w:color w:val="000000" w:themeColor="text1"/>
          <w:sz w:val="18"/>
          <w:szCs w:val="18"/>
        </w:rPr>
      </w:pPr>
      <w:r>
        <w:rPr>
          <w:rFonts w:eastAsia="MS Gothic" w:cs="Arial" w:ascii="Arial" w:hAnsi="Arial"/>
          <w:color w:val="000000" w:themeColor="text1"/>
          <w:sz w:val="18"/>
          <w:szCs w:val="18"/>
        </w:rPr>
      </w:r>
    </w:p>
    <w:p>
      <w:pPr>
        <w:pStyle w:val="Nadpis2"/>
        <w:numPr>
          <w:ilvl w:val="0"/>
          <w:numId w:val="4"/>
        </w:numPr>
        <w:suppressAutoHyphens w:val="false"/>
        <w:spacing w:before="36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 vlastných akciách</w:t>
      </w:r>
      <w:bookmarkStart w:id="9" w:name="_1066667455"/>
      <w:bookmarkStart w:id="10" w:name="_1066667704"/>
      <w:bookmarkStart w:id="11" w:name="_1066667723"/>
      <w:bookmarkStart w:id="12" w:name="_1066667736"/>
      <w:bookmarkStart w:id="13" w:name="_1066667876"/>
      <w:bookmarkStart w:id="14" w:name="_1066667900"/>
      <w:bookmarkStart w:id="15" w:name="_1066667955"/>
      <w:bookmarkStart w:id="16" w:name="_1066749303"/>
      <w:bookmarkStart w:id="17" w:name="_1094479584"/>
      <w:bookmarkStart w:id="18" w:name="_1122617700"/>
      <w:bookmarkStart w:id="19" w:name="_1127126523"/>
      <w:bookmarkStart w:id="20" w:name="_1154781652"/>
      <w:bookmarkStart w:id="21" w:name="_1154949732"/>
      <w:bookmarkStart w:id="22" w:name="_1160252225"/>
      <w:bookmarkStart w:id="23" w:name="_1160252252"/>
      <w:bookmarkStart w:id="24" w:name="_1160915469"/>
      <w:bookmarkStart w:id="25" w:name="_1202546277"/>
      <w:bookmarkStart w:id="26" w:name="_1202650900"/>
      <w:bookmarkStart w:id="27" w:name="_1232880286"/>
      <w:bookmarkStart w:id="28" w:name="_1232880708"/>
      <w:bookmarkStart w:id="29" w:name="_1266261068"/>
      <w:bookmarkStart w:id="30" w:name="_1297249357"/>
      <w:bookmarkStart w:id="31" w:name="_1297250222"/>
      <w:bookmarkStart w:id="32" w:name="_1297249519"/>
      <w:bookmarkStart w:id="33" w:name="_1232880486"/>
      <w:bookmarkStart w:id="34" w:name="_1202650541"/>
      <w:bookmarkStart w:id="35" w:name="_1202650474"/>
      <w:bookmarkStart w:id="36" w:name="_1202546948"/>
      <w:bookmarkStart w:id="37" w:name="_1202546787"/>
      <w:bookmarkStart w:id="38" w:name="_1169459306"/>
      <w:bookmarkStart w:id="39" w:name="_1160915493"/>
      <w:bookmarkStart w:id="40" w:name="_1160255582"/>
      <w:r>
        <w:rPr>
          <w:rFonts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b w:val="false"/>
          <w:bCs/>
          <w:color w:val="000000" w:themeColor="text1"/>
          <w:szCs w:val="18"/>
        </w:rPr>
        <w:t>- ne</w:t>
      </w:r>
      <w:r>
        <w:rPr>
          <w:rFonts w:cs="Arial" w:ascii="Arial" w:hAnsi="Arial"/>
          <w:b w:val="false"/>
          <w:bCs/>
          <w:color w:val="000000" w:themeColor="text1"/>
          <w:szCs w:val="18"/>
          <w:shd w:fill="FFFFFF" w:val="clear"/>
        </w:rPr>
        <w:t>má náplň.</w:t>
      </w:r>
    </w:p>
    <w:p>
      <w:pPr>
        <w:pStyle w:val="Nadpis2"/>
        <w:numPr>
          <w:ilvl w:val="0"/>
          <w:numId w:val="4"/>
        </w:numPr>
        <w:suppressAutoHyphens w:val="false"/>
        <w:spacing w:before="12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 xml:space="preserve">Informácie o výnosoch a nákladoch, ktoré majú výnimočný rozsah alebo výskyt </w:t>
      </w:r>
      <w:r>
        <w:rPr>
          <w:rFonts w:cs="Arial" w:ascii="Arial" w:hAnsi="Arial"/>
          <w:b w:val="false"/>
          <w:bCs/>
          <w:color w:val="000000" w:themeColor="text1"/>
          <w:szCs w:val="18"/>
          <w:shd w:fill="FFFFFF" w:val="clear"/>
        </w:rPr>
        <w:t>- nemá náplň.</w:t>
      </w:r>
    </w:p>
    <w:p>
      <w:pPr>
        <w:pStyle w:val="Nadpis1"/>
        <w:numPr>
          <w:ilvl w:val="0"/>
          <w:numId w:val="0"/>
        </w:numPr>
        <w:rPr>
          <w:rFonts w:ascii="Arial" w:hAnsi="Arial" w:eastAsia="SimSun, 宋体" w:cs="Arial"/>
          <w:color w:val="000000" w:themeColor="text1"/>
          <w:szCs w:val="18"/>
          <w:shd w:fill="FFFFFF" w:val="clear"/>
        </w:rPr>
      </w:pPr>
      <w:r>
        <w:rPr>
          <w:rFonts w:eastAsia="SimSun, 宋体" w:cs="Arial" w:ascii="Arial" w:hAnsi="Arial"/>
          <w:color w:val="000000" w:themeColor="text1"/>
          <w:szCs w:val="18"/>
          <w:shd w:fill="FFFFFF" w:val="clear"/>
        </w:rPr>
      </w:r>
    </w:p>
    <w:p>
      <w:pPr>
        <w:pStyle w:val="Standard"/>
        <w:rPr>
          <w:rFonts w:ascii="Arial" w:hAnsi="Arial" w:eastAsia="SimSun, 宋体" w:cs="Arial"/>
          <w:b/>
          <w:b/>
          <w:caps/>
          <w:color w:val="000000" w:themeColor="text1"/>
          <w:sz w:val="18"/>
          <w:szCs w:val="18"/>
          <w:shd w:fill="FFFFFF" w:val="clear"/>
          <w:lang w:bidi="hi-IN"/>
        </w:rPr>
      </w:pPr>
      <w:r>
        <w:rPr>
          <w:rFonts w:eastAsia="SimSun, 宋体" w:cs="Arial" w:ascii="Arial" w:hAnsi="Arial"/>
          <w:b/>
          <w:caps/>
          <w:color w:val="000000" w:themeColor="text1"/>
          <w:sz w:val="18"/>
          <w:szCs w:val="18"/>
          <w:shd w:fill="FFFFFF" w:val="clear"/>
          <w:lang w:bidi="hi-IN"/>
        </w:rPr>
      </w:r>
    </w:p>
    <w:p>
      <w:pPr>
        <w:pStyle w:val="Nadpis1"/>
        <w:numPr>
          <w:ilvl w:val="0"/>
          <w:numId w:val="2"/>
        </w:numPr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 o iných aktívach a iných pasívach</w:t>
      </w:r>
    </w:p>
    <w:p>
      <w:pPr>
        <w:pStyle w:val="Nadpis2"/>
        <w:numPr>
          <w:ilvl w:val="0"/>
          <w:numId w:val="9"/>
        </w:numPr>
        <w:suppressAutoHyphens w:val="false"/>
        <w:spacing w:before="24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Podmienený majetok</w:t>
      </w:r>
      <w:r>
        <w:rPr>
          <w:rFonts w:cs="Arial" w:ascii="Arial" w:hAnsi="Arial"/>
          <w:b w:val="false"/>
          <w:color w:val="000000" w:themeColor="text1"/>
          <w:szCs w:val="18"/>
        </w:rPr>
        <w:t xml:space="preserve"> - nemá náplň.</w:t>
      </w:r>
    </w:p>
    <w:p>
      <w:pPr>
        <w:pStyle w:val="Nadpis2"/>
        <w:numPr>
          <w:ilvl w:val="0"/>
          <w:numId w:val="9"/>
        </w:numPr>
        <w:suppressAutoHyphens w:val="false"/>
        <w:spacing w:before="12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Podmienené záväzky</w:t>
      </w:r>
    </w:p>
    <w:p>
      <w:pPr>
        <w:pStyle w:val="Textbody"/>
        <w:rPr>
          <w:rFonts w:ascii="Arial" w:hAnsi="Arial" w:cs="Arial"/>
          <w:color w:val="000000" w:themeColor="text1"/>
          <w:szCs w:val="18"/>
          <w:highlight w:val="white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Spoločnosť nemá podmienené záväzky, ktoré sa nesledujú v bežnom účtovníctve a neuvádzajú sa v súvahe.</w:t>
      </w:r>
    </w:p>
    <w:p>
      <w:pPr>
        <w:pStyle w:val="Textbody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Textbody"/>
        <w:rPr>
          <w:rFonts w:ascii="Arial" w:hAnsi="Arial" w:cs="Arial"/>
          <w:color w:val="000000" w:themeColor="text1"/>
          <w:szCs w:val="18"/>
          <w:highlight w:val="white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>
      <w:pPr>
        <w:pStyle w:val="Textbody"/>
        <w:rPr>
          <w:rFonts w:ascii="Arial" w:hAnsi="Arial" w:cs="Arial"/>
          <w:color w:val="000000" w:themeColor="text1"/>
          <w:szCs w:val="18"/>
          <w:shd w:fill="FFFFFF" w:val="clear"/>
        </w:rPr>
      </w:pPr>
      <w:r>
        <w:rPr>
          <w:rFonts w:cs="Arial" w:ascii="Arial" w:hAnsi="Arial"/>
          <w:color w:val="000000" w:themeColor="text1"/>
          <w:szCs w:val="18"/>
          <w:shd w:fill="FFFFFF" w:val="clear"/>
        </w:rPr>
      </w:r>
    </w:p>
    <w:p>
      <w:pPr>
        <w:pStyle w:val="Nadpis2"/>
        <w:numPr>
          <w:ilvl w:val="0"/>
          <w:numId w:val="9"/>
        </w:numPr>
        <w:suppressAutoHyphens w:val="false"/>
        <w:spacing w:before="120" w:after="12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 xml:space="preserve">Ostatné finančné povinnosti </w:t>
      </w:r>
      <w:r>
        <w:rPr>
          <w:rFonts w:cs="Arial" w:ascii="Arial" w:hAnsi="Arial"/>
          <w:b w:val="false"/>
          <w:color w:val="000000" w:themeColor="text1"/>
          <w:szCs w:val="18"/>
        </w:rPr>
        <w:t>- nemá náplň.</w:t>
      </w:r>
    </w:p>
    <w:p>
      <w:pPr>
        <w:pStyle w:val="Nadpis2"/>
        <w:numPr>
          <w:ilvl w:val="0"/>
          <w:numId w:val="9"/>
        </w:numPr>
        <w:suppressAutoHyphens w:val="false"/>
        <w:spacing w:before="120" w:after="120"/>
        <w:jc w:val="both"/>
        <w:rPr>
          <w:rFonts w:ascii="Arial" w:hAnsi="Arial" w:cs="Arial"/>
          <w:b w:val="false"/>
          <w:b w:val="false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 xml:space="preserve">Najatý majetok </w:t>
      </w:r>
    </w:p>
    <w:p>
      <w:pPr>
        <w:pStyle w:val="Telotextu"/>
        <w:ind w:left="0" w:hanging="0"/>
        <w:rPr/>
      </w:pPr>
      <w:r>
        <w:rPr>
          <w:rFonts w:cs="Arial" w:ascii="Arial" w:hAnsi="Arial"/>
          <w:szCs w:val="18"/>
          <w:highlight w:val="yellow"/>
        </w:rPr>
        <w:t>Spoločnosť má v prenájme samostatné hnuteľné veci (formy). Nájomné predstavuje sumu 11 804 EUR.</w:t>
      </w:r>
      <w:r>
        <w:rPr>
          <w:rFonts w:cs="Arial" w:ascii="Arial" w:hAnsi="Arial"/>
          <w:szCs w:val="18"/>
        </w:rPr>
        <w:t xml:space="preserve">  </w:t>
      </w:r>
    </w:p>
    <w:p>
      <w:pPr>
        <w:pStyle w:val="Standard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9"/>
        </w:numPr>
        <w:suppressAutoHyphens w:val="false"/>
        <w:spacing w:before="120" w:after="120"/>
        <w:jc w:val="both"/>
        <w:rPr>
          <w:rFonts w:ascii="Arial" w:hAnsi="Arial" w:cs="Arial"/>
          <w:b w:val="false"/>
          <w:b w:val="false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 xml:space="preserve">Prenajatý majetok </w:t>
      </w:r>
    </w:p>
    <w:p>
      <w:pPr>
        <w:pStyle w:val="Standard"/>
        <w:rPr>
          <w:highlight w:val="yellow"/>
        </w:rPr>
      </w:pPr>
      <w:r>
        <w:rPr>
          <w:highlight w:val="yellow"/>
        </w:rPr>
      </w:r>
    </w:p>
    <w:p>
      <w:pPr>
        <w:pStyle w:val="Telotextu"/>
        <w:ind w:left="360" w:hanging="0"/>
        <w:rPr/>
      </w:pPr>
      <w:r>
        <w:rPr>
          <w:rFonts w:cs="Arial" w:ascii="Arial" w:hAnsi="Arial"/>
          <w:szCs w:val="18"/>
        </w:rPr>
        <w:t xml:space="preserve">Spoločnosť prenajíma samostatne hnuteľné vec. Nájomné prestavuje sumu 8 319 EUR. </w:t>
      </w:r>
    </w:p>
    <w:p>
      <w:pPr>
        <w:pStyle w:val="Standard"/>
        <w:rPr>
          <w:rFonts w:ascii="Arial" w:hAnsi="Arial" w:cs="Arial"/>
          <w:b/>
          <w:b/>
          <w:color w:val="000000" w:themeColor="text1"/>
          <w:sz w:val="18"/>
          <w:szCs w:val="18"/>
        </w:rPr>
      </w:pPr>
      <w:r>
        <w:rPr>
          <w:rFonts w:cs="Arial" w:ascii="Arial" w:hAnsi="Arial"/>
          <w:b/>
          <w:color w:val="000000" w:themeColor="text1"/>
          <w:sz w:val="18"/>
          <w:szCs w:val="18"/>
        </w:rPr>
      </w:r>
    </w:p>
    <w:p>
      <w:pPr>
        <w:pStyle w:val="Textbody"/>
        <w:rPr>
          <w:rFonts w:ascii="Arial" w:hAnsi="Arial" w:cs="Arial"/>
          <w:b/>
          <w:b/>
          <w:color w:val="000000" w:themeColor="text1"/>
          <w:szCs w:val="18"/>
        </w:rPr>
      </w:pPr>
      <w:r>
        <w:rPr>
          <w:rFonts w:cs="Arial" w:ascii="Arial" w:hAnsi="Arial"/>
          <w:b/>
          <w:color w:val="000000" w:themeColor="text1"/>
          <w:szCs w:val="18"/>
        </w:rPr>
      </w:r>
    </w:p>
    <w:p>
      <w:pPr>
        <w:pStyle w:val="Nadpis1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  <w:t>Informácie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o skutočnostiach,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ktoré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nastali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dni,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ktorému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zostavuje</w:t>
      </w:r>
      <w:r>
        <w:rPr>
          <w:rFonts w:eastAsia="Arial" w:cs="Arial" w:ascii="Arial" w:hAnsi="Arial"/>
          <w:color w:val="000000" w:themeColor="text1"/>
          <w:szCs w:val="18"/>
        </w:rPr>
        <w:t xml:space="preserve">  </w:t>
      </w:r>
      <w:r>
        <w:rPr>
          <w:rFonts w:cs="Arial" w:ascii="Arial" w:hAnsi="Arial"/>
          <w:color w:val="000000" w:themeColor="text1"/>
          <w:szCs w:val="18"/>
        </w:rPr>
        <w:t>účtovná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závierka,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dňa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zostavenia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účtovnej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závierky</w:t>
      </w:r>
    </w:p>
    <w:p>
      <w:pPr>
        <w:pStyle w:val="Textbody"/>
        <w:rPr>
          <w:rFonts w:ascii="Arial" w:hAnsi="Arial" w:cs="Arial"/>
          <w:color w:val="000000" w:themeColor="text1"/>
          <w:szCs w:val="18"/>
        </w:rPr>
      </w:pPr>
      <w:r>
        <w:rPr>
          <w:rFonts w:cs="Arial" w:ascii="Arial" w:hAnsi="Arial"/>
          <w:color w:val="000000" w:themeColor="text1"/>
          <w:szCs w:val="18"/>
        </w:rPr>
      </w:r>
    </w:p>
    <w:p>
      <w:pPr>
        <w:pStyle w:val="Textbody"/>
        <w:rPr/>
      </w:pPr>
      <w:r>
        <w:rPr>
          <w:rFonts w:cs="Arial" w:ascii="Arial" w:hAnsi="Arial"/>
          <w:color w:val="000000" w:themeColor="text1"/>
          <w:szCs w:val="18"/>
        </w:rPr>
        <w:t>Po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31. decembri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2024 nenastali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žiadne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udalosti,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ktoré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by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mali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významný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vplyv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na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verné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zobrazenie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skutočností,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ktoré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sú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r>
        <w:rPr>
          <w:rFonts w:cs="Arial" w:ascii="Arial" w:hAnsi="Arial"/>
          <w:color w:val="000000" w:themeColor="text1"/>
          <w:szCs w:val="18"/>
        </w:rPr>
        <w:t>predmetom</w:t>
      </w:r>
      <w:r>
        <w:rPr>
          <w:rFonts w:eastAsia="Arial" w:cs="Arial" w:ascii="Arial" w:hAnsi="Arial"/>
          <w:color w:val="000000" w:themeColor="text1"/>
          <w:szCs w:val="18"/>
        </w:rPr>
        <w:t xml:space="preserve"> 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cs="Arial" w:ascii="Arial" w:hAnsi="Arial"/>
          <w:color w:val="000000" w:themeColor="text1"/>
          <w:szCs w:val="18"/>
        </w:rPr>
        <w:t>účtovníctva.</w:t>
      </w:r>
    </w:p>
    <w:sectPr>
      <w:headerReference w:type="default" r:id="rId4"/>
      <w:footerReference w:type="default" r:id="rId5"/>
      <w:type w:val="nextPage"/>
      <w:pgSz w:w="11906" w:h="16838"/>
      <w:pgMar w:left="1418" w:right="1361" w:header="709" w:top="964" w:footer="408" w:bottom="1021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Times New Roman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rFonts w:cs="Arial" w:ascii="Arial" w:hAnsi="Arial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  <w:p>
    <w:pPr>
      <w:pStyle w:val="Pta"/>
      <w:rPr>
        <w:rFonts w:ascii="Arial" w:hAnsi="Arial" w:cs="Arial"/>
      </w:rPr>
    </w:pPr>
    <w:r>
      <w:rPr>
        <w:rFonts w:cs="Arial" w:ascii="Arial" w:hAnsi="Arial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17" w:type="dxa"/>
      <w:jc w:val="left"/>
      <w:tblInd w:w="60" w:type="dxa"/>
      <w:tblBorders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034"/>
      <w:gridCol w:w="4227"/>
      <w:gridCol w:w="277"/>
      <w:gridCol w:w="276"/>
      <w:gridCol w:w="282"/>
      <w:gridCol w:w="281"/>
      <w:gridCol w:w="282"/>
      <w:gridCol w:w="280"/>
      <w:gridCol w:w="282"/>
      <w:gridCol w:w="281"/>
      <w:gridCol w:w="282"/>
      <w:gridCol w:w="332"/>
    </w:tblGrid>
    <w:tr>
      <w:trPr>
        <w:trHeight w:val="126" w:hRule="atLeast"/>
      </w:trPr>
      <w:tc>
        <w:tcPr>
          <w:tcW w:w="2034" w:type="dxa"/>
          <w:tcBorders/>
          <w:shd w:fill="auto" w:val="clear"/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ind w:firstLine="2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Poznámky Úč POD 3 - 01</w:t>
          </w:r>
        </w:p>
      </w:tc>
      <w:tc>
        <w:tcPr>
          <w:tcW w:w="4227" w:type="dxa"/>
          <w:tcBorders/>
          <w:shd w:fill="auto" w:val="clear"/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 xml:space="preserve">                                                                                   </w:t>
          </w:r>
          <w:r>
            <w:rPr>
              <w:rFonts w:cs="Arial" w:ascii="Arial" w:hAnsi="Arial"/>
              <w:sz w:val="16"/>
              <w:szCs w:val="16"/>
            </w:rPr>
            <w:t>IČO</w:t>
          </w:r>
        </w:p>
      </w:tc>
      <w:tc>
        <w:tcPr>
          <w:tcW w:w="277" w:type="dxa"/>
          <w:tcBorders/>
          <w:shd w:fill="auto" w:val="clear"/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napToGrid w:val="false"/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</w:r>
        </w:p>
      </w:tc>
      <w:tc>
        <w:tcPr>
          <w:tcW w:w="276" w:type="dxa"/>
          <w:tcBorders/>
          <w:shd w:fill="auto" w:val="clear"/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napToGrid w:val="false"/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</w:r>
        </w:p>
      </w:tc>
      <w:tc>
        <w:tcPr>
          <w:tcW w:w="28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3</w:t>
          </w:r>
        </w:p>
      </w:tc>
      <w:tc>
        <w:tcPr>
          <w:tcW w:w="28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4</w:t>
          </w:r>
        </w:p>
      </w:tc>
      <w:tc>
        <w:tcPr>
          <w:tcW w:w="28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1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3</w:t>
          </w:r>
        </w:p>
      </w:tc>
      <w:tc>
        <w:tcPr>
          <w:tcW w:w="28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7</w:t>
          </w:r>
        </w:p>
      </w:tc>
      <w:tc>
        <w:tcPr>
          <w:tcW w:w="28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1</w:t>
          </w:r>
        </w:p>
      </w:tc>
      <w:tc>
        <w:tcPr>
          <w:tcW w:w="28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2</w:t>
          </w:r>
        </w:p>
      </w:tc>
      <w:tc>
        <w:tcPr>
          <w:tcW w:w="332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2</w:t>
          </w:r>
        </w:p>
      </w:tc>
    </w:tr>
  </w:tbl>
  <w:p>
    <w:pPr>
      <w:pStyle w:val="Hlavika"/>
      <w:tabs>
        <w:tab w:val="center" w:pos="4962" w:leader="none"/>
        <w:tab w:val="right" w:pos="9213" w:leader="none"/>
      </w:tabs>
      <w:ind w:right="-1" w:hanging="0"/>
      <w:jc w:val="right"/>
      <w:rPr>
        <w:sz w:val="18"/>
        <w:szCs w:val="18"/>
        <w:lang w:val="en-GB"/>
      </w:rPr>
    </w:pPr>
    <w:r>
      <w:rPr>
        <w:sz w:val="18"/>
        <w:szCs w:val="18"/>
        <w:lang w:val="en-GB"/>
      </w:rPr>
    </w:r>
  </w:p>
  <w:tbl>
    <w:tblPr>
      <w:tblW w:w="9020" w:type="dxa"/>
      <w:jc w:val="left"/>
      <w:tblInd w:w="200" w:type="dxa"/>
      <w:tblBorders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012"/>
      <w:gridCol w:w="4162"/>
      <w:gridCol w:w="278"/>
      <w:gridCol w:w="281"/>
      <w:gridCol w:w="279"/>
      <w:gridCol w:w="286"/>
      <w:gridCol w:w="279"/>
      <w:gridCol w:w="278"/>
      <w:gridCol w:w="279"/>
      <w:gridCol w:w="278"/>
      <w:gridCol w:w="278"/>
      <w:gridCol w:w="329"/>
    </w:tblGrid>
    <w:tr>
      <w:trPr>
        <w:trHeight w:val="127" w:hRule="atLeast"/>
      </w:trPr>
      <w:tc>
        <w:tcPr>
          <w:tcW w:w="2012" w:type="dxa"/>
          <w:tcBorders/>
          <w:shd w:fill="auto" w:val="clear"/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napToGrid w:val="false"/>
            <w:spacing w:lineRule="auto" w:line="276"/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</w:p>
      </w:tc>
      <w:tc>
        <w:tcPr>
          <w:tcW w:w="4162" w:type="dxa"/>
          <w:tcBorders/>
          <w:shd w:fill="auto" w:val="clear"/>
          <w:vAlign w:val="center"/>
        </w:tcPr>
        <w:p>
          <w:pPr>
            <w:pStyle w:val="Hlavika"/>
            <w:tabs>
              <w:tab w:val="center" w:pos="4253" w:leader="none"/>
              <w:tab w:val="right" w:pos="9213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</w:t>
          </w:r>
          <w:r>
            <w:rPr>
              <w:rFonts w:cs="Arial" w:ascii="Arial" w:hAnsi="Arial"/>
              <w:sz w:val="16"/>
              <w:szCs w:val="16"/>
            </w:rPr>
            <w:t>DIČ</w:t>
          </w:r>
        </w:p>
      </w:tc>
      <w:tc>
        <w:tcPr>
          <w:tcW w:w="27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2</w:t>
          </w:r>
        </w:p>
      </w:tc>
      <w:tc>
        <w:tcPr>
          <w:tcW w:w="28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2</w:t>
          </w:r>
        </w:p>
      </w:tc>
      <w:tc>
        <w:tcPr>
          <w:tcW w:w="286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3</w:t>
          </w:r>
        </w:p>
      </w:tc>
      <w:tc>
        <w:tcPr>
          <w:tcW w:w="27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8</w:t>
          </w:r>
        </w:p>
      </w:tc>
      <w:tc>
        <w:tcPr>
          <w:tcW w:w="27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4</w:t>
          </w:r>
        </w:p>
      </w:tc>
      <w:tc>
        <w:tcPr>
          <w:tcW w:w="27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insideH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5</w:t>
          </w:r>
        </w:p>
      </w:tc>
      <w:tc>
        <w:tcPr>
          <w:tcW w:w="32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  <w:insideH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Hlavika"/>
            <w:tabs>
              <w:tab w:val="center" w:pos="4253" w:leader="none"/>
              <w:tab w:val="right" w:pos="9214" w:leader="none"/>
            </w:tabs>
            <w:spacing w:lineRule="auto" w:line="276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="Arial" w:ascii="Arial" w:hAnsi="Arial"/>
              <w:sz w:val="16"/>
              <w:szCs w:val="16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Letter"/>
      <w:lvlText w:val="%1."/>
      <w:lvlJc w:val="left"/>
      <w:pPr>
        <w:ind w:left="45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upperLetter"/>
      <w:lvlText w:val="%1."/>
      <w:lvlJc w:val="left"/>
      <w:pPr>
        <w:ind w:left="45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szCs w:val="18"/>
        <w:rFonts w:ascii="Arial" w:hAnsi="Aria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>
        <w:b/>
        <w:szCs w:val="18"/>
        <w:bCs/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18"/>
        <w:szCs w:val="18"/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szCs w:val="18"/>
        <w:rFonts w:ascii="Arial" w:hAnsi="Aria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  <w:sz w:val="18"/>
        <w:szCs w:val="18"/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360" w:hanging="360"/>
      </w:pPr>
      <w:rPr>
        <w:b/>
        <w:szCs w:val="18"/>
        <w:bCs/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ascii="Arial" w:hAnsi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720" w:hanging="72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080" w:hanging="108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0"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Arial"/>
      <w:color w:val="auto"/>
      <w:sz w:val="24"/>
      <w:szCs w:val="24"/>
      <w:lang w:val="sk-SK" w:eastAsia="zh-CN" w:bidi="hi-IN"/>
    </w:rPr>
  </w:style>
  <w:style w:type="paragraph" w:styleId="Nadpis1">
    <w:name w:val="Heading 1"/>
    <w:qFormat/>
    <w:pPr>
      <w:keepNext/>
      <w:widowControl w:val="false"/>
      <w:numPr>
        <w:ilvl w:val="0"/>
        <w:numId w:val="1"/>
      </w:numPr>
      <w:outlineLvl w:val="0"/>
      <w:outlineLvl w:val="0"/>
    </w:pPr>
    <w:rPr>
      <w:rFonts w:ascii="Liberation Serif" w:hAnsi="Liberation Serif" w:eastAsia="SimSun" w:cs="Arial"/>
      <w:b/>
      <w:caps/>
      <w:color w:val="auto"/>
      <w:sz w:val="18"/>
      <w:szCs w:val="24"/>
      <w:lang w:val="sk-SK" w:eastAsia="zh-CN" w:bidi="hi-IN"/>
    </w:rPr>
  </w:style>
  <w:style w:type="paragraph" w:styleId="Nadpis2">
    <w:name w:val="Heading 2"/>
    <w:qFormat/>
    <w:pPr>
      <w:keepNext/>
      <w:widowControl w:val="false"/>
      <w:outlineLvl w:val="1"/>
    </w:pPr>
    <w:rPr>
      <w:rFonts w:ascii="Liberation Serif" w:hAnsi="Liberation Serif" w:eastAsia="SimSun" w:cs="Arial"/>
      <w:b/>
      <w:color w:val="auto"/>
      <w:sz w:val="18"/>
      <w:szCs w:val="24"/>
      <w:lang w:val="sk-SK" w:eastAsia="zh-CN" w:bidi="hi-IN"/>
    </w:rPr>
  </w:style>
  <w:style w:type="paragraph" w:styleId="Nadpis6">
    <w:name w:val="Heading 6"/>
    <w:qFormat/>
    <w:pPr>
      <w:keepNext/>
      <w:widowControl w:val="false"/>
      <w:tabs>
        <w:tab w:val="left" w:pos="432" w:leader="none"/>
      </w:tabs>
      <w:ind w:left="432" w:hanging="432"/>
      <w:outlineLvl w:val="5"/>
    </w:pPr>
    <w:rPr>
      <w:rFonts w:ascii="Liberation Serif" w:hAnsi="Liberation Serif" w:eastAsia="SimSun" w:cs="Arial"/>
      <w:b/>
      <w:caps/>
      <w:color w:val="auto"/>
      <w:sz w:val="32"/>
      <w:szCs w:val="24"/>
      <w:lang w:val="sk-SK" w:eastAsia="zh-CN" w:bidi="hi-IN"/>
    </w:rPr>
  </w:style>
  <w:style w:type="paragraph" w:styleId="Nadpis9">
    <w:name w:val="Heading 9"/>
    <w:qFormat/>
    <w:pPr>
      <w:keepNext/>
      <w:keepLines/>
      <w:widowControl w:val="false"/>
      <w:tabs>
        <w:tab w:val="left" w:pos="432" w:leader="none"/>
      </w:tabs>
      <w:spacing w:before="200" w:after="0"/>
      <w:ind w:left="432" w:hanging="432"/>
      <w:outlineLvl w:val="8"/>
    </w:pPr>
    <w:rPr>
      <w:rFonts w:ascii="Cambria" w:hAnsi="Cambria" w:eastAsia="SimSun" w:cs="Arial"/>
      <w:i/>
      <w:iCs/>
      <w:color w:val="404040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eastAsia="Arial" w:cs="Times New Roman"/>
      <w:szCs w:val="18"/>
    </w:rPr>
  </w:style>
  <w:style w:type="character" w:styleId="WW8Num3z0" w:customStyle="1">
    <w:name w:val="WW8Num3z0"/>
    <w:qFormat/>
    <w:rPr>
      <w:rFonts w:ascii="Arial" w:hAnsi="Arial" w:eastAsia="Arial" w:cs="Arial"/>
      <w:b/>
      <w:bCs/>
      <w:szCs w:val="18"/>
    </w:rPr>
  </w:style>
  <w:style w:type="character" w:styleId="WW8Num3z1" w:customStyle="1">
    <w:name w:val="WW8Num3z1"/>
    <w:qFormat/>
    <w:rPr/>
  </w:style>
  <w:style w:type="character" w:styleId="WW8Num4z0" w:customStyle="1">
    <w:name w:val="WW8Num4z0"/>
    <w:qFormat/>
    <w:rPr>
      <w:b/>
    </w:rPr>
  </w:style>
  <w:style w:type="character" w:styleId="WW8Num4z1" w:customStyle="1">
    <w:name w:val="WW8Num4z1"/>
    <w:qFormat/>
    <w:rPr/>
  </w:style>
  <w:style w:type="character" w:styleId="WW8Num5z0" w:customStyle="1">
    <w:name w:val="WW8Num5z0"/>
    <w:qFormat/>
    <w:rPr>
      <w:rFonts w:ascii="Arial" w:hAnsi="Arial" w:eastAsia="Arial" w:cs="Arial"/>
      <w:sz w:val="18"/>
      <w:szCs w:val="18"/>
    </w:rPr>
  </w:style>
  <w:style w:type="character" w:styleId="WW8Num5z1" w:customStyle="1">
    <w:name w:val="WW8Num5z1"/>
    <w:qFormat/>
    <w:rPr>
      <w:rFonts w:ascii="Courier New" w:hAnsi="Courier New" w:eastAsia="Courier New" w:cs="Courier New"/>
    </w:rPr>
  </w:style>
  <w:style w:type="character" w:styleId="WW8Num5z2" w:customStyle="1">
    <w:name w:val="WW8Num5z2"/>
    <w:qFormat/>
    <w:rPr>
      <w:rFonts w:ascii="Wingdings" w:hAnsi="Wingdings" w:eastAsia="Wingdings" w:cs="Wingdings"/>
    </w:rPr>
  </w:style>
  <w:style w:type="character" w:styleId="WW8Num5z3" w:customStyle="1">
    <w:name w:val="WW8Num5z3"/>
    <w:qFormat/>
    <w:rPr>
      <w:rFonts w:ascii="Symbol" w:hAnsi="Symbol" w:eastAsia="Symbol" w:cs="Symbol"/>
    </w:rPr>
  </w:style>
  <w:style w:type="character" w:styleId="Predvolenpsmoodseku8" w:customStyle="1">
    <w:name w:val="Predvolené písmo odseku8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Predvolenpsmoodseku7" w:customStyle="1">
    <w:name w:val="Predvolené písmo odseku7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cs="Times New Roman"/>
    </w:rPr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cs="Times New Roman"/>
    </w:rPr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>
      <w:b/>
    </w:rPr>
  </w:style>
  <w:style w:type="character" w:styleId="WW8Num17z1" w:customStyle="1">
    <w:name w:val="WW8Num17z1"/>
    <w:qFormat/>
    <w:rPr/>
  </w:style>
  <w:style w:type="character" w:styleId="WW8Num18z0" w:customStyle="1">
    <w:name w:val="WW8Num18z0"/>
    <w:qFormat/>
    <w:rPr>
      <w:rFonts w:cs="Times New Roman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Predvolenpsmoodseku6" w:customStyle="1">
    <w:name w:val="Predvolené písmo odseku6"/>
    <w:qFormat/>
    <w:rPr/>
  </w:style>
  <w:style w:type="character" w:styleId="Predvolenpsmoodseku5" w:customStyle="1">
    <w:name w:val="Predvolené písmo odseku5"/>
    <w:qFormat/>
    <w:rPr/>
  </w:style>
  <w:style w:type="character" w:styleId="Predvolenpsmoodseku4" w:customStyle="1">
    <w:name w:val="Predvolené písmo odseku4"/>
    <w:qFormat/>
    <w:rPr/>
  </w:style>
  <w:style w:type="character" w:styleId="AbsatzStandardschriftart" w:customStyle="1">
    <w:name w:val="Absatz-Standardschriftart"/>
    <w:qFormat/>
    <w:rPr/>
  </w:style>
  <w:style w:type="character" w:styleId="Predvolenpsmoodseku3" w:customStyle="1">
    <w:name w:val="Predvolené písmo odseku3"/>
    <w:qFormat/>
    <w:rPr/>
  </w:style>
  <w:style w:type="character" w:styleId="WWAbsatzStandardschriftart" w:customStyle="1">
    <w:name w:val="WW-Absatz-Standardschriftart"/>
    <w:qFormat/>
    <w:rPr/>
  </w:style>
  <w:style w:type="character" w:styleId="WWAbsatzStandardschriftart1" w:customStyle="1">
    <w:name w:val="WW-Absatz-Standardschriftart1"/>
    <w:qFormat/>
    <w:rPr/>
  </w:style>
  <w:style w:type="character" w:styleId="WWAbsatzStandardschriftart11" w:customStyle="1">
    <w:name w:val="WW-Absatz-Standardschriftart11"/>
    <w:qFormat/>
    <w:rPr/>
  </w:style>
  <w:style w:type="character" w:styleId="WWAbsatzStandardschriftart111" w:customStyle="1">
    <w:name w:val="WW-Absatz-Standardschriftart111"/>
    <w:qFormat/>
    <w:rPr/>
  </w:style>
  <w:style w:type="character" w:styleId="WWAbsatzStandardschriftart1111" w:customStyle="1">
    <w:name w:val="WW-Absatz-Standardschriftart1111"/>
    <w:qFormat/>
    <w:rPr/>
  </w:style>
  <w:style w:type="character" w:styleId="WW8Num28z0" w:customStyle="1">
    <w:name w:val="WW8Num28z0"/>
    <w:qFormat/>
    <w:rPr>
      <w:b/>
      <w:sz w:val="20"/>
    </w:rPr>
  </w:style>
  <w:style w:type="character" w:styleId="WW8Num31z0" w:customStyle="1">
    <w:name w:val="WW8Num31z0"/>
    <w:qFormat/>
    <w:rPr>
      <w:b/>
    </w:rPr>
  </w:style>
  <w:style w:type="character" w:styleId="WW8Num33z0" w:customStyle="1">
    <w:name w:val="WW8Num33z0"/>
    <w:qFormat/>
    <w:rPr>
      <w:rFonts w:cs="Times New Roman"/>
    </w:rPr>
  </w:style>
  <w:style w:type="character" w:styleId="Predvolenpsmoodseku2" w:customStyle="1">
    <w:name w:val="Predvolené písmo odseku2"/>
    <w:qFormat/>
    <w:rPr/>
  </w:style>
  <w:style w:type="character" w:styleId="WWAbsatzStandardschriftart11111" w:customStyle="1">
    <w:name w:val="WW-Absatz-Standardschriftart11111"/>
    <w:qFormat/>
    <w:rPr/>
  </w:style>
  <w:style w:type="character" w:styleId="WWAbsatzStandardschriftart111111" w:customStyle="1">
    <w:name w:val="WW-Absatz-Standardschriftart111111"/>
    <w:qFormat/>
    <w:rPr/>
  </w:style>
  <w:style w:type="character" w:styleId="WWAbsatzStandardschriftart1111111" w:customStyle="1">
    <w:name w:val="WW-Absatz-Standardschriftart1111111"/>
    <w:qFormat/>
    <w:rPr/>
  </w:style>
  <w:style w:type="character" w:styleId="WWAbsatzStandardschriftart11111111" w:customStyle="1">
    <w:name w:val="WW-Absatz-Standardschriftart11111111"/>
    <w:qFormat/>
    <w:rPr/>
  </w:style>
  <w:style w:type="character" w:styleId="WW8Num6z1" w:customStyle="1">
    <w:name w:val="WW8Num6z1"/>
    <w:qFormat/>
    <w:rPr>
      <w:rFonts w:ascii="Courier New" w:hAnsi="Courier New" w:eastAsia="Courier New" w:cs="Courier New"/>
    </w:rPr>
  </w:style>
  <w:style w:type="character" w:styleId="WW8Num6z2" w:customStyle="1">
    <w:name w:val="WW8Num6z2"/>
    <w:qFormat/>
    <w:rPr>
      <w:rFonts w:ascii="Wingdings" w:hAnsi="Wingdings" w:eastAsia="Wingdings" w:cs="Wingdings"/>
    </w:rPr>
  </w:style>
  <w:style w:type="character" w:styleId="WW8Num6z3" w:customStyle="1">
    <w:name w:val="WW8Num6z3"/>
    <w:qFormat/>
    <w:rPr>
      <w:rFonts w:ascii="Symbol" w:hAnsi="Symbol" w:eastAsia="Symbol" w:cs="Symbol"/>
    </w:rPr>
  </w:style>
  <w:style w:type="character" w:styleId="WW8Num7z1" w:customStyle="1">
    <w:name w:val="WW8Num7z1"/>
    <w:qFormat/>
    <w:rPr>
      <w:rFonts w:ascii="Courier New" w:hAnsi="Courier New" w:eastAsia="Courier New" w:cs="Courier New"/>
    </w:rPr>
  </w:style>
  <w:style w:type="character" w:styleId="WW8Num7z2" w:customStyle="1">
    <w:name w:val="WW8Num7z2"/>
    <w:qFormat/>
    <w:rPr>
      <w:rFonts w:ascii="Wingdings" w:hAnsi="Wingdings" w:eastAsia="Wingdings" w:cs="Wingdings"/>
    </w:rPr>
  </w:style>
  <w:style w:type="character" w:styleId="WW8Num7z3" w:customStyle="1">
    <w:name w:val="WW8Num7z3"/>
    <w:qFormat/>
    <w:rPr>
      <w:rFonts w:ascii="Symbol" w:hAnsi="Symbol" w:eastAsia="Symbol" w:cs="Symbol"/>
    </w:rPr>
  </w:style>
  <w:style w:type="character" w:styleId="WW8Num12z1" w:customStyle="1">
    <w:name w:val="WW8Num12z1"/>
    <w:qFormat/>
    <w:rPr>
      <w:rFonts w:ascii="Courier New" w:hAnsi="Courier New" w:eastAsia="Courier New" w:cs="Courier New"/>
    </w:rPr>
  </w:style>
  <w:style w:type="character" w:styleId="WW8Num12z2" w:customStyle="1">
    <w:name w:val="WW8Num12z2"/>
    <w:qFormat/>
    <w:rPr>
      <w:rFonts w:ascii="Wingdings" w:hAnsi="Wingdings" w:eastAsia="Wingdings" w:cs="Wingdings"/>
    </w:rPr>
  </w:style>
  <w:style w:type="character" w:styleId="WW8Num12z3" w:customStyle="1">
    <w:name w:val="WW8Num12z3"/>
    <w:qFormat/>
    <w:rPr>
      <w:rFonts w:ascii="Symbol" w:hAnsi="Symbol" w:eastAsia="Symbol" w:cs="Symbol"/>
    </w:rPr>
  </w:style>
  <w:style w:type="character" w:styleId="WW8Num14z1" w:customStyle="1">
    <w:name w:val="WW8Num14z1"/>
    <w:qFormat/>
    <w:rPr>
      <w:rFonts w:ascii="Courier New" w:hAnsi="Courier New" w:eastAsia="Courier New" w:cs="Courier New"/>
    </w:rPr>
  </w:style>
  <w:style w:type="character" w:styleId="WW8Num14z2" w:customStyle="1">
    <w:name w:val="WW8Num14z2"/>
    <w:qFormat/>
    <w:rPr>
      <w:rFonts w:ascii="Wingdings" w:hAnsi="Wingdings" w:eastAsia="Wingdings" w:cs="Wingdings"/>
    </w:rPr>
  </w:style>
  <w:style w:type="character" w:styleId="WW8Num14z3" w:customStyle="1">
    <w:name w:val="WW8Num14z3"/>
    <w:qFormat/>
    <w:rPr>
      <w:rFonts w:ascii="Symbol" w:hAnsi="Symbol" w:eastAsia="Symbol" w:cs="Symbol"/>
    </w:rPr>
  </w:style>
  <w:style w:type="character" w:styleId="Predvolenpsmoodseku1" w:customStyle="1">
    <w:name w:val="Predvolené písmo odseku1"/>
    <w:qFormat/>
    <w:rPr/>
  </w:style>
  <w:style w:type="character" w:styleId="HlavikaChar" w:customStyle="1">
    <w:name w:val="Hlavička Char"/>
    <w:basedOn w:val="Predvolenpsmoodseku1"/>
    <w:qFormat/>
    <w:rPr/>
  </w:style>
  <w:style w:type="character" w:styleId="PtaChar" w:customStyle="1">
    <w:name w:val="Päta Char"/>
    <w:basedOn w:val="Predvolenpsmoodseku1"/>
    <w:qFormat/>
    <w:rPr/>
  </w:style>
  <w:style w:type="character" w:styleId="Pagenumber">
    <w:name w:val="page number"/>
    <w:qFormat/>
    <w:rPr>
      <w:rFonts w:cs="Times New Roman"/>
    </w:rPr>
  </w:style>
  <w:style w:type="character" w:styleId="Nadpis1Char" w:customStyle="1">
    <w:name w:val="Nadpis 1 Char"/>
    <w:qFormat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qFormat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qFormat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link w:val="Zkladntext"/>
    <w:qFormat/>
    <w:rPr>
      <w:rFonts w:ascii="Times New Roman" w:hAnsi="Times New Roman" w:eastAsia="Times New Roman" w:cs="Times New Roman"/>
      <w:sz w:val="18"/>
      <w:szCs w:val="20"/>
    </w:rPr>
  </w:style>
  <w:style w:type="character" w:styleId="Znakyprepoznmkupodiarou" w:customStyle="1">
    <w:name w:val="Znaky pre poznámku pod čiarou"/>
    <w:qFormat/>
    <w:rPr>
      <w:rFonts w:cs="Times New Roman"/>
      <w:position w:val="0"/>
      <w:sz w:val="16"/>
      <w:sz w:val="16"/>
      <w:szCs w:val="16"/>
      <w:vertAlign w:val="baseline"/>
    </w:rPr>
  </w:style>
  <w:style w:type="character" w:styleId="ZifChar" w:customStyle="1">
    <w:name w:val="zif Char"/>
    <w:qFormat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qFormat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TextbublinyChar" w:customStyle="1">
    <w:name w:val="Text bubliny Char"/>
    <w:qFormat/>
    <w:rPr>
      <w:rFonts w:ascii="Tahoma" w:hAnsi="Tahoma" w:eastAsia="Times New Roman" w:cs="Tahoma"/>
      <w:sz w:val="16"/>
      <w:szCs w:val="16"/>
    </w:rPr>
  </w:style>
  <w:style w:type="character" w:styleId="M2359083177929547904predvolenpsmoodseku1" w:customStyle="1">
    <w:name w:val="m_2359083177929547904predvolenpsmoodseku1"/>
    <w:qFormat/>
    <w:rPr/>
  </w:style>
  <w:style w:type="character" w:styleId="ZkladntextChar1" w:customStyle="1">
    <w:name w:val="Základný text Char1"/>
    <w:basedOn w:val="DefaultParagraphFont"/>
    <w:uiPriority w:val="99"/>
    <w:semiHidden/>
    <w:qFormat/>
    <w:rsid w:val="00174559"/>
    <w:rPr>
      <w:rFonts w:cs="Mangal"/>
      <w:szCs w:val="21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ascii="Arial" w:hAnsi="Arial" w:cs="Times New Roman"/>
      <w:szCs w:val="18"/>
    </w:rPr>
  </w:style>
  <w:style w:type="character" w:styleId="ListLabel4">
    <w:name w:val="ListLabel 4"/>
    <w:qFormat/>
    <w:rPr>
      <w:rFonts w:ascii="Arial" w:hAnsi="Arial" w:cs="Arial"/>
      <w:b/>
      <w:bCs/>
      <w:szCs w:val="18"/>
    </w:rPr>
  </w:style>
  <w:style w:type="character" w:styleId="ListLabel5">
    <w:name w:val="ListLabel 5"/>
    <w:qFormat/>
    <w:rPr>
      <w:b/>
    </w:rPr>
  </w:style>
  <w:style w:type="character" w:styleId="ListLabel6">
    <w:name w:val="ListLabel 6"/>
    <w:qFormat/>
    <w:rPr>
      <w:rFonts w:ascii="Arial" w:hAnsi="Arial" w:cs="Arial"/>
      <w:sz w:val="18"/>
      <w:szCs w:val="18"/>
    </w:rPr>
  </w:style>
  <w:style w:type="character" w:styleId="ListLabel7">
    <w:name w:val="ListLabel 7"/>
    <w:qFormat/>
    <w:rPr>
      <w:rFonts w:ascii="Arial" w:hAnsi="Arial" w:cs="Times New Roman"/>
      <w:szCs w:val="18"/>
    </w:rPr>
  </w:style>
  <w:style w:type="character" w:styleId="ListLabel8">
    <w:name w:val="ListLabel 8"/>
    <w:qFormat/>
    <w:rPr>
      <w:rFonts w:ascii="Arial" w:hAnsi="Arial" w:cs="Arial"/>
      <w:sz w:val="18"/>
      <w:szCs w:val="18"/>
    </w:rPr>
  </w:style>
  <w:style w:type="character" w:styleId="ListLabel9">
    <w:name w:val="ListLabel 9"/>
    <w:qFormat/>
    <w:rPr>
      <w:rFonts w:ascii="Arial" w:hAnsi="Arial" w:cs="Arial"/>
      <w:b/>
      <w:bCs/>
      <w:szCs w:val="18"/>
    </w:rPr>
  </w:style>
  <w:style w:type="character" w:styleId="ListLabel10">
    <w:name w:val="ListLabel 10"/>
    <w:qFormat/>
    <w:rPr>
      <w:rFonts w:ascii="Arial" w:hAnsi="Arial"/>
      <w:b w:val="false"/>
    </w:rPr>
  </w:style>
  <w:style w:type="character" w:styleId="ListLabel11">
    <w:name w:val="ListLabel 11"/>
    <w:qFormat/>
    <w:rPr>
      <w:rFonts w:cs="Times New Roman"/>
    </w:rPr>
  </w:style>
  <w:style w:type="paragraph" w:styleId="Nadpis" w:customStyle="1">
    <w:name w:val="Nadpis"/>
    <w:basedOn w:val="Standard"/>
    <w:next w:val="Telotextu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rsid w:val="00174559"/>
    <w:pPr>
      <w:widowControl/>
      <w:suppressAutoHyphens w:val="false"/>
      <w:ind w:left="426" w:hanging="0"/>
      <w:jc w:val="both"/>
      <w:textAlignment w:val="auto"/>
    </w:pPr>
    <w:rPr>
      <w:rFonts w:ascii="Times New Roman" w:hAnsi="Times New Roman" w:eastAsia="Times New Roman" w:cs="Times New Roman"/>
      <w:sz w:val="18"/>
      <w:szCs w:val="20"/>
    </w:rPr>
  </w:style>
  <w:style w:type="paragraph" w:styleId="Zoznam">
    <w:name w:val="List"/>
    <w:basedOn w:val="Textbody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0"/>
      <w:szCs w:val="20"/>
      <w:lang w:bidi="ar-SA" w:val="sk-SK" w:eastAsia="zh-CN"/>
    </w:rPr>
  </w:style>
  <w:style w:type="paragraph" w:styleId="Textbody" w:customStyle="1">
    <w:name w:val="Text body"/>
    <w:basedOn w:val="Standard"/>
    <w:qFormat/>
    <w:pPr>
      <w:ind w:left="426" w:hanging="0"/>
      <w:jc w:val="both"/>
    </w:pPr>
    <w:rPr>
      <w:sz w:val="18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pis4" w:customStyle="1">
    <w:name w:val="Popis4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pis3" w:customStyle="1">
    <w:name w:val="Popis3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pis2" w:customStyle="1">
    <w:name w:val="Popis2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opis1" w:customStyle="1">
    <w:name w:val="Popis1"/>
    <w:basedOn w:val="Standard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lavika">
    <w:name w:val="Header"/>
    <w:basedOn w:val="Standard"/>
    <w:pPr/>
    <w:rPr/>
  </w:style>
  <w:style w:type="paragraph" w:styleId="Pta">
    <w:name w:val="Footer"/>
    <w:basedOn w:val="Standard"/>
    <w:pPr/>
    <w:rPr/>
  </w:style>
  <w:style w:type="paragraph" w:styleId="Uvod" w:customStyle="1">
    <w:name w:val="Uvod"/>
    <w:basedOn w:val="Standard"/>
    <w:qFormat/>
    <w:pPr>
      <w:ind w:left="284" w:hanging="284"/>
      <w:jc w:val="both"/>
    </w:pPr>
    <w:rPr>
      <w:sz w:val="22"/>
    </w:rPr>
  </w:style>
  <w:style w:type="paragraph" w:styleId="Lita" w:customStyle="1">
    <w:name w:val="lit_a"/>
    <w:basedOn w:val="Standard"/>
    <w:qFormat/>
    <w:pPr>
      <w:spacing w:before="0" w:after="20"/>
      <w:ind w:left="624" w:hanging="340"/>
      <w:jc w:val="both"/>
    </w:pPr>
    <w:rPr>
      <w:rFonts w:ascii="Times" w:hAnsi="Times" w:eastAsia="Times" w:cs="Times"/>
      <w:lang w:val="en-US"/>
    </w:rPr>
  </w:style>
  <w:style w:type="paragraph" w:styleId="Zif" w:customStyle="1">
    <w:name w:val="zif"/>
    <w:basedOn w:val="Standard"/>
    <w:qFormat/>
    <w:pPr>
      <w:spacing w:before="0" w:after="80"/>
      <w:jc w:val="both"/>
    </w:pPr>
    <w:rPr>
      <w:rFonts w:ascii="Times" w:hAnsi="Times" w:eastAsia="Times" w:cs="Times"/>
      <w:lang w:val="en-US"/>
    </w:rPr>
  </w:style>
  <w:style w:type="paragraph" w:styleId="ListParagraph">
    <w:name w:val="List Paragraph"/>
    <w:basedOn w:val="Standard"/>
    <w:qFormat/>
    <w:pPr>
      <w:ind w:left="708" w:hanging="0"/>
    </w:pPr>
    <w:rPr/>
  </w:style>
  <w:style w:type="paragraph" w:styleId="Tabulka" w:customStyle="1">
    <w:name w:val="Tabulka"/>
    <w:basedOn w:val="Standard"/>
    <w:qFormat/>
    <w:pPr/>
    <w:rPr>
      <w:color w:val="000000"/>
      <w:sz w:val="18"/>
    </w:rPr>
  </w:style>
  <w:style w:type="paragraph" w:styleId="Pismenka" w:customStyle="1">
    <w:name w:val="Pismenka"/>
    <w:basedOn w:val="Textbody"/>
    <w:qFormat/>
    <w:pPr>
      <w:ind w:left="426" w:hanging="426"/>
    </w:pPr>
    <w:rPr>
      <w:b/>
    </w:rPr>
  </w:style>
  <w:style w:type="paragraph" w:styleId="BalloonText">
    <w:name w:val="Balloon Text"/>
    <w:basedOn w:val="Standard"/>
    <w:qFormat/>
    <w:pPr/>
    <w:rPr>
      <w:rFonts w:ascii="Tahoma" w:hAnsi="Tahoma" w:eastAsia="Tahoma" w:cs="Tahoma"/>
      <w:sz w:val="16"/>
      <w:szCs w:val="16"/>
    </w:rPr>
  </w:style>
  <w:style w:type="paragraph" w:styleId="Obsahtabuky" w:customStyle="1">
    <w:name w:val="Obsah tabuľky"/>
    <w:basedOn w:val="Standard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Normlny1" w:customStyle="1">
    <w:name w:val="Normálny1"/>
    <w:qFormat/>
    <w:pPr>
      <w:widowControl/>
      <w:bidi w:val="0"/>
      <w:spacing w:lineRule="atLeast" w:line="100"/>
      <w:jc w:val="left"/>
    </w:pPr>
    <w:rPr>
      <w:rFonts w:ascii="Times New Roman" w:hAnsi="Times New Roman" w:eastAsia="SimSun, 宋体" w:cs="Tahoma"/>
      <w:color w:val="auto"/>
      <w:sz w:val="24"/>
      <w:szCs w:val="24"/>
      <w:lang w:val="sk-SK" w:eastAsia="zh-CN" w:bidi="hi-IN"/>
    </w:rPr>
  </w:style>
  <w:style w:type="paragraph" w:styleId="Zkladntext1" w:customStyle="1">
    <w:name w:val="Základný text1"/>
    <w:basedOn w:val="Normlny1"/>
    <w:qFormat/>
    <w:pPr>
      <w:widowControl/>
      <w:suppressAutoHyphens w:val="false"/>
      <w:ind w:left="426" w:hanging="0"/>
      <w:jc w:val="both"/>
      <w:textAlignment w:val="auto"/>
    </w:pPr>
    <w:rPr>
      <w:sz w:val="18"/>
    </w:rPr>
  </w:style>
  <w:style w:type="paragraph" w:styleId="Obsahrmca" w:customStyle="1">
    <w:name w:val="Obsah rámca"/>
    <w:basedOn w:val="Textbody"/>
    <w:qFormat/>
    <w:pPr/>
    <w:rPr/>
  </w:style>
  <w:style w:type="paragraph" w:styleId="NormalWeb">
    <w:name w:val="Normal (Web)"/>
    <w:basedOn w:val="Standard"/>
    <w:qFormat/>
    <w:pPr>
      <w:suppressAutoHyphens w:val="false"/>
      <w:spacing w:before="280" w:after="280"/>
    </w:pPr>
    <w:rPr>
      <w:rFonts w:eastAsia="Calibr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49234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9AF5-8FC2-4CF6-A5B4-75D87D04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LibreOffice/5.3.3.2$Windows_X86_64 LibreOffice_project/3d9a8b4b4e538a85e0782bd6c2d430bafe583448</Application>
  <Pages>10</Pages>
  <Words>1943</Words>
  <Characters>11294</Characters>
  <CharactersWithSpaces>13235</CharactersWithSpaces>
  <Paragraphs>258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2025-03-19T15:01:00Z</dcterms:created>
  <dc:creator>Silvia Marekovičová | MANDAT</dc:creator>
  <dc:description/>
  <dc:language>sk-SK</dc:language>
  <cp:lastModifiedBy>Kristína Lončeková</cp:lastModifiedBy>
  <cp:lastPrinted>2023-03-09T11:30:00Z</cp:lastPrinted>
  <dcterms:modified xsi:type="dcterms:W3CDTF">2025-03-19T15:01:00Z</dcterms:modified>
  <cp:revision>2</cp:revision>
  <dc:subject/>
  <dc:title>Poznámky Úč POD 3 - 04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