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embeddings/oleObject1.xlsx" ContentType="application/vnd.openxmlformats-officedocument.spreadsheetml.sheet"/>
  <Override PartName="/word/media/image1.emf" ContentType="image/x-e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Hlavika"/>
        <w:tabs>
          <w:tab w:val="center" w:pos="4962" w:leader="none"/>
          <w:tab w:val="right" w:pos="9213" w:leader="none"/>
        </w:tabs>
        <w:ind w:right="-1" w:hanging="0"/>
        <w:jc w:val="right"/>
        <w:rPr>
          <w:rFonts w:ascii="Arial" w:hAnsi="Arial" w:cs="Arial"/>
          <w:color w:val="000000" w:themeColor="text1"/>
          <w:sz w:val="18"/>
          <w:szCs w:val="18"/>
          <w:lang w:val="en-GB"/>
        </w:rPr>
      </w:pPr>
      <w:r>
        <w:rPr>
          <w:rFonts w:cs="Arial" w:ascii="Arial" w:hAnsi="Arial"/>
          <w:color w:val="000000" w:themeColor="text1"/>
          <w:sz w:val="18"/>
          <w:szCs w:val="18"/>
          <w:lang w:val="en-GB"/>
        </w:rPr>
      </w:r>
    </w:p>
    <w:p>
      <w:pPr>
        <w:pStyle w:val="Nadpis1"/>
        <w:numPr>
          <w:ilvl w:val="0"/>
          <w:numId w:val="2"/>
        </w:numPr>
        <w:rPr>
          <w:rFonts w:ascii="Arial" w:hAnsi="Arial" w:cs="Arial"/>
          <w:color w:val="000000" w:themeColor="text1"/>
          <w:szCs w:val="18"/>
        </w:rPr>
      </w:pPr>
      <w:r>
        <w:rPr>
          <w:rFonts w:eastAsia="Calibri" w:cs="Arial" w:ascii="Arial" w:hAnsi="Arial"/>
          <w:color w:val="000000" w:themeColor="text1"/>
          <w:szCs w:val="18"/>
          <w:lang w:eastAsia="sk-SK"/>
        </w:rPr>
        <w:t>Informácie</w:t>
      </w:r>
      <w:r>
        <w:rPr>
          <w:rFonts w:cs="Arial" w:ascii="Arial" w:hAnsi="Arial"/>
          <w:color w:val="000000" w:themeColor="text1"/>
          <w:szCs w:val="18"/>
          <w:lang w:eastAsia="sk-SK"/>
        </w:rPr>
        <w:t xml:space="preserve"> o účtovnej jednotke</w:t>
      </w:r>
    </w:p>
    <w:p>
      <w:pPr>
        <w:pStyle w:val="Textbody"/>
        <w:rPr>
          <w:rFonts w:ascii="Arial" w:hAnsi="Arial" w:cs="Arial"/>
          <w:color w:val="000000" w:themeColor="text1"/>
          <w:szCs w:val="18"/>
          <w:lang w:eastAsia="sk-SK"/>
        </w:rPr>
      </w:pPr>
      <w:r>
        <w:rPr>
          <w:rFonts w:cs="Arial" w:ascii="Arial" w:hAnsi="Arial"/>
          <w:color w:val="000000" w:themeColor="text1"/>
          <w:szCs w:val="18"/>
          <w:lang w:eastAsia="sk-SK"/>
        </w:rPr>
      </w:r>
    </w:p>
    <w:p>
      <w:pPr>
        <w:pStyle w:val="Nadpis2"/>
        <w:numPr>
          <w:ilvl w:val="0"/>
          <w:numId w:val="6"/>
        </w:numPr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Obchodné meno a sídlo spoločnosti</w:t>
      </w:r>
    </w:p>
    <w:p>
      <w:pPr>
        <w:pStyle w:val="Standard"/>
        <w:spacing w:before="120" w:after="0"/>
        <w:ind w:left="426" w:hanging="0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  <w:t>BG-Graspointner s. r. o.</w:t>
      </w:r>
    </w:p>
    <w:p>
      <w:pPr>
        <w:pStyle w:val="Standard"/>
        <w:ind w:left="426" w:hanging="0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  <w:t>Kuchyňa 586</w:t>
      </w:r>
    </w:p>
    <w:p>
      <w:pPr>
        <w:pStyle w:val="Standard"/>
        <w:ind w:left="426" w:hanging="0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  <w:t>900 52  Kuchyňa</w:t>
      </w:r>
    </w:p>
    <w:p>
      <w:pPr>
        <w:pStyle w:val="Standard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Spoločnosť</w:t>
      </w:r>
      <w:r>
        <w:rPr>
          <w:rFonts w:eastAsia="Arial" w:cs="Arial" w:ascii="Arial" w:hAnsi="Arial"/>
          <w:color w:val="000000" w:themeColor="text1"/>
          <w:szCs w:val="18"/>
        </w:rPr>
        <w:t xml:space="preserve"> BG-Graspointner s.r.o. </w:t>
      </w:r>
      <w:r>
        <w:rPr>
          <w:rFonts w:cs="Arial" w:ascii="Arial" w:hAnsi="Arial"/>
          <w:color w:val="000000" w:themeColor="text1"/>
          <w:szCs w:val="18"/>
        </w:rPr>
        <w:t>(ďalej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len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Spoločnosť)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bola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založená</w:t>
      </w:r>
      <w:r>
        <w:rPr>
          <w:rFonts w:eastAsia="Arial" w:cs="Arial" w:ascii="Arial" w:hAnsi="Arial"/>
          <w:color w:val="000000" w:themeColor="text1"/>
          <w:szCs w:val="18"/>
        </w:rPr>
        <w:t xml:space="preserve"> 25. januára 1996 </w:t>
      </w:r>
      <w:r>
        <w:rPr>
          <w:rFonts w:cs="Arial" w:ascii="Arial" w:hAnsi="Arial"/>
          <w:color w:val="000000" w:themeColor="text1"/>
          <w:szCs w:val="18"/>
        </w:rPr>
        <w:t>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do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obchodného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registra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bola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zapísaná</w:t>
      </w:r>
      <w:r>
        <w:rPr>
          <w:rFonts w:eastAsia="Arial" w:cs="Arial" w:ascii="Arial" w:hAnsi="Arial"/>
          <w:color w:val="000000" w:themeColor="text1"/>
          <w:szCs w:val="18"/>
        </w:rPr>
        <w:t xml:space="preserve"> 21. marca 1996 (Obchodný register Mestského súdu Bratislava III, </w:t>
      </w:r>
      <w:r>
        <w:rPr>
          <w:rFonts w:cs="Arial" w:ascii="Arial" w:hAnsi="Arial"/>
          <w:color w:val="000000" w:themeColor="text1"/>
          <w:szCs w:val="18"/>
        </w:rPr>
        <w:t>oddiel Sro, vložka</w:t>
      </w:r>
      <w:r>
        <w:rPr>
          <w:rFonts w:eastAsia="Arial" w:cs="Arial" w:ascii="Arial" w:hAnsi="Arial"/>
          <w:color w:val="000000" w:themeColor="text1"/>
          <w:szCs w:val="18"/>
        </w:rPr>
        <w:t xml:space="preserve"> č. 13363/B.</w:t>
      </w:r>
    </w:p>
    <w:p>
      <w:pPr>
        <w:pStyle w:val="Standard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</w:r>
    </w:p>
    <w:p>
      <w:pPr>
        <w:pStyle w:val="Nadpis2"/>
        <w:numPr>
          <w:ilvl w:val="0"/>
          <w:numId w:val="3"/>
        </w:numPr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Hlavnými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činnosťami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Spoločnosti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sú:</w:t>
      </w:r>
    </w:p>
    <w:p>
      <w:pPr>
        <w:pStyle w:val="Standard"/>
        <w:numPr>
          <w:ilvl w:val="0"/>
          <w:numId w:val="7"/>
        </w:numPr>
        <w:spacing w:before="120" w:after="0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  <w:t>výroba betónových stavebných prvkov,</w:t>
      </w:r>
    </w:p>
    <w:p>
      <w:pPr>
        <w:pStyle w:val="Standard"/>
        <w:numPr>
          <w:ilvl w:val="0"/>
          <w:numId w:val="5"/>
        </w:numPr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  <w:t>výroba transportného betónu,</w:t>
      </w:r>
    </w:p>
    <w:p>
      <w:pPr>
        <w:pStyle w:val="Standard"/>
        <w:numPr>
          <w:ilvl w:val="0"/>
          <w:numId w:val="5"/>
        </w:numPr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  <w:t>kúpa tovaru v rozsahu voľnej živnosti na účely jeho predaja konečnému spotrebiteľovi (maloobchod),</w:t>
      </w:r>
    </w:p>
    <w:p>
      <w:pPr>
        <w:pStyle w:val="Standard"/>
        <w:numPr>
          <w:ilvl w:val="0"/>
          <w:numId w:val="5"/>
        </w:numPr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  <w:t>kúpa tovaru v rozsahu voľnej živnosti na účely jeho predaja iným prevádzkovateľom živnosti (veľkoobchod).</w:t>
      </w:r>
    </w:p>
    <w:p>
      <w:pPr>
        <w:pStyle w:val="Textbody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Nadpis2"/>
        <w:numPr>
          <w:ilvl w:val="0"/>
          <w:numId w:val="3"/>
        </w:numPr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Právny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dôvod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zostavenie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účtovnej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závierky</w:t>
      </w:r>
    </w:p>
    <w:p>
      <w:pPr>
        <w:pStyle w:val="Standard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</w:r>
    </w:p>
    <w:p>
      <w:pPr>
        <w:pStyle w:val="Textbody"/>
        <w:ind w:left="426" w:hanging="426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ab/>
        <w:t>Účtovná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závierka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Spoločnosti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k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31.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decembru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2024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je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zostavená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ako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riadna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účtovná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závierka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podľa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§</w:t>
      </w:r>
      <w:r>
        <w:rPr>
          <w:rFonts w:eastAsia="Arial" w:cs="Arial" w:ascii="Arial" w:hAnsi="Arial"/>
          <w:color w:val="000000" w:themeColor="text1"/>
          <w:szCs w:val="18"/>
        </w:rPr>
        <w:t> </w:t>
      </w:r>
      <w:r>
        <w:rPr>
          <w:rFonts w:cs="Arial" w:ascii="Arial" w:hAnsi="Arial"/>
          <w:color w:val="000000" w:themeColor="text1"/>
          <w:szCs w:val="18"/>
        </w:rPr>
        <w:t>17 ods.</w:t>
      </w:r>
      <w:r>
        <w:rPr>
          <w:rFonts w:eastAsia="Arial" w:cs="Arial" w:ascii="Arial" w:hAnsi="Arial"/>
          <w:color w:val="000000" w:themeColor="text1"/>
          <w:szCs w:val="18"/>
        </w:rPr>
        <w:t> </w:t>
      </w:r>
      <w:r>
        <w:rPr>
          <w:rFonts w:cs="Arial" w:ascii="Arial" w:hAnsi="Arial"/>
          <w:color w:val="000000" w:themeColor="text1"/>
          <w:szCs w:val="18"/>
        </w:rPr>
        <w:t>6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zákona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NR SR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č.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431/2002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Z. z.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 účtovníctve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účtovné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obdobie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od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1.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januára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2024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do</w:t>
      </w:r>
      <w:r>
        <w:rPr>
          <w:rFonts w:eastAsia="Arial" w:cs="Arial" w:ascii="Arial" w:hAnsi="Arial"/>
          <w:color w:val="000000" w:themeColor="text1"/>
          <w:szCs w:val="18"/>
        </w:rPr>
        <w:t> </w:t>
      </w:r>
      <w:r>
        <w:rPr>
          <w:rFonts w:cs="Arial" w:ascii="Arial" w:hAnsi="Arial"/>
          <w:color w:val="000000" w:themeColor="text1"/>
          <w:szCs w:val="18"/>
        </w:rPr>
        <w:t>31.</w:t>
      </w:r>
      <w:r>
        <w:rPr>
          <w:rFonts w:eastAsia="Arial" w:cs="Arial" w:ascii="Arial" w:hAnsi="Arial"/>
          <w:color w:val="000000" w:themeColor="text1"/>
          <w:szCs w:val="18"/>
        </w:rPr>
        <w:t> </w:t>
      </w:r>
      <w:r>
        <w:rPr>
          <w:rFonts w:cs="Arial" w:ascii="Arial" w:hAnsi="Arial"/>
          <w:color w:val="000000" w:themeColor="text1"/>
          <w:szCs w:val="18"/>
        </w:rPr>
        <w:t>decembra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2024.</w:t>
      </w:r>
    </w:p>
    <w:p>
      <w:pPr>
        <w:pStyle w:val="Textbody"/>
        <w:ind w:left="426" w:hanging="426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Účtovná závierka je určená pre používateľov, ktorí majú primerané znalosti o obchodných a ekonomických činnostiach a účtovníctve,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Nadpis2"/>
        <w:numPr>
          <w:ilvl w:val="0"/>
          <w:numId w:val="3"/>
        </w:numPr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Informácie o skupine</w:t>
      </w:r>
    </w:p>
    <w:p>
      <w:pPr>
        <w:pStyle w:val="Textbody"/>
        <w:rPr>
          <w:rStyle w:val="M2359083177929547904predvolenpsmoodseku1"/>
          <w:rFonts w:ascii="Arial" w:hAnsi="Arial" w:cs="Arial"/>
          <w:color w:val="000000" w:themeColor="text1"/>
          <w:szCs w:val="18"/>
          <w:shd w:fill="FFFFFF" w:val="clear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Style w:val="M2359083177929547904predvolenpsmoodseku1"/>
          <w:rFonts w:cs="Arial" w:ascii="Arial" w:hAnsi="Arial"/>
          <w:color w:val="000000" w:themeColor="text1"/>
          <w:szCs w:val="18"/>
          <w:shd w:fill="FFFFFF" w:val="clear"/>
        </w:rPr>
        <w:t xml:space="preserve">Materskou spoločnosťou Spoločnosti  je Graspointner Holding GmbH, </w:t>
      </w:r>
      <w:bookmarkStart w:id="0" w:name="_Hlk160610984"/>
      <w:r>
        <w:rPr>
          <w:rStyle w:val="M2359083177929547904predvolenpsmoodseku1"/>
          <w:rFonts w:cs="Arial" w:ascii="Arial" w:hAnsi="Arial"/>
          <w:color w:val="000000" w:themeColor="text1"/>
          <w:szCs w:val="18"/>
          <w:shd w:fill="FFFFFF" w:val="clear"/>
        </w:rPr>
        <w:t>Gessenschwandt 39, Oberwang 4882</w:t>
      </w:r>
      <w:bookmarkEnd w:id="0"/>
      <w:r>
        <w:rPr>
          <w:rStyle w:val="M2359083177929547904predvolenpsmoodseku1"/>
          <w:rFonts w:cs="Arial" w:ascii="Arial" w:hAnsi="Arial"/>
          <w:color w:val="000000" w:themeColor="text1"/>
          <w:szCs w:val="18"/>
          <w:shd w:fill="FFFFFF" w:val="clear"/>
        </w:rPr>
        <w:t>, Rakúsko. Konsolidovanú účtovnú závierku zostavuje spoločnosť v Rakúsku. Túto konsolidovanú účtovnú závierku je možné dostať priamo v sídle uvedenej spoločnosti. Adresa registrového súdu, ktorý vedie obchodný register, kde sú uložené konsolidované účtovné závierky, je Oberwang, Rakúsko.</w:t>
      </w:r>
    </w:p>
    <w:p>
      <w:pPr>
        <w:pStyle w:val="Textbody"/>
        <w:spacing w:before="120" w:after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Nadpis2"/>
        <w:numPr>
          <w:ilvl w:val="0"/>
          <w:numId w:val="3"/>
        </w:numPr>
        <w:rPr>
          <w:rFonts w:ascii="Arial" w:hAnsi="Arial" w:cs="Arial"/>
          <w:color w:val="000000" w:themeColor="text1"/>
          <w:szCs w:val="18"/>
        </w:rPr>
      </w:pPr>
      <w:bookmarkStart w:id="1" w:name="_MON_1803213667"/>
      <w:bookmarkStart w:id="2" w:name="_1771164051"/>
      <w:bookmarkStart w:id="3" w:name="_1405921752"/>
      <w:bookmarkStart w:id="4" w:name="_1771060376"/>
      <w:bookmarkEnd w:id="1"/>
      <w:bookmarkEnd w:id="2"/>
      <w:bookmarkEnd w:id="3"/>
      <w:bookmarkEnd w:id="4"/>
      <w:r>
        <w:rPr>
          <w:rFonts w:cs="Arial" w:ascii="Arial" w:hAnsi="Arial"/>
          <w:color w:val="000000" w:themeColor="text1"/>
          <w:szCs w:val="18"/>
        </w:rPr>
        <w:t>Zamestnanci</w:t>
      </w:r>
    </w:p>
    <w:p>
      <w:pPr>
        <w:pStyle w:val="Standard"/>
        <w:ind w:left="426" w:hanging="0"/>
        <w:rPr>
          <w:rFonts w:ascii="Arial" w:hAnsi="Arial" w:cs="Arial"/>
          <w:color w:val="000000" w:themeColor="text1"/>
          <w:sz w:val="18"/>
          <w:szCs w:val="18"/>
        </w:rPr>
      </w:pPr>
      <w:r>
        <w:rPr/>
        <w:object>
          <v:shape id="ole_rId2" style="width:434.25pt;height:40.5pt" o:ole="">
            <v:imagedata r:id="rId3" o:title=""/>
          </v:shape>
          <o:OLEObject Type="Embed" ProgID="Excel.Sheet.12" ShapeID="ole_rId2" DrawAspect="Content" ObjectID="_195885102" r:id="rId2"/>
        </w:object>
      </w:r>
    </w:p>
    <w:p>
      <w:pPr>
        <w:pStyle w:val="Standard"/>
        <w:ind w:left="426" w:hanging="0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</w:r>
    </w:p>
    <w:p>
      <w:pPr>
        <w:pStyle w:val="Nadpis2"/>
        <w:numPr>
          <w:ilvl w:val="0"/>
          <w:numId w:val="3"/>
        </w:numPr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Údaje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 neobmedzenom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ručení</w:t>
      </w:r>
    </w:p>
    <w:p>
      <w:pPr>
        <w:pStyle w:val="Standard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</w:r>
    </w:p>
    <w:p>
      <w:pPr>
        <w:pStyle w:val="Standard"/>
        <w:ind w:left="426" w:hanging="0"/>
        <w:jc w:val="both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  <w:t>Spoločnosť nie je neobmedzene ručiacim spoločníkom v iných spoločnostiach podľa § 56 ods. 5 Obchodného zákonníka.</w:t>
      </w:r>
    </w:p>
    <w:p>
      <w:pPr>
        <w:pStyle w:val="Textbody"/>
        <w:spacing w:before="120" w:after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Nadpis2"/>
        <w:numPr>
          <w:ilvl w:val="0"/>
          <w:numId w:val="3"/>
        </w:numPr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Dátum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schválenia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účtovnej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závierky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predchádzajúce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účtovné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obdobie</w:t>
      </w:r>
    </w:p>
    <w:p>
      <w:pPr>
        <w:pStyle w:val="Standard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Účtovná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závierka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Spoločnosti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k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31.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decembru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2023,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predchádzajúce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účtovné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obdobie,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bola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schválená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rozhodnutím jediného spoločníka 20. marca 2024.</w:t>
      </w:r>
    </w:p>
    <w:p>
      <w:pPr>
        <w:pStyle w:val="Textbody"/>
        <w:spacing w:before="120" w:after="0"/>
        <w:ind w:left="426" w:hanging="426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Nadpis2"/>
        <w:numPr>
          <w:ilvl w:val="0"/>
          <w:numId w:val="3"/>
        </w:numPr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Zverejnenie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účtovnej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závierky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predchádzajúce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účtovné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obdobie</w:t>
      </w:r>
    </w:p>
    <w:p>
      <w:pPr>
        <w:pStyle w:val="Standard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</w:r>
    </w:p>
    <w:p>
      <w:pPr>
        <w:pStyle w:val="Textbody"/>
        <w:ind w:left="36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Účtovná závierka Spoločnosti k 31. decembru 2023 bola uložená do registra účtovných závierok 7. marca 2024.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  <w:r>
        <w:br w:type="page"/>
      </w:r>
    </w:p>
    <w:p>
      <w:pPr>
        <w:pStyle w:val="Nadpis2"/>
        <w:numPr>
          <w:ilvl w:val="0"/>
          <w:numId w:val="3"/>
        </w:numPr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Informácie o orgánoch spoločnosti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Členom štatutárneho orgánu neboli v roku 2024 poskytnuté žiadne pôžičky, záruky alebo iné formy zabezpečenia, ani finančné prostriedky alebo iné plnenia na súkromné účely členov, ktoré sa vyúčtovávajú  (v roku 2023: žiadne).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Nadpis1"/>
        <w:numPr>
          <w:ilvl w:val="0"/>
          <w:numId w:val="2"/>
        </w:numPr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informácie o spoločníkoch účtovnej jednotky</w:t>
      </w:r>
    </w:p>
    <w:p>
      <w:pPr>
        <w:pStyle w:val="Textbody"/>
        <w:spacing w:before="120" w:after="0"/>
        <w:rPr>
          <w:rFonts w:ascii="Arial" w:hAnsi="Arial" w:cs="Arial"/>
          <w:color w:val="000000" w:themeColor="text1"/>
          <w:szCs w:val="18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" wp14:anchorId="2F935F92">
                <wp:simplePos x="0" y="0"/>
                <wp:positionH relativeFrom="margin">
                  <wp:posOffset>238125</wp:posOffset>
                </wp:positionH>
                <wp:positionV relativeFrom="paragraph">
                  <wp:posOffset>256540</wp:posOffset>
                </wp:positionV>
                <wp:extent cx="5478145" cy="1341755"/>
                <wp:effectExtent l="0" t="0" r="27940" b="11430"/>
                <wp:wrapSquare wrapText="bothSides"/>
                <wp:docPr id="1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77400" cy="1341000"/>
                        </a:xfrm>
                        <a:prstGeom prst="rect">
                          <a:avLst/>
                        </a:prstGeom>
                        <a:noFill/>
                        <a:ln w="720">
                          <a:solidFill>
                            <a:srgbClr val="80808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8364" w:type="dxa"/>
                              <w:jc w:val="left"/>
                              <w:tblInd w:w="6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0" w:noVBand="0" w:lastRow="0" w:firstColumn="0" w:lastColumn="0" w:noHBand="0" w:val="0000"/>
                            </w:tblPr>
                            <w:tblGrid>
                              <w:gridCol w:w="1843"/>
                              <w:gridCol w:w="160"/>
                              <w:gridCol w:w="1399"/>
                              <w:gridCol w:w="160"/>
                              <w:gridCol w:w="1116"/>
                              <w:gridCol w:w="197"/>
                              <w:gridCol w:w="1504"/>
                              <w:gridCol w:w="159"/>
                              <w:gridCol w:w="1825"/>
                            </w:tblGrid>
                            <w:tr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843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Spoločník, akcionár</w:t>
                                  </w:r>
                                </w:p>
                              </w:tc>
                              <w:tc>
                                <w:tcPr>
                                  <w:tcW w:w="160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675" w:type="dxa"/>
                                  <w:gridSpan w:val="3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Výška podielu na základnom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  <w:gridSpan w:val="2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Podiel na hlasovacích</w:t>
                                  </w:r>
                                </w:p>
                              </w:tc>
                              <w:tc>
                                <w:tcPr>
                                  <w:tcW w:w="1984" w:type="dxa"/>
                                  <w:gridSpan w:val="2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Iný podiel na ostatných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192" w:hRule="atLeast"/>
                              </w:trPr>
                              <w:tc>
                                <w:tcPr>
                                  <w:tcW w:w="1843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60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2675" w:type="dxa"/>
                                  <w:gridSpan w:val="3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</w:rPr>
                                    <w:t>imaní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  <w:gridSpan w:val="2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</w:rPr>
                                    <w:t>právach</w:t>
                                  </w:r>
                                </w:p>
                              </w:tc>
                              <w:tc>
                                <w:tcPr>
                                  <w:tcW w:w="1984" w:type="dxa"/>
                                  <w:gridSpan w:val="2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</w:rPr>
                                    <w:t>položkách VI ako na ZI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40" w:hRule="atLeast"/>
                              </w:trPr>
                              <w:tc>
                                <w:tcPr>
                                  <w:tcW w:w="1843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60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399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absolútne v EUR</w:t>
                                  </w:r>
                                </w:p>
                              </w:tc>
                              <w:tc>
                                <w:tcPr>
                                  <w:tcW w:w="160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116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v %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  <w:gridSpan w:val="2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v %</w:t>
                                  </w:r>
                                </w:p>
                              </w:tc>
                              <w:tc>
                                <w:tcPr>
                                  <w:tcW w:w="1984" w:type="dxa"/>
                                  <w:gridSpan w:val="2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v %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70" w:hRule="atLeast"/>
                              </w:trPr>
                              <w:tc>
                                <w:tcPr>
                                  <w:tcW w:w="1843" w:type="dxa"/>
                                  <w:tcBorders>
                                    <w:bottom w:val="single" w:sz="4" w:space="0" w:color="000001"/>
                                    <w:insideH w:val="single" w:sz="4" w:space="0" w:color="000001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160" w:type="dxa"/>
                                  <w:tcBorders>
                                    <w:bottom w:val="single" w:sz="4" w:space="0" w:color="000001"/>
                                    <w:insideH w:val="single" w:sz="4" w:space="0" w:color="000001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 </w:t>
                                  </w:r>
                                </w:p>
                              </w:tc>
                              <w:tc>
                                <w:tcPr>
                                  <w:tcW w:w="1399" w:type="dxa"/>
                                  <w:tcBorders>
                                    <w:bottom w:val="single" w:sz="4" w:space="0" w:color="000001"/>
                                    <w:insideH w:val="single" w:sz="4" w:space="0" w:color="000001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160" w:type="dxa"/>
                                  <w:tcBorders>
                                    <w:bottom w:val="single" w:sz="4" w:space="0" w:color="000001"/>
                                    <w:insideH w:val="single" w:sz="4" w:space="0" w:color="000001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 </w:t>
                                  </w:r>
                                </w:p>
                              </w:tc>
                              <w:tc>
                                <w:tcPr>
                                  <w:tcW w:w="1116" w:type="dxa"/>
                                  <w:tcBorders>
                                    <w:bottom w:val="single" w:sz="4" w:space="0" w:color="000001"/>
                                    <w:insideH w:val="single" w:sz="4" w:space="0" w:color="000001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  <w:gridSpan w:val="2"/>
                                  <w:tcBorders>
                                    <w:bottom w:val="single" w:sz="4" w:space="0" w:color="000001"/>
                                    <w:insideH w:val="single" w:sz="4" w:space="0" w:color="000001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1984" w:type="dxa"/>
                                  <w:gridSpan w:val="2"/>
                                  <w:tcBorders>
                                    <w:bottom w:val="single" w:sz="4" w:space="0" w:color="000001"/>
                                    <w:insideH w:val="single" w:sz="4" w:space="0" w:color="000001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center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83" w:hRule="atLeast"/>
                              </w:trPr>
                              <w:tc>
                                <w:tcPr>
                                  <w:tcW w:w="1843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Graspointner Holding GmbH.</w:t>
                                  </w:r>
                                </w:p>
                              </w:tc>
                              <w:tc>
                                <w:tcPr>
                                  <w:tcW w:w="160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399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right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657 240</w:t>
                                  </w:r>
                                </w:p>
                              </w:tc>
                              <w:tc>
                                <w:tcPr>
                                  <w:tcW w:w="160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right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116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right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100</w:t>
                                  </w:r>
                                </w:p>
                              </w:tc>
                              <w:tc>
                                <w:tcPr>
                                  <w:tcW w:w="197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right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504" w:type="dxa"/>
                                  <w:tcBorders>
                                    <w:bottom w:val="single" w:sz="4" w:space="0" w:color="000001"/>
                                    <w:insideH w:val="single" w:sz="4" w:space="0" w:color="000001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right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  <w:t>100</w:t>
                                  </w:r>
                                </w:p>
                              </w:tc>
                              <w:tc>
                                <w:tcPr>
                                  <w:tcW w:w="159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right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25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right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5" w:hRule="atLeast"/>
                              </w:trPr>
                              <w:tc>
                                <w:tcPr>
                                  <w:tcW w:w="1843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  <w:t>Spolu</w:t>
                                  </w:r>
                                </w:p>
                              </w:tc>
                              <w:tc>
                                <w:tcPr>
                                  <w:tcW w:w="160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399" w:type="dxa"/>
                                  <w:tcBorders>
                                    <w:top w:val="single" w:sz="4" w:space="0" w:color="000001"/>
                                    <w:bottom w:val="double" w:sz="6" w:space="0" w:color="000001"/>
                                    <w:insideH w:val="double" w:sz="6" w:space="0" w:color="000001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right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  <w:t>657 240</w:t>
                                  </w:r>
                                </w:p>
                              </w:tc>
                              <w:tc>
                                <w:tcPr>
                                  <w:tcW w:w="160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right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116" w:type="dxa"/>
                                  <w:tcBorders>
                                    <w:top w:val="single" w:sz="4" w:space="0" w:color="000001"/>
                                    <w:bottom w:val="double" w:sz="6" w:space="0" w:color="000001"/>
                                    <w:insideH w:val="double" w:sz="6" w:space="0" w:color="000001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right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  <w:t>100</w:t>
                                  </w:r>
                                </w:p>
                              </w:tc>
                              <w:tc>
                                <w:tcPr>
                                  <w:tcW w:w="197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right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504" w:type="dxa"/>
                                  <w:tcBorders>
                                    <w:top w:val="single" w:sz="4" w:space="0" w:color="000001"/>
                                    <w:bottom w:val="double" w:sz="6" w:space="0" w:color="000001"/>
                                    <w:insideH w:val="double" w:sz="6" w:space="0" w:color="000001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right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100</w:t>
                                  </w:r>
                                </w:p>
                              </w:tc>
                              <w:tc>
                                <w:tcPr>
                                  <w:tcW w:w="159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right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825" w:type="dxa"/>
                                  <w:tcBorders>
                                    <w:top w:val="single" w:sz="4" w:space="0" w:color="000001"/>
                                    <w:bottom w:val="double" w:sz="6" w:space="0" w:color="000001"/>
                                    <w:insideH w:val="double" w:sz="6" w:space="0" w:color="000001"/>
                                  </w:tcBorders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jc w:val="right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5" w:hRule="atLeast"/>
                              </w:trPr>
                              <w:tc>
                                <w:tcPr>
                                  <w:tcW w:w="1843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60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399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60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116" w:type="dxa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  <w:gridSpan w:val="2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984" w:type="dxa"/>
                                  <w:gridSpan w:val="2"/>
                                  <w:tcBorders/>
                                  <w:shd w:fill="auto" w:val="clear"/>
                                  <w:vAlign w:val="bottom"/>
                                </w:tcPr>
                                <w:p>
                                  <w:pPr>
                                    <w:pStyle w:val="Standard"/>
                                    <w:snapToGrid w:val="false"/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Standard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color w:val="auto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1" stroked="t" style="position:absolute;margin-left:18.75pt;margin-top:20.2pt;width:431.25pt;height:105.55pt;mso-position-horizontal-relative:margin" wp14:anchorId="2F935F92">
                <w10:wrap type="none"/>
                <v:fill o:detectmouseclick="t" on="false"/>
                <v:stroke color="gray" weight="720" joinstyle="round" endcap="flat"/>
                <v:textbox>
                  <w:txbxContent>
                    <w:tbl>
                      <w:tblPr>
                        <w:tblW w:w="8364" w:type="dxa"/>
                        <w:jc w:val="left"/>
                        <w:tblInd w:w="6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0" w:noVBand="0" w:lastRow="0" w:firstColumn="0" w:lastColumn="0" w:noHBand="0" w:val="0000"/>
                      </w:tblPr>
                      <w:tblGrid>
                        <w:gridCol w:w="1843"/>
                        <w:gridCol w:w="160"/>
                        <w:gridCol w:w="1399"/>
                        <w:gridCol w:w="160"/>
                        <w:gridCol w:w="1116"/>
                        <w:gridCol w:w="197"/>
                        <w:gridCol w:w="1504"/>
                        <w:gridCol w:w="159"/>
                        <w:gridCol w:w="1825"/>
                      </w:tblGrid>
                      <w:tr>
                        <w:trPr>
                          <w:trHeight w:val="240" w:hRule="atLeast"/>
                        </w:trPr>
                        <w:tc>
                          <w:tcPr>
                            <w:tcW w:w="1843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Spoločník, akcionár</w:t>
                            </w:r>
                          </w:p>
                        </w:tc>
                        <w:tc>
                          <w:tcPr>
                            <w:tcW w:w="160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  <w:tc>
                          <w:tcPr>
                            <w:tcW w:w="2675" w:type="dxa"/>
                            <w:gridSpan w:val="3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Výška podielu na základnom</w:t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Podiel na hlasovacích</w:t>
                            </w:r>
                          </w:p>
                        </w:tc>
                        <w:tc>
                          <w:tcPr>
                            <w:tcW w:w="1984" w:type="dxa"/>
                            <w:gridSpan w:val="2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Iný podiel na ostatných</w:t>
                            </w:r>
                          </w:p>
                        </w:tc>
                      </w:tr>
                      <w:tr>
                        <w:trPr>
                          <w:trHeight w:val="192" w:hRule="atLeast"/>
                        </w:trPr>
                        <w:tc>
                          <w:tcPr>
                            <w:tcW w:w="1843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  <w:tc>
                          <w:tcPr>
                            <w:tcW w:w="160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  <w:tc>
                          <w:tcPr>
                            <w:tcW w:w="2675" w:type="dxa"/>
                            <w:gridSpan w:val="3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</w:rPr>
                              <w:t>imaní</w:t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</w:rPr>
                              <w:t>právach</w:t>
                            </w:r>
                          </w:p>
                        </w:tc>
                        <w:tc>
                          <w:tcPr>
                            <w:tcW w:w="1984" w:type="dxa"/>
                            <w:gridSpan w:val="2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</w:rPr>
                              <w:t>položkách VI ako na ZI</w:t>
                            </w:r>
                          </w:p>
                        </w:tc>
                      </w:tr>
                      <w:tr>
                        <w:trPr>
                          <w:trHeight w:val="240" w:hRule="atLeast"/>
                        </w:trPr>
                        <w:tc>
                          <w:tcPr>
                            <w:tcW w:w="1843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  <w:tc>
                          <w:tcPr>
                            <w:tcW w:w="160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  <w:tc>
                          <w:tcPr>
                            <w:tcW w:w="1399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absolútne v EUR</w:t>
                            </w:r>
                          </w:p>
                        </w:tc>
                        <w:tc>
                          <w:tcPr>
                            <w:tcW w:w="160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  <w:tc>
                          <w:tcPr>
                            <w:tcW w:w="1116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v %</w:t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v %</w:t>
                            </w:r>
                          </w:p>
                        </w:tc>
                        <w:tc>
                          <w:tcPr>
                            <w:tcW w:w="1984" w:type="dxa"/>
                            <w:gridSpan w:val="2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v %</w:t>
                            </w:r>
                          </w:p>
                        </w:tc>
                      </w:tr>
                      <w:tr>
                        <w:trPr>
                          <w:trHeight w:val="270" w:hRule="atLeast"/>
                        </w:trPr>
                        <w:tc>
                          <w:tcPr>
                            <w:tcW w:w="1843" w:type="dxa"/>
                            <w:tcBorders>
                              <w:bottom w:val="single" w:sz="4" w:space="0" w:color="000001"/>
                              <w:insideH w:val="single" w:sz="4" w:space="0" w:color="000001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160" w:type="dxa"/>
                            <w:tcBorders>
                              <w:bottom w:val="single" w:sz="4" w:space="0" w:color="000001"/>
                              <w:insideH w:val="single" w:sz="4" w:space="0" w:color="000001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 </w:t>
                            </w:r>
                          </w:p>
                        </w:tc>
                        <w:tc>
                          <w:tcPr>
                            <w:tcW w:w="1399" w:type="dxa"/>
                            <w:tcBorders>
                              <w:bottom w:val="single" w:sz="4" w:space="0" w:color="000001"/>
                              <w:insideH w:val="single" w:sz="4" w:space="0" w:color="000001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160" w:type="dxa"/>
                            <w:tcBorders>
                              <w:bottom w:val="single" w:sz="4" w:space="0" w:color="000001"/>
                              <w:insideH w:val="single" w:sz="4" w:space="0" w:color="000001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 </w:t>
                            </w:r>
                          </w:p>
                        </w:tc>
                        <w:tc>
                          <w:tcPr>
                            <w:tcW w:w="1116" w:type="dxa"/>
                            <w:tcBorders>
                              <w:bottom w:val="single" w:sz="4" w:space="0" w:color="000001"/>
                              <w:insideH w:val="single" w:sz="4" w:space="0" w:color="000001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>
                              <w:bottom w:val="single" w:sz="4" w:space="0" w:color="000001"/>
                              <w:insideH w:val="single" w:sz="4" w:space="0" w:color="000001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1984" w:type="dxa"/>
                            <w:gridSpan w:val="2"/>
                            <w:tcBorders>
                              <w:bottom w:val="single" w:sz="4" w:space="0" w:color="000001"/>
                              <w:insideH w:val="single" w:sz="4" w:space="0" w:color="000001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e</w:t>
                            </w:r>
                          </w:p>
                        </w:tc>
                      </w:tr>
                      <w:tr>
                        <w:trPr>
                          <w:trHeight w:val="483" w:hRule="atLeast"/>
                        </w:trPr>
                        <w:tc>
                          <w:tcPr>
                            <w:tcW w:w="1843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Graspointner Holding GmbH.</w:t>
                            </w:r>
                          </w:p>
                        </w:tc>
                        <w:tc>
                          <w:tcPr>
                            <w:tcW w:w="160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  <w:tc>
                          <w:tcPr>
                            <w:tcW w:w="1399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right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657 240</w:t>
                            </w:r>
                          </w:p>
                        </w:tc>
                        <w:tc>
                          <w:tcPr>
                            <w:tcW w:w="160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right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  <w:tc>
                          <w:tcPr>
                            <w:tcW w:w="1116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right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100</w:t>
                            </w:r>
                          </w:p>
                        </w:tc>
                        <w:tc>
                          <w:tcPr>
                            <w:tcW w:w="197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right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1504" w:type="dxa"/>
                            <w:tcBorders>
                              <w:bottom w:val="single" w:sz="4" w:space="0" w:color="000001"/>
                              <w:insideH w:val="single" w:sz="4" w:space="0" w:color="000001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right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  <w:t>100</w:t>
                            </w:r>
                          </w:p>
                        </w:tc>
                        <w:tc>
                          <w:tcPr>
                            <w:tcW w:w="159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right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1825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right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</w:rPr>
                              <w:t>0</w:t>
                            </w:r>
                          </w:p>
                        </w:tc>
                      </w:tr>
                      <w:tr>
                        <w:trPr>
                          <w:trHeight w:val="255" w:hRule="atLeast"/>
                        </w:trPr>
                        <w:tc>
                          <w:tcPr>
                            <w:tcW w:w="1843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  <w:t>Spolu</w:t>
                            </w:r>
                          </w:p>
                        </w:tc>
                        <w:tc>
                          <w:tcPr>
                            <w:tcW w:w="160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  <w:tc>
                          <w:tcPr>
                            <w:tcW w:w="1399" w:type="dxa"/>
                            <w:tcBorders>
                              <w:top w:val="single" w:sz="4" w:space="0" w:color="000001"/>
                              <w:bottom w:val="double" w:sz="6" w:space="0" w:color="000001"/>
                              <w:insideH w:val="double" w:sz="6" w:space="0" w:color="000001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right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  <w:t>657 240</w:t>
                            </w:r>
                          </w:p>
                        </w:tc>
                        <w:tc>
                          <w:tcPr>
                            <w:tcW w:w="160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right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  <w:tc>
                          <w:tcPr>
                            <w:tcW w:w="1116" w:type="dxa"/>
                            <w:tcBorders>
                              <w:top w:val="single" w:sz="4" w:space="0" w:color="000001"/>
                              <w:bottom w:val="double" w:sz="6" w:space="0" w:color="000001"/>
                              <w:insideH w:val="double" w:sz="6" w:space="0" w:color="000001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right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  <w:t>100</w:t>
                            </w:r>
                          </w:p>
                        </w:tc>
                        <w:tc>
                          <w:tcPr>
                            <w:tcW w:w="197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right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1504" w:type="dxa"/>
                            <w:tcBorders>
                              <w:top w:val="single" w:sz="4" w:space="0" w:color="000001"/>
                              <w:bottom w:val="double" w:sz="6" w:space="0" w:color="000001"/>
                              <w:insideH w:val="double" w:sz="6" w:space="0" w:color="000001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right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16"/>
                                <w:szCs w:val="16"/>
                              </w:rPr>
                              <w:t>100</w:t>
                            </w:r>
                          </w:p>
                        </w:tc>
                        <w:tc>
                          <w:tcPr>
                            <w:tcW w:w="159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right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16"/>
                                <w:szCs w:val="16"/>
                              </w:rPr>
                            </w:r>
                          </w:p>
                        </w:tc>
                        <w:tc>
                          <w:tcPr>
                            <w:tcW w:w="1825" w:type="dxa"/>
                            <w:tcBorders>
                              <w:top w:val="single" w:sz="4" w:space="0" w:color="000001"/>
                              <w:bottom w:val="double" w:sz="6" w:space="0" w:color="000001"/>
                              <w:insideH w:val="double" w:sz="6" w:space="0" w:color="000001"/>
                            </w:tcBorders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jc w:val="right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16"/>
                                <w:szCs w:val="16"/>
                              </w:rPr>
                              <w:t>0</w:t>
                            </w:r>
                          </w:p>
                        </w:tc>
                      </w:tr>
                      <w:tr>
                        <w:trPr>
                          <w:trHeight w:val="255" w:hRule="atLeast"/>
                        </w:trPr>
                        <w:tc>
                          <w:tcPr>
                            <w:tcW w:w="1843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  <w:tc>
                          <w:tcPr>
                            <w:tcW w:w="160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  <w:tc>
                          <w:tcPr>
                            <w:tcW w:w="1399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  <w:tc>
                          <w:tcPr>
                            <w:tcW w:w="160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  <w:tc>
                          <w:tcPr>
                            <w:tcW w:w="1116" w:type="dxa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  <w:tc>
                          <w:tcPr>
                            <w:tcW w:w="1984" w:type="dxa"/>
                            <w:gridSpan w:val="2"/>
                            <w:tcBorders/>
                            <w:shd w:fill="auto" w:val="clear"/>
                            <w:vAlign w:val="bottom"/>
                          </w:tcPr>
                          <w:p>
                            <w:pPr>
                              <w:pStyle w:val="Standard"/>
                              <w:snapToGrid w:val="false"/>
                              <w:rPr>
                                <w:rFonts w:ascii="Arial" w:hAnsi="Arial" w:cs="Arial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Standard"/>
                        <w:rPr>
                          <w:color w:val="auto"/>
                        </w:rPr>
                      </w:pPr>
                      <w:r>
                        <w:rPr>
                          <w:color w:val="auto"/>
                        </w:rPr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cs="Arial" w:ascii="Arial" w:hAnsi="Arial"/>
          <w:color w:val="000000" w:themeColor="text1"/>
          <w:szCs w:val="18"/>
        </w:rPr>
        <w:t>Štruktúra spoločníkov k 31. decembru 2024 je takáto: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bookmarkStart w:id="5" w:name="OLE_LINK13"/>
      <w:bookmarkStart w:id="6" w:name="OLE_LINK14"/>
      <w:bookmarkStart w:id="7" w:name="OLE_LINK13"/>
      <w:bookmarkStart w:id="8" w:name="OLE_LINK14"/>
      <w:bookmarkEnd w:id="7"/>
      <w:bookmarkEnd w:id="8"/>
      <w:r>
        <w:rPr>
          <w:rFonts w:cs="Arial" w:ascii="Arial" w:hAnsi="Arial"/>
          <w:color w:val="000000" w:themeColor="text1"/>
          <w:szCs w:val="18"/>
        </w:rPr>
      </w:r>
    </w:p>
    <w:p>
      <w:pPr>
        <w:pStyle w:val="Standard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</w:r>
    </w:p>
    <w:p>
      <w:pPr>
        <w:pStyle w:val="Nadpis1"/>
        <w:numPr>
          <w:ilvl w:val="0"/>
          <w:numId w:val="2"/>
        </w:numPr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ab/>
        <w:t xml:space="preserve">Informácie o účtovných zásadách a účtovných metódach  </w:t>
      </w:r>
    </w:p>
    <w:p>
      <w:pPr>
        <w:pStyle w:val="Textbody"/>
        <w:rPr>
          <w:rFonts w:ascii="Arial" w:hAnsi="Arial" w:cs="Arial"/>
          <w:color w:val="000000" w:themeColor="text1"/>
          <w:szCs w:val="18"/>
          <w:shd w:fill="FFFFFF" w:val="clear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eastAsia="Arial" w:cs="Arial" w:ascii="Arial" w:hAnsi="Arial"/>
          <w:b w:val="false"/>
          <w:color w:val="000000" w:themeColor="text1"/>
          <w:szCs w:val="18"/>
        </w:rPr>
        <w:t xml:space="preserve">        </w:t>
      </w:r>
      <w:r>
        <w:rPr>
          <w:rFonts w:cs="Arial" w:ascii="Arial" w:hAnsi="Arial"/>
          <w:color w:val="000000" w:themeColor="text1"/>
          <w:szCs w:val="18"/>
        </w:rPr>
        <w:t>Východiská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pre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zostavenie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účtovnej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závierky</w:t>
      </w:r>
    </w:p>
    <w:p>
      <w:pPr>
        <w:pStyle w:val="Textbody"/>
        <w:ind w:left="45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Účtovná závierka bola zostavená za predpokladu nepretržitého trvania Spoločnosti BG-Graspointner s.r.o.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Posúdili sme vplyv súčasnej geopolitickej situácie na účtovnú závierku za rok 2024. Toto posúdenie zahŕňalo náš najlepší odhad zhodnotenia vplyvu súčasnej geopolitickej situácie na našu schopnosť inkasovať pohľadávky a splácať záväzky, dosahovať budúce výnosy, ako aj na posúdenie vplyvu potenciálneho poklesu cien, prístupu k financovaniu a jeho obmedzení, prehodnotenie našich úsudkov použitých pri stanovení odhadov. Dospeli sme k názoru, že súčasná geopolitická situácia nemá zásadný vplyv na schopnosť spoločnosti nepretržite pokračovať v činnosti nasledujúcich 12 mesiacov.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Účtovné metódy a všeobecné účtovné zásady boli účtovnou jednotkou konzistentne aplikované.</w:t>
      </w:r>
    </w:p>
    <w:p>
      <w:pPr>
        <w:pStyle w:val="Textbody"/>
        <w:ind w:left="45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eastAsia="Arial" w:cs="Arial"/>
          <w:color w:val="000000" w:themeColor="text1"/>
          <w:szCs w:val="18"/>
        </w:rPr>
      </w:pPr>
      <w:r>
        <w:rPr>
          <w:rFonts w:eastAsia="Arial" w:cs="Arial" w:ascii="Arial" w:hAnsi="Arial"/>
          <w:color w:val="000000" w:themeColor="text1"/>
          <w:szCs w:val="18"/>
        </w:rPr>
        <w:t xml:space="preserve">       </w:t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Dlhodobý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nehmotný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hmotný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majetok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ind w:left="36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Dlhodobý majetok nakupovaný sa oceňuje obstarávacou cenou, ktorá zahŕňa cenu obstarania a náklady súvisiace s obstaraním (preprava, montáž, poistné a pod.)</w:t>
      </w:r>
    </w:p>
    <w:p>
      <w:pPr>
        <w:pStyle w:val="Textbody"/>
        <w:ind w:left="36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ind w:left="36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Odpisy dlhodobého hmotného majetku sú stanovené vychádzajúc z predpokladanej doby jeho používania a predpokladaného priebehu jeho opotrebenia.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ind w:left="36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Dlhodobý hmotný majetok obstaraný formou finančného prenájmu je ocenený obstarávacou cenou zistenou u prenajímateľa.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ind w:left="36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  <w:highlight w:val="cyan"/>
        </w:rPr>
        <w:t>Ročný odpis je určený s presnosťou na celé kalendárne mesiace počnúc mesiacom, v ktorom boli splnené podmienky na začatie odpisovania. Odpisovať sa začína prvým dňom  po uvedení dlhodobého majetku do používania</w:t>
      </w:r>
      <w:r>
        <w:rPr>
          <w:rFonts w:cs="Arial" w:ascii="Arial" w:hAnsi="Arial"/>
          <w:color w:val="000000" w:themeColor="text1"/>
          <w:szCs w:val="18"/>
          <w:highlight w:val="yellow"/>
        </w:rPr>
        <w:t>.</w:t>
      </w:r>
    </w:p>
    <w:p>
      <w:pPr>
        <w:pStyle w:val="Textbody"/>
        <w:ind w:left="36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ind w:left="36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Drobný dlhodobý nehmotný majetok, ktorého obstarávacia cena (resp. vlastné náklady) je 2 400 EUR a nižšia a drobný dlhodobý nehmotný majetok, ktorého obstarávacia cena (resp. vlastné náklady) je 1 700 EUR a nižšia, sa odpisuje v intervale 2 rokov. Majetok sa odpisuje rovnomerne a účtovné odpisy sa rovnajú daňovým odpisom.</w:t>
      </w:r>
    </w:p>
    <w:p>
      <w:pPr>
        <w:pStyle w:val="Textbody"/>
        <w:spacing w:before="240" w:after="200"/>
        <w:ind w:left="36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Predpokladaná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doba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používania,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metóda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odpisovania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 odpisová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sadzba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uvedené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 nasledujúcej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tabuľke:</w:t>
      </w:r>
    </w:p>
    <w:tbl>
      <w:tblPr>
        <w:tblW w:w="8788" w:type="dxa"/>
        <w:jc w:val="left"/>
        <w:tblInd w:w="446" w:type="dxa"/>
        <w:tblBorders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976"/>
        <w:gridCol w:w="425"/>
        <w:gridCol w:w="1"/>
        <w:gridCol w:w="1701"/>
        <w:gridCol w:w="1"/>
        <w:gridCol w:w="140"/>
        <w:gridCol w:w="1"/>
        <w:gridCol w:w="1701"/>
        <w:gridCol w:w="141"/>
        <w:gridCol w:w="1"/>
        <w:gridCol w:w="1699"/>
      </w:tblGrid>
      <w:tr>
        <w:trPr>
          <w:trHeight w:val="250" w:hRule="atLeast"/>
        </w:trPr>
        <w:tc>
          <w:tcPr>
            <w:tcW w:w="3401" w:type="dxa"/>
            <w:gridSpan w:val="2"/>
            <w:tcBorders/>
            <w:shd w:fill="auto" w:val="clear"/>
          </w:tcPr>
          <w:p>
            <w:pPr>
              <w:pStyle w:val="Tabulka"/>
              <w:snapToGrid w:val="false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</w:r>
          </w:p>
        </w:tc>
        <w:tc>
          <w:tcPr>
            <w:tcW w:w="1702" w:type="dxa"/>
            <w:gridSpan w:val="2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Predpokladaná</w:t>
            </w:r>
          </w:p>
        </w:tc>
        <w:tc>
          <w:tcPr>
            <w:tcW w:w="141" w:type="dxa"/>
            <w:gridSpan w:val="2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</w:r>
          </w:p>
        </w:tc>
        <w:tc>
          <w:tcPr>
            <w:tcW w:w="1702" w:type="dxa"/>
            <w:gridSpan w:val="2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Metóda</w:t>
            </w:r>
          </w:p>
        </w:tc>
        <w:tc>
          <w:tcPr>
            <w:tcW w:w="141" w:type="dxa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</w:r>
          </w:p>
        </w:tc>
        <w:tc>
          <w:tcPr>
            <w:tcW w:w="1700" w:type="dxa"/>
            <w:gridSpan w:val="2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Ročná</w:t>
            </w:r>
            <w:r>
              <w:rPr>
                <w:rFonts w:eastAsia="Arial" w:cs="Arial" w:ascii="Arial" w:hAnsi="Arial"/>
                <w:color w:val="000000" w:themeColor="text1"/>
                <w:szCs w:val="18"/>
              </w:rPr>
              <w:t xml:space="preserve"> </w:t>
            </w:r>
            <w:r>
              <w:rPr>
                <w:rFonts w:cs="Arial" w:ascii="Arial" w:hAnsi="Arial"/>
                <w:color w:val="000000" w:themeColor="text1"/>
                <w:szCs w:val="18"/>
              </w:rPr>
              <w:t>odpisová</w:t>
            </w:r>
          </w:p>
        </w:tc>
      </w:tr>
      <w:tr>
        <w:trPr>
          <w:trHeight w:val="250" w:hRule="atLeast"/>
        </w:trPr>
        <w:tc>
          <w:tcPr>
            <w:tcW w:w="2976" w:type="dxa"/>
            <w:tcBorders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Tabulka"/>
              <w:snapToGrid w:val="false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</w:r>
          </w:p>
        </w:tc>
        <w:tc>
          <w:tcPr>
            <w:tcW w:w="426" w:type="dxa"/>
            <w:gridSpan w:val="2"/>
            <w:tcBorders>
              <w:bottom w:val="single" w:sz="4" w:space="0" w:color="000001"/>
              <w:insideH w:val="single" w:sz="4" w:space="0" w:color="000001"/>
            </w:tcBorders>
            <w:shd w:fill="auto" w:val="clear"/>
          </w:tcPr>
          <w:p>
            <w:pPr>
              <w:pStyle w:val="Tabulka"/>
              <w:snapToGrid w:val="false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</w:r>
          </w:p>
        </w:tc>
        <w:tc>
          <w:tcPr>
            <w:tcW w:w="1702" w:type="dxa"/>
            <w:gridSpan w:val="2"/>
            <w:tcBorders>
              <w:bottom w:val="single" w:sz="4" w:space="0" w:color="000001"/>
              <w:insideH w:val="single" w:sz="4" w:space="0" w:color="000001"/>
            </w:tcBorders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doba</w:t>
            </w:r>
            <w:r>
              <w:rPr>
                <w:rFonts w:eastAsia="Arial" w:cs="Arial" w:ascii="Arial" w:hAnsi="Arial"/>
                <w:color w:val="000000" w:themeColor="text1"/>
                <w:szCs w:val="18"/>
              </w:rPr>
              <w:t xml:space="preserve"> </w:t>
            </w:r>
            <w:r>
              <w:rPr>
                <w:rFonts w:cs="Arial" w:ascii="Arial" w:hAnsi="Arial"/>
                <w:color w:val="000000" w:themeColor="text1"/>
                <w:szCs w:val="18"/>
              </w:rPr>
              <w:t>používania</w:t>
            </w:r>
          </w:p>
        </w:tc>
        <w:tc>
          <w:tcPr>
            <w:tcW w:w="141" w:type="dxa"/>
            <w:gridSpan w:val="2"/>
            <w:tcBorders>
              <w:bottom w:val="single" w:sz="4" w:space="0" w:color="000001"/>
              <w:insideH w:val="single" w:sz="4" w:space="0" w:color="000001"/>
            </w:tcBorders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</w:r>
          </w:p>
        </w:tc>
        <w:tc>
          <w:tcPr>
            <w:tcW w:w="1701" w:type="dxa"/>
            <w:tcBorders>
              <w:bottom w:val="single" w:sz="4" w:space="0" w:color="000001"/>
              <w:insideH w:val="single" w:sz="4" w:space="0" w:color="000001"/>
            </w:tcBorders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Odpisovania</w:t>
            </w:r>
          </w:p>
        </w:tc>
        <w:tc>
          <w:tcPr>
            <w:tcW w:w="142" w:type="dxa"/>
            <w:gridSpan w:val="2"/>
            <w:tcBorders>
              <w:bottom w:val="single" w:sz="4" w:space="0" w:color="000001"/>
              <w:insideH w:val="single" w:sz="4" w:space="0" w:color="000001"/>
            </w:tcBorders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</w:r>
          </w:p>
        </w:tc>
        <w:tc>
          <w:tcPr>
            <w:tcW w:w="1699" w:type="dxa"/>
            <w:tcBorders>
              <w:bottom w:val="single" w:sz="4" w:space="0" w:color="000001"/>
              <w:insideH w:val="single" w:sz="4" w:space="0" w:color="000001"/>
            </w:tcBorders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Sadzba</w:t>
            </w:r>
            <w:r>
              <w:rPr>
                <w:rFonts w:eastAsia="Arial" w:cs="Arial" w:ascii="Arial" w:hAnsi="Arial"/>
                <w:color w:val="000000" w:themeColor="text1"/>
                <w:szCs w:val="18"/>
              </w:rPr>
              <w:t xml:space="preserve"> </w:t>
            </w:r>
            <w:r>
              <w:rPr>
                <w:rFonts w:cs="Arial" w:ascii="Arial" w:hAnsi="Arial"/>
                <w:color w:val="000000" w:themeColor="text1"/>
                <w:szCs w:val="18"/>
              </w:rPr>
              <w:t>%</w:t>
            </w:r>
          </w:p>
        </w:tc>
      </w:tr>
      <w:tr>
        <w:trPr>
          <w:trHeight w:val="250" w:hRule="atLeast"/>
        </w:trPr>
        <w:tc>
          <w:tcPr>
            <w:tcW w:w="3401" w:type="dxa"/>
            <w:gridSpan w:val="2"/>
            <w:tcBorders>
              <w:top w:val="single" w:sz="4" w:space="0" w:color="000001"/>
            </w:tcBorders>
            <w:shd w:fill="auto" w:val="clear"/>
          </w:tcPr>
          <w:p>
            <w:pPr>
              <w:pStyle w:val="Tabulka"/>
              <w:snapToGrid w:val="false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Stroje,</w:t>
            </w:r>
            <w:r>
              <w:rPr>
                <w:rFonts w:eastAsia="Arial" w:cs="Arial" w:ascii="Arial" w:hAnsi="Arial"/>
                <w:color w:val="000000" w:themeColor="text1"/>
                <w:szCs w:val="18"/>
              </w:rPr>
              <w:t xml:space="preserve"> </w:t>
            </w:r>
            <w:r>
              <w:rPr>
                <w:rFonts w:cs="Arial" w:ascii="Arial" w:hAnsi="Arial"/>
                <w:color w:val="000000" w:themeColor="text1"/>
                <w:szCs w:val="18"/>
              </w:rPr>
              <w:t>prístroje</w:t>
            </w:r>
            <w:r>
              <w:rPr>
                <w:rFonts w:eastAsia="Arial" w:cs="Arial" w:ascii="Arial" w:hAnsi="Arial"/>
                <w:color w:val="000000" w:themeColor="text1"/>
                <w:szCs w:val="18"/>
              </w:rPr>
              <w:t xml:space="preserve"> </w:t>
            </w:r>
            <w:r>
              <w:rPr>
                <w:rFonts w:cs="Arial" w:ascii="Arial" w:hAnsi="Arial"/>
                <w:color w:val="000000" w:themeColor="text1"/>
                <w:szCs w:val="18"/>
              </w:rPr>
              <w:t>a</w:t>
            </w:r>
            <w:r>
              <w:rPr>
                <w:rFonts w:eastAsia="Arial" w:cs="Arial" w:ascii="Arial" w:hAnsi="Arial"/>
                <w:color w:val="000000" w:themeColor="text1"/>
                <w:szCs w:val="18"/>
              </w:rPr>
              <w:t xml:space="preserve"> </w:t>
            </w:r>
            <w:r>
              <w:rPr>
                <w:rFonts w:cs="Arial" w:ascii="Arial" w:hAnsi="Arial"/>
                <w:color w:val="000000" w:themeColor="text1"/>
                <w:szCs w:val="18"/>
              </w:rPr>
              <w:t>zariadenia</w:t>
            </w:r>
          </w:p>
        </w:tc>
        <w:tc>
          <w:tcPr>
            <w:tcW w:w="1702" w:type="dxa"/>
            <w:gridSpan w:val="2"/>
            <w:tcBorders>
              <w:top w:val="single" w:sz="4" w:space="0" w:color="000001"/>
            </w:tcBorders>
            <w:shd w:color="auto" w:fill="auto" w:val="clear"/>
          </w:tcPr>
          <w:p>
            <w:pPr>
              <w:pStyle w:val="Tabulka"/>
              <w:snapToGrid w:val="false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Style w:val="Predvolenpsmoodseku1"/>
                <w:rFonts w:eastAsia="Arial" w:cs="Arial" w:ascii="Arial" w:hAnsi="Arial"/>
                <w:color w:val="000000" w:themeColor="text1"/>
                <w:szCs w:val="18"/>
              </w:rPr>
              <w:t xml:space="preserve">              </w:t>
            </w:r>
            <w:r>
              <w:rPr>
                <w:rStyle w:val="Predvolenpsmoodseku1"/>
                <w:rFonts w:cs="Arial" w:ascii="Arial" w:hAnsi="Arial"/>
                <w:color w:val="000000" w:themeColor="text1"/>
                <w:szCs w:val="18"/>
              </w:rPr>
              <w:t>12</w:t>
            </w:r>
          </w:p>
        </w:tc>
        <w:tc>
          <w:tcPr>
            <w:tcW w:w="141" w:type="dxa"/>
            <w:gridSpan w:val="2"/>
            <w:tcBorders>
              <w:top w:val="single" w:sz="4" w:space="0" w:color="000001"/>
            </w:tcBorders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1"/>
            </w:tcBorders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Lineárna</w:t>
            </w:r>
          </w:p>
        </w:tc>
        <w:tc>
          <w:tcPr>
            <w:tcW w:w="141" w:type="dxa"/>
            <w:tcBorders>
              <w:top w:val="single" w:sz="4" w:space="0" w:color="000001"/>
            </w:tcBorders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1"/>
            </w:tcBorders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8,33</w:t>
            </w:r>
          </w:p>
        </w:tc>
      </w:tr>
      <w:tr>
        <w:trPr>
          <w:trHeight w:val="250" w:hRule="atLeast"/>
        </w:trPr>
        <w:tc>
          <w:tcPr>
            <w:tcW w:w="3401" w:type="dxa"/>
            <w:gridSpan w:val="2"/>
            <w:tcBorders/>
            <w:shd w:fill="auto" w:val="clear"/>
          </w:tcPr>
          <w:p>
            <w:pPr>
              <w:pStyle w:val="Tabulka"/>
              <w:snapToGrid w:val="false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Ostatný</w:t>
            </w:r>
            <w:r>
              <w:rPr>
                <w:rFonts w:eastAsia="Arial" w:cs="Arial" w:ascii="Arial" w:hAnsi="Arial"/>
                <w:color w:val="000000" w:themeColor="text1"/>
                <w:szCs w:val="18"/>
              </w:rPr>
              <w:t xml:space="preserve"> </w:t>
            </w:r>
            <w:r>
              <w:rPr>
                <w:rFonts w:cs="Arial" w:ascii="Arial" w:hAnsi="Arial"/>
                <w:color w:val="000000" w:themeColor="text1"/>
                <w:szCs w:val="18"/>
              </w:rPr>
              <w:t>dlhodobý</w:t>
            </w:r>
            <w:r>
              <w:rPr>
                <w:rFonts w:eastAsia="Arial" w:cs="Arial" w:ascii="Arial" w:hAnsi="Arial"/>
                <w:color w:val="000000" w:themeColor="text1"/>
                <w:szCs w:val="18"/>
              </w:rPr>
              <w:t xml:space="preserve"> </w:t>
            </w:r>
            <w:r>
              <w:rPr>
                <w:rFonts w:cs="Arial" w:ascii="Arial" w:hAnsi="Arial"/>
                <w:color w:val="000000" w:themeColor="text1"/>
                <w:szCs w:val="18"/>
              </w:rPr>
              <w:t>hmotný</w:t>
            </w:r>
            <w:r>
              <w:rPr>
                <w:rFonts w:eastAsia="Arial" w:cs="Arial" w:ascii="Arial" w:hAnsi="Arial"/>
                <w:color w:val="000000" w:themeColor="text1"/>
                <w:szCs w:val="18"/>
              </w:rPr>
              <w:t xml:space="preserve"> </w:t>
            </w:r>
            <w:r>
              <w:rPr>
                <w:rFonts w:cs="Arial" w:ascii="Arial" w:hAnsi="Arial"/>
                <w:color w:val="000000" w:themeColor="text1"/>
                <w:szCs w:val="18"/>
              </w:rPr>
              <w:t>majetok</w:t>
            </w:r>
          </w:p>
        </w:tc>
        <w:tc>
          <w:tcPr>
            <w:tcW w:w="1702" w:type="dxa"/>
            <w:gridSpan w:val="2"/>
            <w:tcBorders/>
            <w:shd w:color="auto" w:fill="auto" w:val="clear"/>
          </w:tcPr>
          <w:p>
            <w:pPr>
              <w:pStyle w:val="Tabulka"/>
              <w:snapToGrid w:val="false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Style w:val="Predvolenpsmoodseku1"/>
                <w:rFonts w:eastAsia="Arial" w:cs="Arial" w:ascii="Arial" w:hAnsi="Arial"/>
                <w:color w:val="000000" w:themeColor="text1"/>
                <w:szCs w:val="18"/>
              </w:rPr>
              <w:t xml:space="preserve">                </w:t>
            </w:r>
            <w:r>
              <w:rPr>
                <w:rStyle w:val="Predvolenpsmoodseku1"/>
                <w:rFonts w:cs="Arial" w:ascii="Arial" w:hAnsi="Arial"/>
                <w:color w:val="000000" w:themeColor="text1"/>
                <w:szCs w:val="18"/>
              </w:rPr>
              <w:t>4</w:t>
            </w:r>
          </w:p>
        </w:tc>
        <w:tc>
          <w:tcPr>
            <w:tcW w:w="141" w:type="dxa"/>
            <w:gridSpan w:val="2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</w:r>
          </w:p>
        </w:tc>
        <w:tc>
          <w:tcPr>
            <w:tcW w:w="1702" w:type="dxa"/>
            <w:gridSpan w:val="2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Lineárna</w:t>
            </w:r>
          </w:p>
        </w:tc>
        <w:tc>
          <w:tcPr>
            <w:tcW w:w="141" w:type="dxa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</w:r>
          </w:p>
        </w:tc>
        <w:tc>
          <w:tcPr>
            <w:tcW w:w="1700" w:type="dxa"/>
            <w:gridSpan w:val="2"/>
            <w:tcBorders/>
            <w:shd w:color="auto" w:fill="auto" w:val="clear"/>
          </w:tcPr>
          <w:p>
            <w:pPr>
              <w:pStyle w:val="Tabulka"/>
              <w:snapToGrid w:val="false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Style w:val="Predvolenpsmoodseku1"/>
                <w:rFonts w:eastAsia="Arial" w:cs="Arial" w:ascii="Arial" w:hAnsi="Arial"/>
                <w:color w:val="000000" w:themeColor="text1"/>
                <w:szCs w:val="18"/>
              </w:rPr>
              <w:t xml:space="preserve">               </w:t>
            </w:r>
            <w:r>
              <w:rPr>
                <w:rStyle w:val="Predvolenpsmoodseku1"/>
                <w:rFonts w:eastAsia="Arial" w:cs="Arial" w:ascii="Arial" w:hAnsi="Arial"/>
                <w:color w:val="000000" w:themeColor="text1"/>
                <w:szCs w:val="18"/>
              </w:rPr>
              <w:t>2</w:t>
            </w:r>
            <w:r>
              <w:rPr>
                <w:rStyle w:val="Predvolenpsmoodseku1"/>
                <w:rFonts w:cs="Arial" w:ascii="Arial" w:hAnsi="Arial"/>
                <w:color w:val="000000" w:themeColor="text1"/>
                <w:szCs w:val="18"/>
              </w:rPr>
              <w:t>5</w:t>
            </w:r>
          </w:p>
        </w:tc>
      </w:tr>
      <w:tr>
        <w:trPr>
          <w:trHeight w:val="250" w:hRule="atLeast"/>
        </w:trPr>
        <w:tc>
          <w:tcPr>
            <w:tcW w:w="3401" w:type="dxa"/>
            <w:gridSpan w:val="2"/>
            <w:tcBorders/>
            <w:shd w:fill="auto" w:val="clear"/>
          </w:tcPr>
          <w:p>
            <w:pPr>
              <w:pStyle w:val="Tabulka"/>
              <w:snapToGrid w:val="false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Dopravné</w:t>
            </w:r>
            <w:r>
              <w:rPr>
                <w:rFonts w:eastAsia="Arial" w:cs="Arial" w:ascii="Arial" w:hAnsi="Arial"/>
                <w:color w:val="000000" w:themeColor="text1"/>
                <w:szCs w:val="18"/>
              </w:rPr>
              <w:t xml:space="preserve"> </w:t>
            </w:r>
            <w:r>
              <w:rPr>
                <w:rFonts w:cs="Arial" w:ascii="Arial" w:hAnsi="Arial"/>
                <w:color w:val="000000" w:themeColor="text1"/>
                <w:szCs w:val="18"/>
              </w:rPr>
              <w:t>prostriedky</w:t>
            </w:r>
          </w:p>
        </w:tc>
        <w:tc>
          <w:tcPr>
            <w:tcW w:w="1702" w:type="dxa"/>
            <w:gridSpan w:val="2"/>
            <w:tcBorders/>
            <w:shd w:color="auto" w:fill="auto" w:val="clear"/>
          </w:tcPr>
          <w:p>
            <w:pPr>
              <w:pStyle w:val="Tabulka"/>
              <w:snapToGrid w:val="false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Style w:val="Predvolenpsmoodseku1"/>
                <w:rFonts w:eastAsia="Arial" w:cs="Arial" w:ascii="Arial" w:hAnsi="Arial"/>
                <w:color w:val="000000" w:themeColor="text1"/>
                <w:szCs w:val="18"/>
              </w:rPr>
              <w:t xml:space="preserve">                </w:t>
            </w:r>
            <w:r>
              <w:rPr>
                <w:rStyle w:val="Predvolenpsmoodseku1"/>
                <w:rFonts w:cs="Arial" w:ascii="Arial" w:hAnsi="Arial"/>
                <w:color w:val="000000" w:themeColor="text1"/>
                <w:szCs w:val="18"/>
              </w:rPr>
              <w:t>4</w:t>
            </w:r>
          </w:p>
        </w:tc>
        <w:tc>
          <w:tcPr>
            <w:tcW w:w="141" w:type="dxa"/>
            <w:gridSpan w:val="2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</w:r>
          </w:p>
        </w:tc>
        <w:tc>
          <w:tcPr>
            <w:tcW w:w="1702" w:type="dxa"/>
            <w:gridSpan w:val="2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Lineárna</w:t>
            </w:r>
          </w:p>
        </w:tc>
        <w:tc>
          <w:tcPr>
            <w:tcW w:w="141" w:type="dxa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</w:r>
          </w:p>
        </w:tc>
        <w:tc>
          <w:tcPr>
            <w:tcW w:w="1700" w:type="dxa"/>
            <w:gridSpan w:val="2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eastAsia="Arial" w:cs="Arial" w:ascii="Arial" w:hAnsi="Arial"/>
                <w:color w:val="000000" w:themeColor="text1"/>
                <w:szCs w:val="18"/>
              </w:rPr>
              <w:t xml:space="preserve"> </w:t>
            </w:r>
            <w:r>
              <w:rPr>
                <w:rFonts w:cs="Arial" w:ascii="Arial" w:hAnsi="Arial"/>
                <w:color w:val="000000" w:themeColor="text1"/>
                <w:szCs w:val="18"/>
              </w:rPr>
              <w:t>25</w:t>
            </w:r>
          </w:p>
        </w:tc>
      </w:tr>
      <w:tr>
        <w:trPr>
          <w:trHeight w:val="250" w:hRule="atLeast"/>
        </w:trPr>
        <w:tc>
          <w:tcPr>
            <w:tcW w:w="3401" w:type="dxa"/>
            <w:gridSpan w:val="2"/>
            <w:tcBorders/>
            <w:shd w:fill="auto" w:val="clear"/>
          </w:tcPr>
          <w:p>
            <w:pPr>
              <w:pStyle w:val="Tabulka"/>
              <w:snapToGrid w:val="false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Drobný</w:t>
            </w:r>
            <w:r>
              <w:rPr>
                <w:rFonts w:eastAsia="Arial" w:cs="Arial" w:ascii="Arial" w:hAnsi="Arial"/>
                <w:color w:val="000000" w:themeColor="text1"/>
                <w:szCs w:val="18"/>
              </w:rPr>
              <w:t xml:space="preserve"> </w:t>
            </w:r>
            <w:r>
              <w:rPr>
                <w:rFonts w:cs="Arial" w:ascii="Arial" w:hAnsi="Arial"/>
                <w:color w:val="000000" w:themeColor="text1"/>
                <w:szCs w:val="18"/>
              </w:rPr>
              <w:t>dlhodobý</w:t>
            </w:r>
            <w:r>
              <w:rPr>
                <w:rFonts w:eastAsia="Arial" w:cs="Arial" w:ascii="Arial" w:hAnsi="Arial"/>
                <w:color w:val="000000" w:themeColor="text1"/>
                <w:szCs w:val="18"/>
              </w:rPr>
              <w:t xml:space="preserve"> </w:t>
            </w:r>
            <w:r>
              <w:rPr>
                <w:rFonts w:cs="Arial" w:ascii="Arial" w:hAnsi="Arial"/>
                <w:color w:val="000000" w:themeColor="text1"/>
                <w:szCs w:val="18"/>
              </w:rPr>
              <w:t>hmotný</w:t>
            </w:r>
            <w:r>
              <w:rPr>
                <w:rFonts w:eastAsia="Arial" w:cs="Arial" w:ascii="Arial" w:hAnsi="Arial"/>
                <w:color w:val="000000" w:themeColor="text1"/>
                <w:szCs w:val="18"/>
              </w:rPr>
              <w:t xml:space="preserve"> </w:t>
            </w:r>
            <w:r>
              <w:rPr>
                <w:rFonts w:cs="Arial" w:ascii="Arial" w:hAnsi="Arial"/>
                <w:color w:val="000000" w:themeColor="text1"/>
                <w:szCs w:val="18"/>
              </w:rPr>
              <w:t>majetok</w:t>
            </w:r>
          </w:p>
        </w:tc>
        <w:tc>
          <w:tcPr>
            <w:tcW w:w="1702" w:type="dxa"/>
            <w:gridSpan w:val="2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eastAsia="Arial" w:cs="Arial" w:ascii="Arial" w:hAnsi="Arial"/>
                <w:color w:val="000000" w:themeColor="text1"/>
                <w:szCs w:val="18"/>
              </w:rPr>
              <w:t xml:space="preserve">  </w:t>
            </w:r>
            <w:r>
              <w:rPr>
                <w:rFonts w:cs="Arial" w:ascii="Arial" w:hAnsi="Arial"/>
                <w:color w:val="000000" w:themeColor="text1"/>
                <w:szCs w:val="18"/>
              </w:rPr>
              <w:t>2</w:t>
            </w:r>
          </w:p>
        </w:tc>
        <w:tc>
          <w:tcPr>
            <w:tcW w:w="141" w:type="dxa"/>
            <w:gridSpan w:val="2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</w:r>
          </w:p>
        </w:tc>
        <w:tc>
          <w:tcPr>
            <w:tcW w:w="1702" w:type="dxa"/>
            <w:gridSpan w:val="2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Lineárna</w:t>
            </w:r>
          </w:p>
        </w:tc>
        <w:tc>
          <w:tcPr>
            <w:tcW w:w="141" w:type="dxa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</w:r>
          </w:p>
        </w:tc>
        <w:tc>
          <w:tcPr>
            <w:tcW w:w="1700" w:type="dxa"/>
            <w:gridSpan w:val="2"/>
            <w:tcBorders/>
            <w:shd w:color="auto" w:fill="auto" w:val="clear"/>
          </w:tcPr>
          <w:p>
            <w:pPr>
              <w:pStyle w:val="Tabulka"/>
              <w:snapToGrid w:val="false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50</w:t>
            </w:r>
          </w:p>
        </w:tc>
      </w:tr>
    </w:tbl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Zásoby – tovar</w:t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ind w:left="27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Nakupované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zásoby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oceňujú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obstarávacou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cenou,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ktorá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zahŕňa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cenu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zásob.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Náklady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súvisiace</w:t>
      </w:r>
      <w:r>
        <w:rPr>
          <w:rFonts w:eastAsia="Arial" w:cs="Arial" w:ascii="Arial" w:hAnsi="Arial"/>
          <w:color w:val="000000" w:themeColor="text1"/>
          <w:szCs w:val="18"/>
        </w:rPr>
        <w:t xml:space="preserve">    </w:t>
      </w:r>
      <w:r>
        <w:rPr>
          <w:rFonts w:cs="Arial" w:ascii="Arial" w:hAnsi="Arial"/>
          <w:color w:val="000000" w:themeColor="text1"/>
          <w:szCs w:val="18"/>
        </w:rPr>
        <w:t>s obstaraním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(prepravné,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poistné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pod.)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účtujú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ako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vedľajšie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náklady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obstarania.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Nakupované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zásoby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</w:t>
      </w:r>
      <w:r>
        <w:rPr>
          <w:rFonts w:eastAsia="Arial" w:cs="Arial" w:ascii="Arial" w:hAnsi="Arial"/>
          <w:color w:val="000000" w:themeColor="text1"/>
          <w:szCs w:val="18"/>
        </w:rPr>
        <w:t> </w:t>
      </w:r>
      <w:r>
        <w:rPr>
          <w:rFonts w:cs="Arial" w:ascii="Arial" w:hAnsi="Arial"/>
          <w:color w:val="000000" w:themeColor="text1"/>
          <w:szCs w:val="18"/>
        </w:rPr>
        <w:t>oceňujú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váženým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aritmetickým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priemerom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 obstarávacích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cien. Zníženie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hodnoty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zásob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upravuje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vytvorením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opravnej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položky.</w:t>
      </w:r>
    </w:p>
    <w:p>
      <w:pPr>
        <w:pStyle w:val="Textbody"/>
        <w:ind w:left="27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ind w:left="27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  <w:t>Dlhodobý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hmotný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majetok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zásoby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sú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poistené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pre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prípad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škôd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spôsobených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krádežou,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haváriou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živelnou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pohromou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do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výšky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8 298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 xml:space="preserve"> EUR.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Pohľadávky</w:t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Pohľadávky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pri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ich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vzniku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oceňujú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ich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menovitou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hodnotou.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Postúpené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pohľadávky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 pohľadávky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nadobudnuté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vkladom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do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základného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imania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oceňujú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obstarávacou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cenou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vrátane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nákladov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súvisiacich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 obstaraním.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Toto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ocenenie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je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znížené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pochybné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nevymožiteľné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pohľadávky.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Peňažné prostriedky a ceniny</w:t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Peňažné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prostriedky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ceniny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oceňujú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ich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menovitou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hodnotou.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Zníženie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ich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hodnoty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vyjadruje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opravnou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položkou.</w:t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Náklady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budúcich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období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príjmy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budúcich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období</w:t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Náklady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budúcich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období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príjmy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budúcich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období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vykazujú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výške,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ktorá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je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potrebná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dodržanie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zásady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vecnej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časovej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súvislosti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účtovným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obdobím.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Zníženie hodnoty majetku a opravné položky</w:t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Pismenka"/>
        <w:ind w:left="426" w:hanging="0"/>
        <w:rPr>
          <w:rFonts w:ascii="Arial" w:hAnsi="Arial" w:cs="Arial"/>
          <w:b w:val="false"/>
          <w:b w:val="false"/>
          <w:color w:val="000000" w:themeColor="text1"/>
          <w:szCs w:val="18"/>
        </w:rPr>
      </w:pPr>
      <w:r>
        <w:rPr>
          <w:rFonts w:cs="Arial" w:ascii="Arial" w:hAnsi="Arial"/>
          <w:b w:val="false"/>
          <w:color w:val="000000" w:themeColor="text1"/>
          <w:szCs w:val="18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>
      <w:pPr>
        <w:pStyle w:val="Textbody"/>
        <w:rPr>
          <w:rFonts w:ascii="Arial" w:hAnsi="Arial" w:cs="Arial"/>
          <w:b/>
          <w:b/>
          <w:color w:val="000000" w:themeColor="text1"/>
          <w:szCs w:val="18"/>
        </w:rPr>
      </w:pPr>
      <w:r>
        <w:rPr>
          <w:rFonts w:cs="Arial" w:ascii="Arial" w:hAnsi="Arial"/>
          <w:b/>
          <w:color w:val="000000" w:themeColor="text1"/>
          <w:szCs w:val="18"/>
        </w:rPr>
      </w:r>
    </w:p>
    <w:tbl>
      <w:tblPr>
        <w:tblW w:w="8696" w:type="dxa"/>
        <w:jc w:val="left"/>
        <w:tblInd w:w="461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6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408"/>
        <w:gridCol w:w="3402"/>
        <w:gridCol w:w="2886"/>
      </w:tblGrid>
      <w:tr>
        <w:trPr>
          <w:trHeight w:val="375" w:hRule="atLeast"/>
        </w:trPr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Pismenka"/>
              <w:tabs>
                <w:tab w:val="left" w:pos="4686" w:leader="none"/>
              </w:tabs>
              <w:spacing w:lineRule="atLeast" w:line="100"/>
              <w:ind w:left="0" w:hanging="0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Charakteristika majetku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Pismenka"/>
              <w:tabs>
                <w:tab w:val="left" w:pos="4686" w:leader="none"/>
              </w:tabs>
              <w:spacing w:lineRule="atLeast" w:line="100"/>
              <w:ind w:left="0" w:hanging="0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Odhad zníženia hodnoty majetku</w:t>
            </w:r>
          </w:p>
        </w:tc>
        <w:tc>
          <w:tcPr>
            <w:tcW w:w="28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Pismenka"/>
              <w:tabs>
                <w:tab w:val="left" w:pos="4686" w:leader="none"/>
              </w:tabs>
              <w:spacing w:lineRule="atLeast" w:line="100"/>
              <w:ind w:left="0" w:hanging="0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Vytvorená opravná položka</w:t>
            </w:r>
          </w:p>
        </w:tc>
      </w:tr>
      <w:tr>
        <w:trPr>
          <w:trHeight w:val="390" w:hRule="atLeast"/>
        </w:trPr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Standard"/>
              <w:ind w:firstLine="180"/>
              <w:rPr>
                <w:rFonts w:ascii="Arial" w:hAnsi="Arial" w:cs="Arial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8"/>
                <w:szCs w:val="18"/>
                <w:lang w:eastAsia="sk-SK"/>
              </w:rPr>
              <w:t> </w:t>
            </w:r>
            <w:r>
              <w:rPr>
                <w:rFonts w:cs="Arial" w:ascii="Arial" w:hAnsi="Arial"/>
                <w:color w:val="000000" w:themeColor="text1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Standard"/>
              <w:snapToGrid w:val="false"/>
              <w:ind w:firstLine="540"/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Standard"/>
              <w:snapToGrid w:val="false"/>
              <w:ind w:firstLine="540"/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  <w:tr>
        <w:trPr>
          <w:trHeight w:val="390" w:hRule="atLeast"/>
        </w:trPr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Standard"/>
              <w:ind w:firstLine="180"/>
              <w:rPr>
                <w:rFonts w:ascii="Arial" w:hAnsi="Arial" w:cs="Arial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8"/>
                <w:szCs w:val="18"/>
                <w:lang w:eastAsia="sk-SK"/>
              </w:rPr>
              <w:t> </w:t>
            </w:r>
            <w:r>
              <w:rPr>
                <w:rFonts w:cs="Arial" w:ascii="Arial" w:hAnsi="Arial"/>
                <w:color w:val="000000" w:themeColor="text1"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34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Standard"/>
              <w:snapToGrid w:val="false"/>
              <w:ind w:firstLine="540"/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8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Standard"/>
              <w:snapToGrid w:val="false"/>
              <w:ind w:firstLine="540"/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8"/>
                <w:szCs w:val="18"/>
                <w:lang w:eastAsia="sk-SK"/>
              </w:rPr>
              <w:t>0</w:t>
            </w:r>
          </w:p>
        </w:tc>
      </w:tr>
    </w:tbl>
    <w:p>
      <w:pPr>
        <w:pStyle w:val="Zkladntext1"/>
        <w:rPr>
          <w:rFonts w:ascii="Arial" w:hAnsi="Arial" w:eastAsia="Times New Roman" w:cs="Arial"/>
          <w:color w:val="000000" w:themeColor="text1"/>
          <w:szCs w:val="18"/>
          <w:shd w:fill="FFFFFF" w:val="clear"/>
          <w:lang w:bidi="ar-SA"/>
        </w:rPr>
      </w:pPr>
      <w:r>
        <w:rPr>
          <w:rFonts w:eastAsia="Times New Roman" w:cs="Arial" w:ascii="Arial" w:hAnsi="Arial"/>
          <w:color w:val="000000" w:themeColor="text1"/>
          <w:szCs w:val="18"/>
          <w:shd w:fill="FFFFFF" w:val="clear"/>
          <w:lang w:bidi="ar-SA"/>
        </w:rPr>
      </w:r>
    </w:p>
    <w:p>
      <w:pPr>
        <w:pStyle w:val="Zkladntext1"/>
        <w:rPr>
          <w:rFonts w:ascii="Arial" w:hAnsi="Arial" w:cs="Arial"/>
          <w:color w:val="000000" w:themeColor="text1"/>
          <w:szCs w:val="18"/>
        </w:rPr>
      </w:pPr>
      <w:r>
        <w:rPr>
          <w:rFonts w:eastAsia="Times New Roman" w:cs="Arial" w:ascii="Arial" w:hAnsi="Arial"/>
          <w:color w:val="000000" w:themeColor="text1"/>
          <w:szCs w:val="18"/>
          <w:shd w:fill="FFFFFF" w:val="clear"/>
          <w:lang w:bidi="ar-SA"/>
        </w:rPr>
        <w:t>Opravná</w:t>
      </w:r>
      <w:r>
        <w:rPr>
          <w:rFonts w:eastAsia="Arial" w:cs="Arial" w:ascii="Arial" w:hAnsi="Arial"/>
          <w:color w:val="000000" w:themeColor="text1"/>
          <w:szCs w:val="18"/>
          <w:shd w:fill="FFFFFF" w:val="clear"/>
          <w:lang w:bidi="ar-SA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  <w:lang w:bidi="ar-SA"/>
        </w:rPr>
        <w:t>položka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  <w:lang w:bidi="ar-SA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  <w:lang w:bidi="ar-SA"/>
        </w:rPr>
        <w:t>k pohľadávkam</w:t>
      </w:r>
      <w:r>
        <w:rPr>
          <w:rFonts w:eastAsia="Arial" w:cs="Arial" w:ascii="Arial" w:hAnsi="Arial"/>
          <w:color w:val="000000" w:themeColor="text1"/>
          <w:szCs w:val="18"/>
          <w:shd w:fill="FFFFFF" w:val="clear"/>
          <w:lang w:bidi="ar-SA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  <w:lang w:bidi="ar-SA"/>
        </w:rPr>
        <w:t>sa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  <w:lang w:bidi="ar-SA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  <w:lang w:bidi="ar-SA"/>
        </w:rPr>
        <w:t>tvorí</w:t>
      </w:r>
      <w:r>
        <w:rPr>
          <w:rFonts w:eastAsia="Arial" w:cs="Arial" w:ascii="Arial" w:hAnsi="Arial"/>
          <w:color w:val="000000" w:themeColor="text1"/>
          <w:szCs w:val="18"/>
          <w:shd w:fill="FFFFFF" w:val="clear"/>
          <w:lang w:bidi="ar-SA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  <w:lang w:bidi="ar-SA"/>
        </w:rPr>
        <w:t>podľa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  <w:lang w:bidi="ar-SA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  <w:lang w:bidi="ar-SA"/>
        </w:rPr>
        <w:t>nasledujúcich</w:t>
      </w:r>
      <w:r>
        <w:rPr>
          <w:rFonts w:eastAsia="Arial" w:cs="Arial" w:ascii="Arial" w:hAnsi="Arial"/>
          <w:color w:val="000000" w:themeColor="text1"/>
          <w:szCs w:val="18"/>
          <w:shd w:fill="FFFFFF" w:val="clear"/>
          <w:lang w:bidi="ar-SA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  <w:lang w:bidi="ar-SA"/>
        </w:rPr>
        <w:t>pravidiel</w:t>
      </w:r>
      <w:r>
        <w:rPr>
          <w:rFonts w:eastAsia="Arial" w:cs="Arial" w:ascii="Arial" w:hAnsi="Arial"/>
          <w:color w:val="000000" w:themeColor="text1"/>
          <w:szCs w:val="18"/>
          <w:shd w:fill="FFFFFF" w:val="clear"/>
          <w:lang w:bidi="ar-SA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  <w:lang w:bidi="ar-SA"/>
        </w:rPr>
        <w:t>:</w:t>
      </w:r>
    </w:p>
    <w:p>
      <w:pPr>
        <w:pStyle w:val="Standard"/>
        <w:jc w:val="both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</w:r>
    </w:p>
    <w:tbl>
      <w:tblPr>
        <w:tblStyle w:val="Mriekatabuky"/>
        <w:tblW w:w="8690" w:type="dxa"/>
        <w:jc w:val="left"/>
        <w:tblInd w:w="426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54"/>
        <w:gridCol w:w="2768"/>
        <w:gridCol w:w="2768"/>
      </w:tblGrid>
      <w:tr>
        <w:trPr>
          <w:trHeight w:val="301" w:hRule="atLeast"/>
        </w:trPr>
        <w:tc>
          <w:tcPr>
            <w:tcW w:w="3154" w:type="dxa"/>
            <w:tcBorders/>
            <w:shd w:fill="auto" w:val="clear"/>
            <w:tcMar>
              <w:left w:w="108" w:type="dxa"/>
            </w:tcMar>
          </w:tcPr>
          <w:p>
            <w:pPr>
              <w:pStyle w:val="Pismenka"/>
              <w:tabs>
                <w:tab w:val="left" w:pos="4686" w:leader="none"/>
              </w:tabs>
              <w:spacing w:lineRule="atLeast" w:line="100"/>
              <w:ind w:left="0" w:hanging="0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Pohľadávky</w:t>
            </w:r>
          </w:p>
        </w:tc>
        <w:tc>
          <w:tcPr>
            <w:tcW w:w="2768" w:type="dxa"/>
            <w:tcBorders/>
            <w:shd w:fill="auto" w:val="clear"/>
            <w:tcMar>
              <w:left w:w="108" w:type="dxa"/>
            </w:tcMar>
          </w:tcPr>
          <w:p>
            <w:pPr>
              <w:pStyle w:val="Pismenka"/>
              <w:tabs>
                <w:tab w:val="left" w:pos="4686" w:leader="none"/>
              </w:tabs>
              <w:spacing w:lineRule="atLeast" w:line="100"/>
              <w:ind w:left="0" w:hanging="0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 xml:space="preserve">Počet dní po splatnosti </w:t>
            </w:r>
          </w:p>
        </w:tc>
        <w:tc>
          <w:tcPr>
            <w:tcW w:w="2768" w:type="dxa"/>
            <w:tcBorders/>
            <w:shd w:fill="auto" w:val="clear"/>
            <w:tcMar>
              <w:left w:w="108" w:type="dxa"/>
            </w:tcMar>
          </w:tcPr>
          <w:p>
            <w:pPr>
              <w:pStyle w:val="Pismenka"/>
              <w:tabs>
                <w:tab w:val="left" w:pos="4686" w:leader="none"/>
              </w:tabs>
              <w:spacing w:lineRule="atLeast" w:line="100"/>
              <w:ind w:left="0" w:hanging="0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Tvorba OP (v %)</w:t>
            </w:r>
          </w:p>
        </w:tc>
      </w:tr>
      <w:tr>
        <w:trPr/>
        <w:tc>
          <w:tcPr>
            <w:tcW w:w="3154" w:type="dxa"/>
            <w:tcBorders/>
            <w:shd w:fill="auto" w:val="clear"/>
            <w:tcMar>
              <w:left w:w="108" w:type="dxa"/>
            </w:tcMar>
          </w:tcPr>
          <w:p>
            <w:pPr>
              <w:pStyle w:val="Textbody"/>
              <w:ind w:left="0" w:hanging="0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Pohľadávky po splatnosti</w:t>
            </w:r>
          </w:p>
        </w:tc>
        <w:tc>
          <w:tcPr>
            <w:tcW w:w="2768" w:type="dxa"/>
            <w:tcBorders/>
            <w:shd w:fill="auto" w:val="clear"/>
            <w:tcMar>
              <w:left w:w="108" w:type="dxa"/>
            </w:tcMar>
          </w:tcPr>
          <w:p>
            <w:pPr>
              <w:pStyle w:val="Textbody"/>
              <w:ind w:left="0" w:hanging="0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180 – 360 dní</w:t>
            </w:r>
          </w:p>
        </w:tc>
        <w:tc>
          <w:tcPr>
            <w:tcW w:w="2768" w:type="dxa"/>
            <w:tcBorders/>
            <w:shd w:fill="auto" w:val="clear"/>
            <w:tcMar>
              <w:left w:w="108" w:type="dxa"/>
            </w:tcMar>
          </w:tcPr>
          <w:p>
            <w:pPr>
              <w:pStyle w:val="Textbody"/>
              <w:ind w:left="0" w:hanging="0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50</w:t>
            </w:r>
          </w:p>
        </w:tc>
      </w:tr>
      <w:tr>
        <w:trPr/>
        <w:tc>
          <w:tcPr>
            <w:tcW w:w="3154" w:type="dxa"/>
            <w:tcBorders/>
            <w:shd w:fill="auto" w:val="clear"/>
            <w:tcMar>
              <w:left w:w="108" w:type="dxa"/>
            </w:tcMar>
          </w:tcPr>
          <w:p>
            <w:pPr>
              <w:pStyle w:val="Textbody"/>
              <w:ind w:left="0" w:hanging="0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Pohľadávky po splatnosti</w:t>
            </w:r>
          </w:p>
        </w:tc>
        <w:tc>
          <w:tcPr>
            <w:tcW w:w="2768" w:type="dxa"/>
            <w:tcBorders/>
            <w:shd w:fill="auto" w:val="clear"/>
            <w:tcMar>
              <w:left w:w="108" w:type="dxa"/>
            </w:tcMar>
          </w:tcPr>
          <w:p>
            <w:pPr>
              <w:pStyle w:val="Textbody"/>
              <w:ind w:left="0" w:hanging="0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Nad 361 dní</w:t>
            </w:r>
          </w:p>
        </w:tc>
        <w:tc>
          <w:tcPr>
            <w:tcW w:w="2768" w:type="dxa"/>
            <w:tcBorders/>
            <w:shd w:fill="auto" w:val="clear"/>
            <w:tcMar>
              <w:left w:w="108" w:type="dxa"/>
            </w:tcMar>
          </w:tcPr>
          <w:p>
            <w:pPr>
              <w:pStyle w:val="Textbody"/>
              <w:ind w:left="0" w:hanging="0"/>
              <w:jc w:val="center"/>
              <w:rPr>
                <w:rFonts w:ascii="Arial" w:hAnsi="Arial" w:cs="Arial"/>
                <w:color w:val="000000" w:themeColor="text1"/>
                <w:szCs w:val="18"/>
              </w:rPr>
            </w:pPr>
            <w:r>
              <w:rPr>
                <w:rFonts w:cs="Arial" w:ascii="Arial" w:hAnsi="Arial"/>
                <w:color w:val="000000" w:themeColor="text1"/>
                <w:szCs w:val="18"/>
              </w:rPr>
              <w:t>100</w:t>
            </w:r>
          </w:p>
        </w:tc>
      </w:tr>
    </w:tbl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Zkladntext1"/>
        <w:jc w:val="left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  <w:t>Pri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tvorbe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opravnej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položky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sa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posudzuje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individuálne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riziko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nezaplatenia.</w:t>
      </w:r>
    </w:p>
    <w:p>
      <w:pPr>
        <w:pStyle w:val="Standard"/>
        <w:jc w:val="both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Rezervy</w:t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Rezervy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záväzky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 neurčitým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časovým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vymedzením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alebo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výškou;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tvoria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krytie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známych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rizík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alebo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strát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 podnikania.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Oceňujú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 očakávanej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výške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záväzku.</w:t>
      </w:r>
    </w:p>
    <w:p>
      <w:pPr>
        <w:pStyle w:val="Pismenka"/>
        <w:tabs>
          <w:tab w:val="left" w:pos="5538" w:leader="none"/>
        </w:tabs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Záväzky</w:t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Záväzky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pri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ich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vzniku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oceňujú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menovitou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hodnotou.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Záväzky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pri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ich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prevzatí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oceňujú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obstarávacou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cenou.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Ak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pri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inventarizácii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zistí,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že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suma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záväzkov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je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iná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ako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ich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výška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 účtovníctve,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uvedú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záväzky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 účtovníctve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 účtovnej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závierke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 tomto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zistenom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ocenení.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  <w:r>
        <w:br w:type="page"/>
      </w:r>
    </w:p>
    <w:p>
      <w:pPr>
        <w:pStyle w:val="Pismenka"/>
        <w:tabs>
          <w:tab w:val="left" w:pos="5538" w:leader="none"/>
        </w:tabs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Výdavky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budúcich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období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výnosy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budúcich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období</w:t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Pismenka"/>
        <w:tabs>
          <w:tab w:val="left" w:pos="5538" w:leader="none"/>
        </w:tabs>
        <w:rPr>
          <w:rFonts w:ascii="Arial" w:hAnsi="Arial" w:cs="Arial"/>
          <w:color w:val="000000" w:themeColor="text1"/>
          <w:szCs w:val="18"/>
        </w:rPr>
      </w:pP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      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Výdavky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budúcich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období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a výnosy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budúcich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období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color w:val="000000" w:themeColor="text1"/>
          <w:szCs w:val="18"/>
        </w:rPr>
        <w:t>sa</w:t>
      </w:r>
      <w:r>
        <w:rPr>
          <w:rFonts w:eastAsia="Arial" w:cs="Arial" w:ascii="Arial" w:hAnsi="Arial"/>
          <w:b w:val="false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color w:val="000000" w:themeColor="text1"/>
          <w:szCs w:val="18"/>
        </w:rPr>
        <w:t>vykazujú</w:t>
      </w:r>
      <w:r>
        <w:rPr>
          <w:rFonts w:eastAsia="Arial" w:cs="Arial" w:ascii="Arial" w:hAnsi="Arial"/>
          <w:b w:val="false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color w:val="000000" w:themeColor="text1"/>
          <w:szCs w:val="18"/>
        </w:rPr>
        <w:t>vo</w:t>
      </w:r>
      <w:r>
        <w:rPr>
          <w:rFonts w:eastAsia="Arial" w:cs="Arial" w:ascii="Arial" w:hAnsi="Arial"/>
          <w:b w:val="false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color w:val="000000" w:themeColor="text1"/>
          <w:szCs w:val="18"/>
        </w:rPr>
        <w:t>výške,</w:t>
      </w:r>
      <w:r>
        <w:rPr>
          <w:rFonts w:eastAsia="Arial" w:cs="Arial" w:ascii="Arial" w:hAnsi="Arial"/>
          <w:b w:val="false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color w:val="000000" w:themeColor="text1"/>
          <w:szCs w:val="18"/>
        </w:rPr>
        <w:t>ktorá</w:t>
      </w:r>
      <w:r>
        <w:rPr>
          <w:rFonts w:eastAsia="Arial" w:cs="Arial" w:ascii="Arial" w:hAnsi="Arial"/>
          <w:b w:val="false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color w:val="000000" w:themeColor="text1"/>
          <w:szCs w:val="18"/>
        </w:rPr>
        <w:t>je</w:t>
      </w:r>
      <w:r>
        <w:rPr>
          <w:rFonts w:eastAsia="Arial" w:cs="Arial" w:ascii="Arial" w:hAnsi="Arial"/>
          <w:b w:val="false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color w:val="000000" w:themeColor="text1"/>
          <w:szCs w:val="18"/>
        </w:rPr>
        <w:t>potrebná</w:t>
      </w:r>
      <w:r>
        <w:rPr>
          <w:rFonts w:eastAsia="Arial" w:cs="Arial" w:ascii="Arial" w:hAnsi="Arial"/>
          <w:b w:val="false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color w:val="000000" w:themeColor="text1"/>
          <w:szCs w:val="18"/>
        </w:rPr>
        <w:t>na</w:t>
      </w:r>
      <w:r>
        <w:rPr>
          <w:rFonts w:eastAsia="Arial" w:cs="Arial" w:ascii="Arial" w:hAnsi="Arial"/>
          <w:b w:val="false"/>
          <w:color w:val="000000" w:themeColor="text1"/>
          <w:szCs w:val="18"/>
        </w:rPr>
        <w:t> </w:t>
      </w:r>
      <w:r>
        <w:rPr>
          <w:rFonts w:cs="Arial" w:ascii="Arial" w:hAnsi="Arial"/>
          <w:b w:val="false"/>
          <w:color w:val="000000" w:themeColor="text1"/>
          <w:szCs w:val="18"/>
        </w:rPr>
        <w:t>dodržanie</w:t>
      </w:r>
      <w:r>
        <w:rPr>
          <w:rFonts w:eastAsia="Arial" w:cs="Arial" w:ascii="Arial" w:hAnsi="Arial"/>
          <w:b w:val="false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color w:val="000000" w:themeColor="text1"/>
          <w:szCs w:val="18"/>
        </w:rPr>
        <w:t>zásady</w:t>
      </w:r>
      <w:r>
        <w:rPr>
          <w:rFonts w:eastAsia="Arial" w:cs="Arial" w:ascii="Arial" w:hAnsi="Arial"/>
          <w:b w:val="false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color w:val="000000" w:themeColor="text1"/>
          <w:szCs w:val="18"/>
        </w:rPr>
        <w:t>vecnej</w:t>
      </w:r>
      <w:r>
        <w:rPr>
          <w:rFonts w:eastAsia="Arial" w:cs="Arial" w:ascii="Arial" w:hAnsi="Arial"/>
          <w:b w:val="false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color w:val="000000" w:themeColor="text1"/>
          <w:szCs w:val="18"/>
        </w:rPr>
        <w:t>a</w:t>
      </w:r>
      <w:r>
        <w:rPr>
          <w:rFonts w:eastAsia="Arial" w:cs="Arial" w:ascii="Arial" w:hAnsi="Arial"/>
          <w:b w:val="false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color w:val="000000" w:themeColor="text1"/>
          <w:szCs w:val="18"/>
        </w:rPr>
        <w:t>časovej</w:t>
      </w:r>
      <w:r>
        <w:rPr>
          <w:rFonts w:eastAsia="Arial" w:cs="Arial" w:ascii="Arial" w:hAnsi="Arial"/>
          <w:b w:val="false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color w:val="000000" w:themeColor="text1"/>
          <w:szCs w:val="18"/>
        </w:rPr>
        <w:t>súvislosti</w:t>
      </w:r>
      <w:r>
        <w:rPr>
          <w:rFonts w:eastAsia="Arial" w:cs="Arial" w:ascii="Arial" w:hAnsi="Arial"/>
          <w:b w:val="false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color w:val="000000" w:themeColor="text1"/>
          <w:szCs w:val="18"/>
        </w:rPr>
        <w:t>s</w:t>
      </w:r>
      <w:r>
        <w:rPr>
          <w:rFonts w:eastAsia="Arial" w:cs="Arial" w:ascii="Arial" w:hAnsi="Arial"/>
          <w:b w:val="false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color w:val="000000" w:themeColor="text1"/>
          <w:szCs w:val="18"/>
        </w:rPr>
        <w:t>účtovným</w:t>
      </w:r>
      <w:r>
        <w:rPr>
          <w:rFonts w:eastAsia="Arial" w:cs="Arial" w:ascii="Arial" w:hAnsi="Arial"/>
          <w:b w:val="false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color w:val="000000" w:themeColor="text1"/>
          <w:szCs w:val="18"/>
        </w:rPr>
        <w:t>obdobím.</w:t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b w:val="false"/>
          <w:b w:val="false"/>
          <w:color w:val="000000" w:themeColor="text1"/>
          <w:szCs w:val="18"/>
        </w:rPr>
      </w:pPr>
      <w:r>
        <w:rPr>
          <w:rFonts w:cs="Arial" w:ascii="Arial" w:hAnsi="Arial"/>
          <w:b w:val="false"/>
          <w:color w:val="000000" w:themeColor="text1"/>
          <w:szCs w:val="18"/>
        </w:rPr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Prenájom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(lízing)</w:t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  <w:t>Majetok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prenajatý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základe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operatívneho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prenájmu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vykazuje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ako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svoj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majetok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jeho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vlastník,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nie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nájomca.</w:t>
      </w:r>
    </w:p>
    <w:p>
      <w:pPr>
        <w:pStyle w:val="Textbody"/>
        <w:rPr>
          <w:rFonts w:ascii="Arial" w:hAnsi="Arial" w:cs="Arial"/>
          <w:color w:val="000000" w:themeColor="text1"/>
          <w:szCs w:val="18"/>
          <w:shd w:fill="FFFFFF" w:val="clear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  <w:t>Finančný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prenájom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je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obstaranie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dlhodobého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hmotného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majetku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základe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nájomnej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zmluvy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s dojednaným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právom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kúpy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prenajatej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veci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za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dohodnuté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platby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počas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dohodnutej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doby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nájmu.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Majetok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prenajatý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 formou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finančného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prenájmu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vykazuje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ako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svoj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majetok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a odpisuje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ho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jeho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nájomca,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nie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vlastník.</w:t>
      </w:r>
    </w:p>
    <w:p>
      <w:pPr>
        <w:pStyle w:val="Textbody"/>
        <w:rPr>
          <w:rFonts w:ascii="Arial" w:hAnsi="Arial" w:eastAsia="Arial" w:cs="Arial"/>
          <w:color w:val="000000" w:themeColor="text1"/>
          <w:szCs w:val="18"/>
          <w:shd w:fill="FFFFFF" w:val="clear"/>
        </w:rPr>
      </w:pPr>
      <w:r>
        <w:rPr>
          <w:rFonts w:eastAsia="Arial" w:cs="Arial" w:ascii="Arial" w:hAnsi="Arial"/>
          <w:color w:val="000000" w:themeColor="text1"/>
          <w:szCs w:val="18"/>
          <w:shd w:fill="FFFFFF" w:val="clear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  <w:t>Prijatie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majetku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nájomcom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sa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v účtovníctve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nájomcu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účtuje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v deň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prijatia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majetku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ťarchu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príslušného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účtu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majetku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so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súvzťažným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zápisom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v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prospech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účtu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474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–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Záväzky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z nájmu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vo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výške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dohodnutých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platieb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znížených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o nerealizované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finančné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náklady.</w:t>
      </w:r>
    </w:p>
    <w:p>
      <w:pPr>
        <w:pStyle w:val="Textbody"/>
        <w:rPr>
          <w:rFonts w:ascii="Arial" w:hAnsi="Arial" w:cs="Arial"/>
          <w:color w:val="000000" w:themeColor="text1"/>
          <w:szCs w:val="18"/>
          <w:shd w:fill="FFFFFF" w:val="clear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  <w:t>Súčasťou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dohodnutých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platieb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je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aj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kúpna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cena,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za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ktorú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konci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dohodnutej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doby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finančného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prenájmu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prechádza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vlastnícke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právo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k prenajatému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majetku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z prenajímateľa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nájomcu.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Dohodnutá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doba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nájmu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je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najmenej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60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%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doby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odpisovania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podľa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daňových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predpisov,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minimálne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však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3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roky.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Platba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nájomného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je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alokovaná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medzi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splátku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istiny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a finančné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náklady,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vypočítané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metódou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efektívnej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úrokovej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miery.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Finančné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náklady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sa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účtujú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na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ťarchu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účtu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562</w:t>
      </w:r>
      <w:r>
        <w:rPr>
          <w:rFonts w:eastAsia="Arial" w:cs="Arial" w:ascii="Arial" w:hAnsi="Arial"/>
          <w:color w:val="000000" w:themeColor="text1"/>
          <w:szCs w:val="18"/>
          <w:shd w:fill="FFFFFF" w:val="clear"/>
        </w:rPr>
        <w:t xml:space="preserve"> – </w:t>
      </w:r>
      <w:r>
        <w:rPr>
          <w:rFonts w:cs="Arial" w:ascii="Arial" w:hAnsi="Arial"/>
          <w:color w:val="000000" w:themeColor="text1"/>
          <w:szCs w:val="18"/>
          <w:shd w:fill="FFFFFF" w:val="clear"/>
        </w:rPr>
        <w:t>Úroky.</w:t>
      </w:r>
    </w:p>
    <w:p>
      <w:pPr>
        <w:pStyle w:val="Textbody"/>
        <w:rPr>
          <w:rFonts w:ascii="Arial" w:hAnsi="Arial" w:cs="Arial"/>
          <w:color w:val="000000" w:themeColor="text1"/>
          <w:szCs w:val="18"/>
          <w:shd w:fill="FFFFFF" w:val="clear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Cudzia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mena</w:t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Style w:val="Predvolenpsmoodseku1"/>
          <w:rFonts w:cs="Arial" w:ascii="Arial" w:hAnsi="Arial"/>
          <w:color w:val="000000" w:themeColor="text1"/>
          <w:szCs w:val="18"/>
        </w:rPr>
        <w:t>Majetok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záväzky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vyjadrené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cudzej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mene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sa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ku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dňu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uskutočnenia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účtovného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prípadu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prepočítavajú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na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menu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euro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referenčným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výmenným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kurzom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určeným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vyhláseným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  <w:shd w:fill="FFFFFF" w:val="clear"/>
        </w:rPr>
        <w:t>Európskou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  <w:shd w:fill="FFFFFF" w:val="clear"/>
        </w:rPr>
        <w:t>centrálnou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  <w:shd w:fill="FFFFFF" w:val="clear"/>
        </w:rPr>
        <w:t>bankou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  <w:shd w:fill="FFFFFF" w:val="clear"/>
        </w:rPr>
        <w:t>(ECB)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  <w:shd w:fill="FFFFFF" w:val="clear"/>
        </w:rPr>
        <w:t>alebo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Národnou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bankou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Slovenska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(NBS)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deň,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ktorý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predchádza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dňu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uskutočnenia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účtovného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prípadu.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Style w:val="Predvolenpsmoodseku1"/>
          <w:rFonts w:cs="Arial" w:ascii="Arial" w:hAnsi="Arial"/>
          <w:color w:val="000000" w:themeColor="text1"/>
          <w:szCs w:val="18"/>
        </w:rPr>
        <w:t>Majetok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a záväzky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vyjadrené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 cudzej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mene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(okrem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prijatých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a poskytnutých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preddavkov)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sa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ku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dňu,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ku ktorému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sa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zostavuje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účtovná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závierka,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prepočítavajú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na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menu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euro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referenčným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výmenným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kurzom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určeným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a vyhláseným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ECB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alebo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NBS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 deň,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ku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ktorému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sa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zostavuje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účtovná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závierka,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a účtujú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sa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s vplyvom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na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výsledok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hospodárenia.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Style w:val="Predvolenpsmoodseku1"/>
          <w:rFonts w:cs="Arial" w:ascii="Arial" w:hAnsi="Arial"/>
          <w:color w:val="000000" w:themeColor="text1"/>
          <w:szCs w:val="18"/>
        </w:rPr>
        <w:t>Prijaté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poskytnuté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preddavky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 cudzej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mene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na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účet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zriadený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 eurách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a z účtu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zriadeného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 eurách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sa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prepočítavajú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na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menu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euro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kurzom,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za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ktorý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boli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tieto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hodnoty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nakúpené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alebo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predané.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Style w:val="Predvolenpsmoodseku1"/>
          <w:rFonts w:cs="Arial" w:ascii="Arial" w:hAnsi="Arial"/>
          <w:color w:val="000000" w:themeColor="text1"/>
          <w:szCs w:val="18"/>
        </w:rPr>
        <w:t>Prijaté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poskytnuté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preddavky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 cudzej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mene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sa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prepočítavajú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na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menu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euro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referenčným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výmenným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kurzom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určeným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a vyhláseným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ECB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alebo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NBS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v deň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predchádzajúci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dňu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uskutočnenia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účtovného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prípadu.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Ku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dňu,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ku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ktorému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sa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zostavuje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účtovná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závierka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sa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na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menu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euro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už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neprepočítavajú.</w:t>
      </w:r>
    </w:p>
    <w:p>
      <w:pPr>
        <w:pStyle w:val="Textbody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Výnosy</w:t>
      </w:r>
    </w:p>
    <w:p>
      <w:pPr>
        <w:pStyle w:val="Pismenka"/>
        <w:tabs>
          <w:tab w:val="left" w:pos="4686" w:leader="none"/>
        </w:tabs>
        <w:spacing w:lineRule="atLeast" w:line="100"/>
        <w:ind w:left="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Tržby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vlastné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výkony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tovar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neobsahujú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daň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pridanej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hodnoty.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tiež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znížené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zľavy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zrážky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(rabaty,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bonusy,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skontá,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dobropisy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pod.)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bez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ohľadu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to,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či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zákazník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mal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vopred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zľavu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nárok,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alebo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či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ide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 dodatočne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uznanú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zľavu.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ind w:left="0" w:hanging="0"/>
        <w:rPr>
          <w:rFonts w:ascii="Arial" w:hAnsi="Arial" w:cs="Arial"/>
          <w:b/>
          <w:b/>
          <w:color w:val="000000" w:themeColor="text1"/>
          <w:szCs w:val="18"/>
          <w:highlight w:val="white"/>
        </w:rPr>
      </w:pPr>
      <w:r>
        <w:rPr>
          <w:rFonts w:cs="Arial" w:ascii="Arial" w:hAnsi="Arial"/>
          <w:b/>
          <w:color w:val="000000" w:themeColor="text1"/>
          <w:szCs w:val="18"/>
          <w:shd w:fill="FFFFFF" w:val="clear"/>
        </w:rPr>
        <w:t>Oprava chýb minulých účtovných období</w:t>
      </w:r>
    </w:p>
    <w:p>
      <w:pPr>
        <w:pStyle w:val="Textbody"/>
        <w:ind w:left="786" w:hanging="0"/>
        <w:rPr>
          <w:rFonts w:ascii="Arial" w:hAnsi="Arial" w:cs="Arial"/>
          <w:b/>
          <w:b/>
          <w:color w:val="000000" w:themeColor="text1"/>
          <w:szCs w:val="18"/>
          <w:shd w:fill="FFFFFF" w:val="clear"/>
        </w:rPr>
      </w:pPr>
      <w:r>
        <w:rPr>
          <w:rFonts w:cs="Arial" w:ascii="Arial" w:hAnsi="Arial"/>
          <w:b/>
          <w:color w:val="000000" w:themeColor="text1"/>
          <w:szCs w:val="18"/>
          <w:shd w:fill="FFFFFF" w:val="clear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  <w:highlight w:val="white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  <w:t>Významné chyby minulých účtovných období účtovaných v bežnom účtovnom období účtuje Spoločnosť vplyvom na nerozdelený zisk minulých rokov alebo na neuhradenú stratu minulých rokov. Nevýznamné chyby minulých účtovných období účtovaných v bežnom účtovnom období účtuje Spoločnosť vplyvom na výsledok hospodárenia bežného účtovného obdobia.</w:t>
      </w:r>
    </w:p>
    <w:p>
      <w:pPr>
        <w:pStyle w:val="Textbody"/>
        <w:ind w:left="450" w:hanging="0"/>
        <w:rPr>
          <w:rFonts w:ascii="Arial" w:hAnsi="Arial" w:cs="Arial"/>
          <w:color w:val="000000" w:themeColor="text1"/>
          <w:szCs w:val="18"/>
          <w:shd w:fill="FFFFFF" w:val="clear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</w:r>
    </w:p>
    <w:p>
      <w:pPr>
        <w:pStyle w:val="Textbody"/>
        <w:ind w:left="450" w:hanging="0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V účtovnom období 2024 Spoločnosť nevykonala žiadne opravy významných chýb minulých účtovných období.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Nadpis1"/>
        <w:numPr>
          <w:ilvl w:val="0"/>
          <w:numId w:val="2"/>
        </w:numPr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informácie o údajoch V súvahE a VýKaze Ziskov A STRÁT</w:t>
      </w:r>
    </w:p>
    <w:p>
      <w:pPr>
        <w:pStyle w:val="Hlavika"/>
        <w:jc w:val="both"/>
        <w:rPr>
          <w:rFonts w:ascii="Arial" w:hAnsi="Arial" w:cs="Arial"/>
          <w:color w:val="000000" w:themeColor="text1"/>
          <w:sz w:val="18"/>
          <w:szCs w:val="18"/>
        </w:rPr>
      </w:pPr>
      <w:r>
        <w:rPr>
          <w:rFonts w:cs="Arial" w:ascii="Arial" w:hAnsi="Arial"/>
          <w:color w:val="000000" w:themeColor="text1"/>
          <w:sz w:val="18"/>
          <w:szCs w:val="18"/>
        </w:rPr>
      </w:r>
    </w:p>
    <w:p>
      <w:pPr>
        <w:pStyle w:val="Nadpis2"/>
        <w:numPr>
          <w:ilvl w:val="0"/>
          <w:numId w:val="8"/>
        </w:numPr>
        <w:suppressAutoHyphens w:val="false"/>
        <w:spacing w:before="120" w:after="120"/>
        <w:jc w:val="both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Goodwill /  záporný goodwill</w:t>
      </w:r>
    </w:p>
    <w:p>
      <w:pPr>
        <w:pStyle w:val="Textbody"/>
        <w:rPr>
          <w:rFonts w:ascii="Arial" w:hAnsi="Arial" w:cs="Arial"/>
          <w:color w:val="000000" w:themeColor="text1"/>
          <w:szCs w:val="18"/>
          <w:highlight w:val="white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  <w:t>Nemá náplň.</w:t>
      </w:r>
    </w:p>
    <w:p>
      <w:pPr>
        <w:pStyle w:val="Standard"/>
        <w:rPr>
          <w:rFonts w:ascii="Arial" w:hAnsi="Arial" w:cs="Arial"/>
          <w:color w:val="000000" w:themeColor="text1"/>
          <w:sz w:val="18"/>
          <w:szCs w:val="18"/>
          <w:shd w:fill="FFFFFF" w:val="clear"/>
        </w:rPr>
      </w:pPr>
      <w:r>
        <w:rPr>
          <w:rFonts w:cs="Arial" w:ascii="Arial" w:hAnsi="Arial"/>
          <w:color w:val="000000" w:themeColor="text1"/>
          <w:sz w:val="18"/>
          <w:szCs w:val="18"/>
          <w:shd w:fill="FFFFFF" w:val="clear"/>
        </w:rPr>
      </w:r>
    </w:p>
    <w:p>
      <w:pPr>
        <w:pStyle w:val="Nadpis2"/>
        <w:numPr>
          <w:ilvl w:val="0"/>
          <w:numId w:val="4"/>
        </w:numPr>
        <w:suppressAutoHyphens w:val="false"/>
        <w:spacing w:before="120" w:after="120"/>
        <w:jc w:val="both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Informácie o významných položkách derivátov, majetku a záväzkoch zabezpečených derivátmi</w:t>
      </w:r>
    </w:p>
    <w:p>
      <w:pPr>
        <w:pStyle w:val="Textbody"/>
        <w:rPr>
          <w:rFonts w:ascii="Arial" w:hAnsi="Arial" w:cs="Arial"/>
          <w:color w:val="000000" w:themeColor="text1"/>
          <w:szCs w:val="18"/>
          <w:highlight w:val="white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  <w:t>Nemá náplň.</w:t>
      </w:r>
    </w:p>
    <w:p>
      <w:pPr>
        <w:pStyle w:val="Hlavika"/>
        <w:jc w:val="both"/>
        <w:rPr>
          <w:rFonts w:ascii="Arial" w:hAnsi="Arial" w:cs="Arial"/>
          <w:color w:val="000000" w:themeColor="text1"/>
          <w:sz w:val="18"/>
          <w:szCs w:val="18"/>
          <w:shd w:fill="FFFFFF" w:val="clear"/>
        </w:rPr>
      </w:pPr>
      <w:r>
        <w:rPr>
          <w:rFonts w:cs="Arial" w:ascii="Arial" w:hAnsi="Arial"/>
          <w:color w:val="000000" w:themeColor="text1"/>
          <w:sz w:val="18"/>
          <w:szCs w:val="18"/>
          <w:shd w:fill="FFFFFF" w:val="clear"/>
        </w:rPr>
      </w:r>
    </w:p>
    <w:p>
      <w:pPr>
        <w:pStyle w:val="Nadpis2"/>
        <w:numPr>
          <w:ilvl w:val="0"/>
          <w:numId w:val="4"/>
        </w:numPr>
        <w:suppressAutoHyphens w:val="false"/>
        <w:spacing w:before="120" w:after="120"/>
        <w:jc w:val="both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Štruktúra záväzkov</w:t>
      </w:r>
    </w:p>
    <w:p>
      <w:pPr>
        <w:pStyle w:val="Textbody"/>
        <w:rPr>
          <w:rStyle w:val="Predvolenpsmoodseku1"/>
          <w:rFonts w:ascii="Arial" w:hAnsi="Arial" w:cs="Arial"/>
          <w:color w:val="000000" w:themeColor="text1"/>
          <w:szCs w:val="18"/>
        </w:rPr>
      </w:pPr>
      <w:r>
        <w:rPr>
          <w:rStyle w:val="Predvolenpsmoodseku1"/>
          <w:rFonts w:cs="Arial" w:ascii="Arial" w:hAnsi="Arial"/>
          <w:color w:val="000000" w:themeColor="text1"/>
          <w:szCs w:val="18"/>
        </w:rPr>
        <w:t>Informácie o záväzkoch bez bankových úverov a finančných výpomocí podľa zostatkovej doby splatnosti je uvedená v nasledujúcom prehľade:</w:t>
      </w:r>
    </w:p>
    <w:p>
      <w:pPr>
        <w:pStyle w:val="Textbody"/>
        <w:rPr>
          <w:rStyle w:val="Predvolenpsmoodseku1"/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tbl>
      <w:tblPr>
        <w:tblW w:w="8798" w:type="dxa"/>
        <w:jc w:val="left"/>
        <w:tblInd w:w="486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076"/>
        <w:gridCol w:w="160"/>
        <w:gridCol w:w="1701"/>
        <w:gridCol w:w="160"/>
        <w:gridCol w:w="1701"/>
      </w:tblGrid>
      <w:tr>
        <w:trPr>
          <w:trHeight w:val="225" w:hRule="atLeast"/>
        </w:trPr>
        <w:tc>
          <w:tcPr>
            <w:tcW w:w="5076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60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701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31. december 2023</w:t>
            </w:r>
          </w:p>
        </w:tc>
        <w:tc>
          <w:tcPr>
            <w:tcW w:w="160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701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31. december 2024</w:t>
            </w:r>
          </w:p>
        </w:tc>
      </w:tr>
      <w:tr>
        <w:trPr>
          <w:trHeight w:val="225" w:hRule="atLeast"/>
        </w:trPr>
        <w:tc>
          <w:tcPr>
            <w:tcW w:w="5076" w:type="dxa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0" w:type="dxa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701" w:type="dxa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60" w:type="dxa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701" w:type="dxa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EUR</w:t>
            </w:r>
          </w:p>
        </w:tc>
      </w:tr>
      <w:tr>
        <w:trPr>
          <w:trHeight w:val="225" w:hRule="atLeast"/>
        </w:trPr>
        <w:tc>
          <w:tcPr>
            <w:tcW w:w="5076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Záväzky po lehote splatnosti</w:t>
            </w:r>
          </w:p>
        </w:tc>
        <w:tc>
          <w:tcPr>
            <w:tcW w:w="160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ind w:left="-238" w:firstLine="238"/>
              <w:rPr>
                <w:rFonts w:ascii="Arial" w:hAnsi="Arial" w:cs="Arial"/>
                <w:color w:val="000000" w:themeColor="text1"/>
                <w:sz w:val="16"/>
                <w:szCs w:val="16"/>
                <w:shd w:fill="FFFF00" w:val="clear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shd w:fill="FFFF00" w:val="clear"/>
                <w:lang w:eastAsia="sk-SK"/>
              </w:rPr>
            </w:r>
          </w:p>
        </w:tc>
        <w:tc>
          <w:tcPr>
            <w:tcW w:w="1701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2 921</w:t>
            </w:r>
          </w:p>
        </w:tc>
        <w:tc>
          <w:tcPr>
            <w:tcW w:w="160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shd w:fill="FFFF00" w:val="clear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shd w:fill="FFFF00" w:val="clear"/>
                <w:lang w:eastAsia="sk-SK"/>
              </w:rPr>
            </w:r>
          </w:p>
        </w:tc>
        <w:tc>
          <w:tcPr>
            <w:tcW w:w="1701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10 148</w:t>
            </w:r>
          </w:p>
        </w:tc>
      </w:tr>
      <w:tr>
        <w:trPr>
          <w:trHeight w:val="225" w:hRule="atLeast"/>
        </w:trPr>
        <w:tc>
          <w:tcPr>
            <w:tcW w:w="5076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Záväzky so zostatkovou dobou splatnosti do 1 roka</w:t>
            </w:r>
          </w:p>
        </w:tc>
        <w:tc>
          <w:tcPr>
            <w:tcW w:w="160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ind w:left="-238" w:firstLine="238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701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295 926</w:t>
            </w:r>
          </w:p>
        </w:tc>
        <w:tc>
          <w:tcPr>
            <w:tcW w:w="160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701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520 233</w:t>
            </w:r>
          </w:p>
        </w:tc>
      </w:tr>
      <w:tr>
        <w:trPr>
          <w:trHeight w:val="240" w:hRule="atLeast"/>
        </w:trPr>
        <w:tc>
          <w:tcPr>
            <w:tcW w:w="5076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  <w:t>Spolu krátkodobé záväzky</w:t>
            </w:r>
          </w:p>
        </w:tc>
        <w:tc>
          <w:tcPr>
            <w:tcW w:w="160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ind w:left="-238" w:firstLine="238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701" w:type="dxa"/>
            <w:tcBorders>
              <w:top w:val="single" w:sz="4" w:space="0" w:color="000001"/>
              <w:bottom w:val="double" w:sz="6" w:space="0" w:color="000001"/>
              <w:insideH w:val="double" w:sz="6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  <w:t>298 847</w:t>
            </w:r>
          </w:p>
        </w:tc>
        <w:tc>
          <w:tcPr>
            <w:tcW w:w="160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701" w:type="dxa"/>
            <w:tcBorders>
              <w:top w:val="single" w:sz="4" w:space="0" w:color="000001"/>
              <w:bottom w:val="double" w:sz="6" w:space="0" w:color="000001"/>
              <w:insideH w:val="double" w:sz="6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highlight w:val="yellow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  <w:t>530 381</w:t>
            </w:r>
          </w:p>
        </w:tc>
      </w:tr>
      <w:tr>
        <w:trPr>
          <w:trHeight w:val="240" w:hRule="atLeast"/>
        </w:trPr>
        <w:tc>
          <w:tcPr>
            <w:tcW w:w="5076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60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ind w:left="-238" w:firstLine="238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701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60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701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</w:r>
          </w:p>
        </w:tc>
      </w:tr>
      <w:tr>
        <w:trPr>
          <w:trHeight w:val="225" w:hRule="atLeast"/>
        </w:trPr>
        <w:tc>
          <w:tcPr>
            <w:tcW w:w="5076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Záväzky so zostatkovou dobou splatnosti 1 až 5 rokov</w:t>
            </w:r>
          </w:p>
        </w:tc>
        <w:tc>
          <w:tcPr>
            <w:tcW w:w="160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ind w:left="-238" w:firstLine="238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701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0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701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25" w:hRule="atLeast"/>
        </w:trPr>
        <w:tc>
          <w:tcPr>
            <w:tcW w:w="5076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Záväzky so zostatkovou dobou splatnosti dlhšou ako 5 rokov</w:t>
            </w:r>
          </w:p>
        </w:tc>
        <w:tc>
          <w:tcPr>
            <w:tcW w:w="160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ind w:left="-238" w:firstLine="238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701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100 000</w:t>
            </w:r>
          </w:p>
        </w:tc>
        <w:tc>
          <w:tcPr>
            <w:tcW w:w="160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701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100 000</w:t>
            </w:r>
          </w:p>
        </w:tc>
      </w:tr>
      <w:tr>
        <w:trPr>
          <w:trHeight w:val="240" w:hRule="atLeast"/>
        </w:trPr>
        <w:tc>
          <w:tcPr>
            <w:tcW w:w="5076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  <w:t>Spolu dlhodobé záväzky</w:t>
            </w:r>
          </w:p>
        </w:tc>
        <w:tc>
          <w:tcPr>
            <w:tcW w:w="160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ind w:left="-238" w:firstLine="238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701" w:type="dxa"/>
            <w:tcBorders>
              <w:top w:val="single" w:sz="4" w:space="0" w:color="000001"/>
              <w:bottom w:val="double" w:sz="6" w:space="0" w:color="000001"/>
              <w:insideH w:val="double" w:sz="6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  <w:t>100 000</w:t>
            </w:r>
          </w:p>
        </w:tc>
        <w:tc>
          <w:tcPr>
            <w:tcW w:w="160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701" w:type="dxa"/>
            <w:tcBorders>
              <w:top w:val="single" w:sz="4" w:space="0" w:color="000001"/>
              <w:bottom w:val="double" w:sz="6" w:space="0" w:color="000001"/>
              <w:insideH w:val="double" w:sz="6" w:space="0" w:color="000001"/>
            </w:tcBorders>
            <w:shd w:fill="auto" w:val="clear"/>
            <w:vAlign w:val="center"/>
          </w:tcPr>
          <w:p>
            <w:pPr>
              <w:pStyle w:val="Standard"/>
              <w:numPr>
                <w:ilvl w:val="0"/>
                <w:numId w:val="10"/>
              </w:numPr>
              <w:suppressAutoHyphens w:val="false"/>
              <w:snapToGrid w:val="false"/>
              <w:jc w:val="right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  <w:t>000</w:t>
            </w:r>
          </w:p>
        </w:tc>
      </w:tr>
    </w:tbl>
    <w:p>
      <w:pPr>
        <w:pStyle w:val="Standard"/>
        <w:ind w:left="426" w:hanging="0"/>
        <w:jc w:val="both"/>
        <w:rPr>
          <w:rFonts w:ascii="Arial" w:hAnsi="Arial" w:eastAsia="MS Gothic" w:cs="Arial"/>
          <w:color w:val="000000" w:themeColor="text1"/>
          <w:sz w:val="18"/>
          <w:szCs w:val="18"/>
        </w:rPr>
      </w:pPr>
      <w:r>
        <w:rPr>
          <w:rFonts w:eastAsia="MS Gothic" w:cs="Arial" w:ascii="Arial" w:hAnsi="Arial"/>
          <w:color w:val="000000" w:themeColor="text1"/>
          <w:sz w:val="18"/>
          <w:szCs w:val="18"/>
        </w:rPr>
      </w:r>
    </w:p>
    <w:p>
      <w:pPr>
        <w:pStyle w:val="Standard"/>
        <w:rPr>
          <w:rFonts w:ascii="Arial" w:hAnsi="Arial" w:eastAsia="MS Gothic" w:cs="Arial"/>
          <w:color w:val="000000" w:themeColor="text1"/>
          <w:sz w:val="18"/>
          <w:szCs w:val="18"/>
        </w:rPr>
      </w:pPr>
      <w:r>
        <w:rPr>
          <w:rFonts w:eastAsia="MS Gothic" w:cs="Arial" w:ascii="Arial" w:hAnsi="Arial"/>
          <w:color w:val="000000" w:themeColor="text1"/>
          <w:sz w:val="18"/>
          <w:szCs w:val="18"/>
        </w:rPr>
      </w:r>
    </w:p>
    <w:p>
      <w:pPr>
        <w:pStyle w:val="Textbody"/>
        <w:rPr>
          <w:rStyle w:val="Predvolenpsmoodseku1"/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tbl>
      <w:tblPr>
        <w:tblW w:w="8788" w:type="dxa"/>
        <w:jc w:val="left"/>
        <w:tblInd w:w="426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86"/>
        <w:gridCol w:w="1618"/>
        <w:gridCol w:w="1784"/>
      </w:tblGrid>
      <w:tr>
        <w:trPr/>
        <w:tc>
          <w:tcPr>
            <w:tcW w:w="5386" w:type="dxa"/>
            <w:tcBorders/>
            <w:shd w:color="auto" w:fill="auto" w:val="clear"/>
          </w:tcPr>
          <w:p>
            <w:pPr>
              <w:pStyle w:val="Normal"/>
              <w:ind w:left="-114" w:hanging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18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31. december 2023</w:t>
            </w:r>
          </w:p>
          <w:p>
            <w:pPr>
              <w:pStyle w:val="Standard"/>
              <w:suppressAutoHyphens w:val="false"/>
              <w:snapToGrid w:val="false"/>
              <w:ind w:left="-238" w:firstLine="238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 xml:space="preserve">EUR </w:t>
            </w:r>
          </w:p>
        </w:tc>
        <w:tc>
          <w:tcPr>
            <w:tcW w:w="1784" w:type="dxa"/>
            <w:tcBorders>
              <w:bottom w:val="single" w:sz="4" w:space="0" w:color="00000A"/>
              <w:insideH w:val="single" w:sz="4" w:space="0" w:color="00000A"/>
            </w:tcBorders>
            <w:shd w:color="auto"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31. december 2024</w:t>
            </w:r>
          </w:p>
          <w:p>
            <w:pPr>
              <w:pStyle w:val="Standard"/>
              <w:suppressAutoHyphens w:val="false"/>
              <w:snapToGrid w:val="false"/>
              <w:ind w:left="-238" w:firstLine="238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 xml:space="preserve">EUR </w:t>
            </w:r>
          </w:p>
        </w:tc>
      </w:tr>
      <w:tr>
        <w:trPr/>
        <w:tc>
          <w:tcPr>
            <w:tcW w:w="5386" w:type="dxa"/>
            <w:tcBorders/>
            <w:shd w:color="auto" w:fill="auto" w:val="clear"/>
          </w:tcPr>
          <w:p>
            <w:pPr>
              <w:pStyle w:val="Standard"/>
              <w:suppressAutoHyphens w:val="false"/>
              <w:snapToGrid w:val="false"/>
              <w:ind w:left="-238" w:firstLine="238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Celková suma záväzkov so zostatkovou dobou splatnosti nad päť rokov</w:t>
            </w:r>
          </w:p>
        </w:tc>
        <w:tc>
          <w:tcPr>
            <w:tcW w:w="1618" w:type="dxa"/>
            <w:tcBorders>
              <w:top w:val="single" w:sz="4" w:space="0" w:color="00000A"/>
            </w:tcBorders>
            <w:shd w:color="auto"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84" w:type="dxa"/>
            <w:tcBorders>
              <w:top w:val="single" w:sz="4" w:space="0" w:color="00000A"/>
            </w:tcBorders>
            <w:shd w:color="auto"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ind w:left="-238" w:firstLine="2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20 350</w:t>
            </w:r>
          </w:p>
        </w:tc>
      </w:tr>
    </w:tbl>
    <w:p>
      <w:pPr>
        <w:pStyle w:val="Standard"/>
        <w:suppressAutoHyphens w:val="false"/>
        <w:snapToGrid w:val="false"/>
        <w:ind w:left="-238" w:firstLine="238"/>
        <w:rPr>
          <w:rFonts w:ascii="Arial" w:hAnsi="Arial" w:cs="Arial"/>
          <w:color w:val="000000" w:themeColor="text1"/>
          <w:sz w:val="16"/>
          <w:szCs w:val="16"/>
          <w:lang w:eastAsia="sk-SK"/>
        </w:rPr>
      </w:pPr>
      <w:r>
        <w:rPr>
          <w:rFonts w:cs="Arial" w:ascii="Arial" w:hAnsi="Arial"/>
          <w:color w:val="000000" w:themeColor="text1"/>
          <w:sz w:val="16"/>
          <w:szCs w:val="16"/>
          <w:lang w:eastAsia="sk-SK"/>
        </w:rPr>
      </w:r>
    </w:p>
    <w:p>
      <w:pPr>
        <w:pStyle w:val="Standard"/>
        <w:suppressAutoHyphens w:val="false"/>
        <w:snapToGrid w:val="false"/>
        <w:ind w:left="-238" w:firstLine="238"/>
        <w:rPr>
          <w:rFonts w:ascii="Arial" w:hAnsi="Arial" w:cs="Arial"/>
          <w:color w:val="000000" w:themeColor="text1"/>
          <w:sz w:val="16"/>
          <w:szCs w:val="16"/>
          <w:lang w:eastAsia="sk-SK"/>
        </w:rPr>
      </w:pPr>
      <w:r>
        <w:rPr>
          <w:rFonts w:cs="Arial" w:ascii="Arial" w:hAnsi="Arial"/>
          <w:color w:val="000000" w:themeColor="text1"/>
          <w:sz w:val="16"/>
          <w:szCs w:val="16"/>
          <w:lang w:eastAsia="sk-SK"/>
        </w:rPr>
      </w:r>
    </w:p>
    <w:p>
      <w:pPr>
        <w:pStyle w:val="Telotextu"/>
        <w:ind w:left="708" w:hanging="0"/>
        <w:rPr>
          <w:rFonts w:ascii="Arial" w:hAnsi="Arial" w:cs="Arial"/>
          <w:szCs w:val="18"/>
        </w:rPr>
      </w:pPr>
      <w:r>
        <w:rPr>
          <w:rFonts w:cs="Arial" w:ascii="Arial" w:hAnsi="Arial"/>
          <w:szCs w:val="18"/>
        </w:rPr>
      </w:r>
    </w:p>
    <w:p>
      <w:pPr>
        <w:pStyle w:val="Textbody"/>
        <w:rPr>
          <w:rStyle w:val="Predvolenpsmoodseku1"/>
          <w:rFonts w:ascii="Arial" w:hAnsi="Arial" w:cs="Arial"/>
          <w:color w:val="000000" w:themeColor="text1"/>
          <w:szCs w:val="18"/>
        </w:rPr>
      </w:pPr>
      <w:r>
        <w:rPr>
          <w:rStyle w:val="Predvolenpsmoodseku1"/>
          <w:rFonts w:cs="Arial" w:ascii="Arial" w:hAnsi="Arial"/>
          <w:color w:val="000000" w:themeColor="text1"/>
          <w:szCs w:val="18"/>
        </w:rPr>
        <w:t>Spoločnosť neeviduje žiadne zabezpečené záväzky.</w:t>
      </w:r>
    </w:p>
    <w:p>
      <w:pPr>
        <w:pStyle w:val="Textbody"/>
        <w:rPr>
          <w:rStyle w:val="Predvolenpsmoodseku1"/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Style w:val="Predvolenpsmoodseku1"/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Style w:val="Predvolenpsmoodseku1"/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Style w:val="Predvolenpsmoodseku1"/>
          <w:rFonts w:cs="Arial" w:ascii="Arial" w:hAnsi="Arial"/>
          <w:color w:val="000000" w:themeColor="text1"/>
          <w:szCs w:val="18"/>
        </w:rPr>
        <w:t>V rámc</w:t>
      </w:r>
      <w:r>
        <w:rPr>
          <w:rStyle w:val="Predvolenpsmoodseku1"/>
          <w:rFonts w:cs="Arial" w:ascii="Arial" w:hAnsi="Arial"/>
          <w:color w:val="000000" w:themeColor="text1"/>
          <w:szCs w:val="18"/>
          <w:shd w:fill="FFFFFF" w:val="clear"/>
        </w:rPr>
        <w:t>i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  <w:shd w:fill="FFFFFF" w:val="clear"/>
        </w:rPr>
        <w:t>krátkodobých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  <w:shd w:fill="FFFFFF" w:val="clear"/>
        </w:rPr>
        <w:t>a dlhodobých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  <w:shd w:fill="FFFFFF" w:val="clear"/>
        </w:rPr>
        <w:t>záväzkov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  <w:shd w:fill="FFFFFF" w:val="clear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  <w:shd w:fill="FFFFFF" w:val="clear"/>
        </w:rPr>
        <w:t>Spolo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čnosť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eviduje aj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 xml:space="preserve"> záväzky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z finančného</w:t>
      </w:r>
      <w:r>
        <w:rPr>
          <w:rStyle w:val="Predvolenpsmoodseku1"/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Style w:val="Predvolenpsmoodseku1"/>
          <w:rFonts w:cs="Arial" w:ascii="Arial" w:hAnsi="Arial"/>
          <w:color w:val="000000" w:themeColor="text1"/>
          <w:szCs w:val="18"/>
        </w:rPr>
        <w:t>lízingu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tbl>
      <w:tblPr>
        <w:tblW w:w="8982" w:type="dxa"/>
        <w:jc w:val="left"/>
        <w:tblInd w:w="486" w:type="dxa"/>
        <w:tblBorders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1120"/>
        <w:gridCol w:w="864"/>
        <w:gridCol w:w="1187"/>
        <w:gridCol w:w="1275"/>
        <w:gridCol w:w="993"/>
        <w:gridCol w:w="1275"/>
        <w:gridCol w:w="1276"/>
        <w:gridCol w:w="991"/>
      </w:tblGrid>
      <w:tr>
        <w:trPr>
          <w:trHeight w:val="225" w:hRule="atLeast"/>
        </w:trPr>
        <w:tc>
          <w:tcPr>
            <w:tcW w:w="1120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864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3455" w:type="dxa"/>
            <w:gridSpan w:val="3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highlight w:val="white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shd w:fill="FFFFFF" w:val="clear"/>
                <w:lang w:eastAsia="sk-SK"/>
              </w:rPr>
              <w:t>31. december 2023</w:t>
            </w:r>
          </w:p>
        </w:tc>
        <w:tc>
          <w:tcPr>
            <w:tcW w:w="3542" w:type="dxa"/>
            <w:gridSpan w:val="3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highlight w:val="white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shd w:fill="FFFFFF" w:val="clear"/>
                <w:lang w:eastAsia="sk-SK"/>
              </w:rPr>
              <w:t>31. december 2024</w:t>
            </w:r>
          </w:p>
        </w:tc>
      </w:tr>
      <w:tr>
        <w:trPr>
          <w:trHeight w:val="225" w:hRule="atLeast"/>
        </w:trPr>
        <w:tc>
          <w:tcPr>
            <w:tcW w:w="1120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rPr>
                <w:rFonts w:ascii="Arial" w:hAnsi="Arial" w:cs="Arial"/>
                <w:color w:val="000000" w:themeColor="text1"/>
                <w:sz w:val="16"/>
                <w:szCs w:val="16"/>
                <w:shd w:fill="FFFF00" w:val="clear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shd w:fill="FFFF00" w:val="clear"/>
                <w:lang w:eastAsia="sk-SK"/>
              </w:rPr>
            </w:r>
          </w:p>
        </w:tc>
        <w:tc>
          <w:tcPr>
            <w:tcW w:w="864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rPr>
                <w:rFonts w:ascii="Arial" w:hAnsi="Arial" w:cs="Arial"/>
                <w:color w:val="000000" w:themeColor="text1"/>
                <w:sz w:val="16"/>
                <w:szCs w:val="16"/>
                <w:shd w:fill="FFFF00" w:val="clear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shd w:fill="FFFF00" w:val="clear"/>
                <w:lang w:eastAsia="sk-SK"/>
              </w:rPr>
            </w:r>
          </w:p>
        </w:tc>
        <w:tc>
          <w:tcPr>
            <w:tcW w:w="1187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shd w:fill="FFFF00" w:val="clear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shd w:fill="FFFF00" w:val="clear"/>
                <w:lang w:eastAsia="sk-SK"/>
              </w:rPr>
            </w:r>
          </w:p>
        </w:tc>
        <w:tc>
          <w:tcPr>
            <w:tcW w:w="1275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Splatnosť</w:t>
            </w:r>
          </w:p>
        </w:tc>
        <w:tc>
          <w:tcPr>
            <w:tcW w:w="993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275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276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Splatnosť</w:t>
            </w:r>
          </w:p>
        </w:tc>
        <w:tc>
          <w:tcPr>
            <w:tcW w:w="991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</w:tr>
      <w:tr>
        <w:trPr>
          <w:trHeight w:val="225" w:hRule="atLeast"/>
        </w:trPr>
        <w:tc>
          <w:tcPr>
            <w:tcW w:w="1120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864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do jedného roka</w:t>
            </w:r>
          </w:p>
        </w:tc>
        <w:tc>
          <w:tcPr>
            <w:tcW w:w="1275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od jedného roka</w:t>
            </w:r>
          </w:p>
        </w:tc>
        <w:tc>
          <w:tcPr>
            <w:tcW w:w="993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viac ako päť</w:t>
            </w:r>
          </w:p>
        </w:tc>
        <w:tc>
          <w:tcPr>
            <w:tcW w:w="1275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do jedného roka</w:t>
            </w:r>
          </w:p>
        </w:tc>
        <w:tc>
          <w:tcPr>
            <w:tcW w:w="1276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od jedného roka</w:t>
            </w:r>
          </w:p>
        </w:tc>
        <w:tc>
          <w:tcPr>
            <w:tcW w:w="991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viac ako päť</w:t>
            </w:r>
          </w:p>
        </w:tc>
      </w:tr>
      <w:tr>
        <w:trPr>
          <w:trHeight w:val="225" w:hRule="atLeast"/>
        </w:trPr>
        <w:tc>
          <w:tcPr>
            <w:tcW w:w="1120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864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vrátane</w:t>
            </w:r>
          </w:p>
        </w:tc>
        <w:tc>
          <w:tcPr>
            <w:tcW w:w="1275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do piatich rokov</w:t>
            </w:r>
          </w:p>
        </w:tc>
        <w:tc>
          <w:tcPr>
            <w:tcW w:w="993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rokov</w:t>
            </w:r>
          </w:p>
        </w:tc>
        <w:tc>
          <w:tcPr>
            <w:tcW w:w="1275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vrátane</w:t>
            </w:r>
          </w:p>
        </w:tc>
        <w:tc>
          <w:tcPr>
            <w:tcW w:w="1276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do piatich rokov</w:t>
            </w:r>
          </w:p>
        </w:tc>
        <w:tc>
          <w:tcPr>
            <w:tcW w:w="991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rokov</w:t>
            </w:r>
          </w:p>
        </w:tc>
      </w:tr>
      <w:tr>
        <w:trPr>
          <w:trHeight w:val="225" w:hRule="atLeast"/>
        </w:trPr>
        <w:tc>
          <w:tcPr>
            <w:tcW w:w="1120" w:type="dxa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864" w:type="dxa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275" w:type="dxa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vrátane</w:t>
            </w:r>
          </w:p>
        </w:tc>
        <w:tc>
          <w:tcPr>
            <w:tcW w:w="993" w:type="dxa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275" w:type="dxa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276" w:type="dxa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vrátane</w:t>
            </w:r>
          </w:p>
        </w:tc>
        <w:tc>
          <w:tcPr>
            <w:tcW w:w="991" w:type="dxa"/>
            <w:tcBorders>
              <w:bottom w:val="single" w:sz="4" w:space="0" w:color="000001"/>
              <w:insideH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center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</w:tr>
      <w:tr>
        <w:trPr>
          <w:trHeight w:val="225" w:hRule="atLeast"/>
        </w:trPr>
        <w:tc>
          <w:tcPr>
            <w:tcW w:w="1120" w:type="dxa"/>
            <w:tcBorders>
              <w:top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Istina</w:t>
            </w:r>
          </w:p>
        </w:tc>
        <w:tc>
          <w:tcPr>
            <w:tcW w:w="864" w:type="dxa"/>
            <w:tcBorders>
              <w:top w:val="single" w:sz="4" w:space="0" w:color="000001"/>
            </w:tcBorders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3 699</w:t>
            </w:r>
          </w:p>
        </w:tc>
        <w:tc>
          <w:tcPr>
            <w:tcW w:w="1276" w:type="dxa"/>
            <w:tcBorders>
              <w:top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9 690</w:t>
            </w:r>
          </w:p>
        </w:tc>
        <w:tc>
          <w:tcPr>
            <w:tcW w:w="991" w:type="dxa"/>
            <w:tcBorders>
              <w:top w:val="single" w:sz="4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25" w:hRule="atLeast"/>
        </w:trPr>
        <w:tc>
          <w:tcPr>
            <w:tcW w:w="1984" w:type="dxa"/>
            <w:gridSpan w:val="2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Finančný náklad</w:t>
            </w:r>
          </w:p>
        </w:tc>
        <w:tc>
          <w:tcPr>
            <w:tcW w:w="1187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517</w:t>
            </w:r>
          </w:p>
        </w:tc>
        <w:tc>
          <w:tcPr>
            <w:tcW w:w="1276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523</w:t>
            </w:r>
          </w:p>
        </w:tc>
        <w:tc>
          <w:tcPr>
            <w:tcW w:w="991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40" w:hRule="atLeast"/>
        </w:trPr>
        <w:tc>
          <w:tcPr>
            <w:tcW w:w="1120" w:type="dxa"/>
            <w:tcBorders/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864" w:type="dxa"/>
            <w:tcBorders/>
            <w:shd w:fill="auto" w:val="clear"/>
            <w:vAlign w:val="bottom"/>
          </w:tcPr>
          <w:p>
            <w:pPr>
              <w:pStyle w:val="Standard"/>
              <w:suppressAutoHyphens w:val="false"/>
              <w:snapToGrid w:val="false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</w:r>
          </w:p>
        </w:tc>
        <w:tc>
          <w:tcPr>
            <w:tcW w:w="1187" w:type="dxa"/>
            <w:tcBorders>
              <w:top w:val="single" w:sz="4" w:space="0" w:color="000001"/>
              <w:bottom w:val="double" w:sz="6" w:space="0" w:color="000001"/>
              <w:insideH w:val="double" w:sz="6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1"/>
              <w:bottom w:val="double" w:sz="6" w:space="0" w:color="000001"/>
              <w:insideH w:val="double" w:sz="6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4" w:space="0" w:color="000001"/>
              <w:bottom w:val="double" w:sz="6" w:space="0" w:color="000001"/>
              <w:insideH w:val="double" w:sz="6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single" w:sz="4" w:space="0" w:color="000001"/>
              <w:bottom w:val="double" w:sz="6" w:space="0" w:color="000001"/>
              <w:insideH w:val="double" w:sz="6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  <w:t>4 216</w:t>
            </w:r>
          </w:p>
        </w:tc>
        <w:tc>
          <w:tcPr>
            <w:tcW w:w="1276" w:type="dxa"/>
            <w:tcBorders>
              <w:top w:val="single" w:sz="4" w:space="0" w:color="000001"/>
              <w:bottom w:val="double" w:sz="6" w:space="0" w:color="000001"/>
              <w:insideH w:val="double" w:sz="6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  <w:t>10 213</w:t>
            </w:r>
          </w:p>
        </w:tc>
        <w:tc>
          <w:tcPr>
            <w:tcW w:w="991" w:type="dxa"/>
            <w:tcBorders>
              <w:top w:val="single" w:sz="4" w:space="0" w:color="000001"/>
              <w:bottom w:val="double" w:sz="6" w:space="0" w:color="000001"/>
              <w:insideH w:val="double" w:sz="6" w:space="0" w:color="000001"/>
            </w:tcBorders>
            <w:shd w:fill="auto" w:val="clear"/>
            <w:vAlign w:val="center"/>
          </w:tcPr>
          <w:p>
            <w:pPr>
              <w:pStyle w:val="Standard"/>
              <w:suppressAutoHyphens w:val="false"/>
              <w:snapToGrid w:val="false"/>
              <w:jc w:val="right"/>
              <w:rPr>
                <w:rFonts w:ascii="Arial" w:hAnsi="Arial" w:cs="Arial"/>
                <w:b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 w:themeColor="text1"/>
                <w:sz w:val="16"/>
                <w:szCs w:val="16"/>
                <w:lang w:eastAsia="sk-SK"/>
              </w:rPr>
              <w:t>0</w:t>
            </w:r>
          </w:p>
        </w:tc>
      </w:tr>
    </w:tbl>
    <w:p>
      <w:pPr>
        <w:pStyle w:val="Standard"/>
        <w:rPr>
          <w:rFonts w:ascii="Arial" w:hAnsi="Arial" w:eastAsia="MS Gothic" w:cs="Arial"/>
          <w:color w:val="000000" w:themeColor="text1"/>
          <w:sz w:val="18"/>
          <w:szCs w:val="18"/>
        </w:rPr>
      </w:pPr>
      <w:r>
        <w:rPr>
          <w:rFonts w:eastAsia="MS Gothic" w:cs="Arial" w:ascii="Arial" w:hAnsi="Arial"/>
          <w:color w:val="000000" w:themeColor="text1"/>
          <w:sz w:val="18"/>
          <w:szCs w:val="18"/>
        </w:rPr>
      </w:r>
    </w:p>
    <w:p>
      <w:pPr>
        <w:pStyle w:val="Standard"/>
        <w:rPr>
          <w:rFonts w:ascii="Arial" w:hAnsi="Arial" w:eastAsia="MS Gothic" w:cs="Arial"/>
          <w:color w:val="000000" w:themeColor="text1"/>
          <w:sz w:val="18"/>
          <w:szCs w:val="18"/>
        </w:rPr>
      </w:pPr>
      <w:r>
        <w:rPr>
          <w:rFonts w:eastAsia="MS Gothic" w:cs="Arial" w:ascii="Arial" w:hAnsi="Arial"/>
          <w:color w:val="000000" w:themeColor="text1"/>
          <w:sz w:val="18"/>
          <w:szCs w:val="18"/>
        </w:rPr>
      </w:r>
    </w:p>
    <w:p>
      <w:pPr>
        <w:pStyle w:val="Nadpis2"/>
        <w:numPr>
          <w:ilvl w:val="0"/>
          <w:numId w:val="4"/>
        </w:numPr>
        <w:suppressAutoHyphens w:val="false"/>
        <w:spacing w:before="360" w:after="120"/>
        <w:jc w:val="both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Informácie o vlastných akciách</w:t>
      </w:r>
      <w:bookmarkStart w:id="9" w:name="_1066667455"/>
      <w:bookmarkStart w:id="10" w:name="_1066667704"/>
      <w:bookmarkStart w:id="11" w:name="_1066667723"/>
      <w:bookmarkStart w:id="12" w:name="_1066667736"/>
      <w:bookmarkStart w:id="13" w:name="_1066667876"/>
      <w:bookmarkStart w:id="14" w:name="_1066667900"/>
      <w:bookmarkStart w:id="15" w:name="_1066667955"/>
      <w:bookmarkStart w:id="16" w:name="_1066749303"/>
      <w:bookmarkStart w:id="17" w:name="_1094479584"/>
      <w:bookmarkStart w:id="18" w:name="_1122617700"/>
      <w:bookmarkStart w:id="19" w:name="_1127126523"/>
      <w:bookmarkStart w:id="20" w:name="_1154781652"/>
      <w:bookmarkStart w:id="21" w:name="_1154949732"/>
      <w:bookmarkStart w:id="22" w:name="_1160252225"/>
      <w:bookmarkStart w:id="23" w:name="_1160252252"/>
      <w:bookmarkStart w:id="24" w:name="_1160915469"/>
      <w:bookmarkStart w:id="25" w:name="_1202546277"/>
      <w:bookmarkStart w:id="26" w:name="_1202650900"/>
      <w:bookmarkStart w:id="27" w:name="_1232880286"/>
      <w:bookmarkStart w:id="28" w:name="_1232880708"/>
      <w:bookmarkStart w:id="29" w:name="_1266261068"/>
      <w:bookmarkStart w:id="30" w:name="_1297249357"/>
      <w:bookmarkStart w:id="31" w:name="_1297250222"/>
      <w:bookmarkStart w:id="32" w:name="_1297249519"/>
      <w:bookmarkStart w:id="33" w:name="_1232880486"/>
      <w:bookmarkStart w:id="34" w:name="_1202650541"/>
      <w:bookmarkStart w:id="35" w:name="_1202650474"/>
      <w:bookmarkStart w:id="36" w:name="_1202546948"/>
      <w:bookmarkStart w:id="37" w:name="_1202546787"/>
      <w:bookmarkStart w:id="38" w:name="_1169459306"/>
      <w:bookmarkStart w:id="39" w:name="_1160915493"/>
      <w:bookmarkStart w:id="40" w:name="_1160255582"/>
      <w:r>
        <w:rPr>
          <w:rFonts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b w:val="false"/>
          <w:bCs/>
          <w:color w:val="000000" w:themeColor="text1"/>
          <w:szCs w:val="18"/>
        </w:rPr>
        <w:t>- ne</w:t>
      </w:r>
      <w:r>
        <w:rPr>
          <w:rFonts w:cs="Arial" w:ascii="Arial" w:hAnsi="Arial"/>
          <w:b w:val="false"/>
          <w:bCs/>
          <w:color w:val="000000" w:themeColor="text1"/>
          <w:szCs w:val="18"/>
          <w:shd w:fill="FFFFFF" w:val="clear"/>
        </w:rPr>
        <w:t>má náplň.</w:t>
      </w:r>
    </w:p>
    <w:p>
      <w:pPr>
        <w:pStyle w:val="Nadpis2"/>
        <w:numPr>
          <w:ilvl w:val="0"/>
          <w:numId w:val="4"/>
        </w:numPr>
        <w:suppressAutoHyphens w:val="false"/>
        <w:spacing w:before="120" w:after="120"/>
        <w:jc w:val="both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  <w:t xml:space="preserve">Informácie o výnosoch a nákladoch, ktoré majú výnimočný rozsah alebo výskyt </w:t>
      </w:r>
      <w:r>
        <w:rPr>
          <w:rFonts w:cs="Arial" w:ascii="Arial" w:hAnsi="Arial"/>
          <w:b w:val="false"/>
          <w:bCs/>
          <w:color w:val="000000" w:themeColor="text1"/>
          <w:szCs w:val="18"/>
          <w:shd w:fill="FFFFFF" w:val="clear"/>
        </w:rPr>
        <w:t>- nemá náplň.</w:t>
      </w:r>
    </w:p>
    <w:p>
      <w:pPr>
        <w:pStyle w:val="Nadpis1"/>
        <w:numPr>
          <w:ilvl w:val="0"/>
          <w:numId w:val="0"/>
        </w:numPr>
        <w:rPr>
          <w:rFonts w:ascii="Arial" w:hAnsi="Arial" w:eastAsia="SimSun, 宋体" w:cs="Arial"/>
          <w:color w:val="000000" w:themeColor="text1"/>
          <w:szCs w:val="18"/>
          <w:shd w:fill="FFFFFF" w:val="clear"/>
        </w:rPr>
      </w:pPr>
      <w:r>
        <w:rPr>
          <w:rFonts w:eastAsia="SimSun, 宋体" w:cs="Arial" w:ascii="Arial" w:hAnsi="Arial"/>
          <w:color w:val="000000" w:themeColor="text1"/>
          <w:szCs w:val="18"/>
          <w:shd w:fill="FFFFFF" w:val="clear"/>
        </w:rPr>
      </w:r>
    </w:p>
    <w:p>
      <w:pPr>
        <w:pStyle w:val="Standard"/>
        <w:rPr>
          <w:rFonts w:ascii="Arial" w:hAnsi="Arial" w:eastAsia="SimSun, 宋体" w:cs="Arial"/>
          <w:b/>
          <w:b/>
          <w:caps/>
          <w:color w:val="000000" w:themeColor="text1"/>
          <w:sz w:val="18"/>
          <w:szCs w:val="18"/>
          <w:shd w:fill="FFFFFF" w:val="clear"/>
          <w:lang w:bidi="hi-IN"/>
        </w:rPr>
      </w:pPr>
      <w:r>
        <w:rPr>
          <w:rFonts w:eastAsia="SimSun, 宋体" w:cs="Arial" w:ascii="Arial" w:hAnsi="Arial"/>
          <w:b/>
          <w:caps/>
          <w:color w:val="000000" w:themeColor="text1"/>
          <w:sz w:val="18"/>
          <w:szCs w:val="18"/>
          <w:shd w:fill="FFFFFF" w:val="clear"/>
          <w:lang w:bidi="hi-IN"/>
        </w:rPr>
      </w:r>
    </w:p>
    <w:p>
      <w:pPr>
        <w:pStyle w:val="Nadpis1"/>
        <w:numPr>
          <w:ilvl w:val="0"/>
          <w:numId w:val="2"/>
        </w:numPr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Informácie o iných aktívach a iných pasívach</w:t>
      </w:r>
    </w:p>
    <w:p>
      <w:pPr>
        <w:pStyle w:val="Nadpis2"/>
        <w:numPr>
          <w:ilvl w:val="0"/>
          <w:numId w:val="9"/>
        </w:numPr>
        <w:suppressAutoHyphens w:val="false"/>
        <w:spacing w:before="240" w:after="120"/>
        <w:jc w:val="both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Podmienený majetok</w:t>
      </w:r>
      <w:r>
        <w:rPr>
          <w:rFonts w:cs="Arial" w:ascii="Arial" w:hAnsi="Arial"/>
          <w:b w:val="false"/>
          <w:color w:val="000000" w:themeColor="text1"/>
          <w:szCs w:val="18"/>
        </w:rPr>
        <w:t xml:space="preserve"> - nemá náplň.</w:t>
      </w:r>
    </w:p>
    <w:p>
      <w:pPr>
        <w:pStyle w:val="Nadpis2"/>
        <w:numPr>
          <w:ilvl w:val="0"/>
          <w:numId w:val="9"/>
        </w:numPr>
        <w:suppressAutoHyphens w:val="false"/>
        <w:spacing w:before="120" w:after="120"/>
        <w:jc w:val="both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Podmienené záväzky</w:t>
      </w:r>
    </w:p>
    <w:p>
      <w:pPr>
        <w:pStyle w:val="Textbody"/>
        <w:rPr>
          <w:rFonts w:ascii="Arial" w:hAnsi="Arial" w:cs="Arial"/>
          <w:color w:val="000000" w:themeColor="text1"/>
          <w:szCs w:val="18"/>
          <w:highlight w:val="white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  <w:t>Spoločnosť nemá podmienené záväzky, ktoré sa nesledujú v bežnom účtovníctve a neuvádzajú sa v súvahe.</w:t>
      </w:r>
    </w:p>
    <w:p>
      <w:pPr>
        <w:pStyle w:val="Textbody"/>
        <w:rPr>
          <w:rFonts w:ascii="Arial" w:hAnsi="Arial" w:cs="Arial"/>
          <w:color w:val="000000" w:themeColor="text1"/>
          <w:szCs w:val="18"/>
          <w:shd w:fill="FFFFFF" w:val="clear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</w:r>
    </w:p>
    <w:p>
      <w:pPr>
        <w:pStyle w:val="Textbody"/>
        <w:rPr>
          <w:rFonts w:ascii="Arial" w:hAnsi="Arial" w:cs="Arial"/>
          <w:color w:val="000000" w:themeColor="text1"/>
          <w:szCs w:val="18"/>
          <w:highlight w:val="white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>
      <w:pPr>
        <w:pStyle w:val="Textbody"/>
        <w:rPr>
          <w:rFonts w:ascii="Arial" w:hAnsi="Arial" w:cs="Arial"/>
          <w:color w:val="000000" w:themeColor="text1"/>
          <w:szCs w:val="18"/>
          <w:shd w:fill="FFFFFF" w:val="clear"/>
        </w:rPr>
      </w:pPr>
      <w:r>
        <w:rPr>
          <w:rFonts w:cs="Arial" w:ascii="Arial" w:hAnsi="Arial"/>
          <w:color w:val="000000" w:themeColor="text1"/>
          <w:szCs w:val="18"/>
          <w:shd w:fill="FFFFFF" w:val="clear"/>
        </w:rPr>
      </w:r>
    </w:p>
    <w:p>
      <w:pPr>
        <w:pStyle w:val="Nadpis2"/>
        <w:numPr>
          <w:ilvl w:val="0"/>
          <w:numId w:val="9"/>
        </w:numPr>
        <w:suppressAutoHyphens w:val="false"/>
        <w:spacing w:before="120" w:after="120"/>
        <w:jc w:val="both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 xml:space="preserve">Ostatné finančné povinnosti </w:t>
      </w:r>
      <w:r>
        <w:rPr>
          <w:rFonts w:cs="Arial" w:ascii="Arial" w:hAnsi="Arial"/>
          <w:b w:val="false"/>
          <w:color w:val="000000" w:themeColor="text1"/>
          <w:szCs w:val="18"/>
        </w:rPr>
        <w:t>- nemá náplň.</w:t>
      </w:r>
    </w:p>
    <w:p>
      <w:pPr>
        <w:pStyle w:val="Nadpis2"/>
        <w:numPr>
          <w:ilvl w:val="0"/>
          <w:numId w:val="9"/>
        </w:numPr>
        <w:suppressAutoHyphens w:val="false"/>
        <w:spacing w:before="120" w:after="120"/>
        <w:jc w:val="both"/>
        <w:rPr>
          <w:rFonts w:ascii="Arial" w:hAnsi="Arial" w:cs="Arial"/>
          <w:b w:val="false"/>
          <w:b w:val="false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 xml:space="preserve">Najatý majetok </w:t>
      </w:r>
    </w:p>
    <w:p>
      <w:pPr>
        <w:pStyle w:val="Telotextu"/>
        <w:ind w:left="0" w:hanging="0"/>
        <w:rPr/>
      </w:pPr>
      <w:r>
        <w:rPr>
          <w:rFonts w:cs="Arial" w:ascii="Arial" w:hAnsi="Arial"/>
          <w:szCs w:val="18"/>
          <w:highlight w:val="yellow"/>
        </w:rPr>
        <w:t>Spoločnosť má v prenájme samostatné hnuteľné veci (formy). Nájomné predstavuje sumu 11 804 EUR.</w:t>
      </w:r>
      <w:r>
        <w:rPr>
          <w:rFonts w:cs="Arial" w:ascii="Arial" w:hAnsi="Arial"/>
          <w:szCs w:val="18"/>
        </w:rPr>
        <w:t xml:space="preserve">  </w:t>
      </w:r>
    </w:p>
    <w:p>
      <w:pPr>
        <w:pStyle w:val="Standard"/>
        <w:rPr>
          <w:highlight w:val="yellow"/>
        </w:rPr>
      </w:pPr>
      <w:r>
        <w:rPr>
          <w:highlight w:val="yellow"/>
        </w:rPr>
      </w:r>
    </w:p>
    <w:p>
      <w:pPr>
        <w:pStyle w:val="Nadpis2"/>
        <w:numPr>
          <w:ilvl w:val="0"/>
          <w:numId w:val="9"/>
        </w:numPr>
        <w:suppressAutoHyphens w:val="false"/>
        <w:spacing w:before="120" w:after="120"/>
        <w:jc w:val="both"/>
        <w:rPr>
          <w:rFonts w:ascii="Arial" w:hAnsi="Arial" w:cs="Arial"/>
          <w:b w:val="false"/>
          <w:b w:val="false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 xml:space="preserve">Prenajatý majetok </w:t>
      </w:r>
    </w:p>
    <w:p>
      <w:pPr>
        <w:pStyle w:val="Standard"/>
        <w:rPr>
          <w:highlight w:val="yellow"/>
        </w:rPr>
      </w:pPr>
      <w:r>
        <w:rPr>
          <w:highlight w:val="yellow"/>
        </w:rPr>
      </w:r>
    </w:p>
    <w:p>
      <w:pPr>
        <w:pStyle w:val="Telotextu"/>
        <w:ind w:left="360" w:hanging="0"/>
        <w:rPr/>
      </w:pPr>
      <w:r>
        <w:rPr>
          <w:rFonts w:cs="Arial" w:ascii="Arial" w:hAnsi="Arial"/>
          <w:szCs w:val="18"/>
        </w:rPr>
        <w:t xml:space="preserve">Spoločnosť prenajíma samostatne hnuteľné vec. Nájomné prestavuje sumu 8 319 EUR. </w:t>
      </w:r>
    </w:p>
    <w:p>
      <w:pPr>
        <w:pStyle w:val="Standard"/>
        <w:rPr>
          <w:rFonts w:ascii="Arial" w:hAnsi="Arial" w:cs="Arial"/>
          <w:b/>
          <w:b/>
          <w:color w:val="000000" w:themeColor="text1"/>
          <w:sz w:val="18"/>
          <w:szCs w:val="18"/>
        </w:rPr>
      </w:pPr>
      <w:r>
        <w:rPr>
          <w:rFonts w:cs="Arial" w:ascii="Arial" w:hAnsi="Arial"/>
          <w:b/>
          <w:color w:val="000000" w:themeColor="text1"/>
          <w:sz w:val="18"/>
          <w:szCs w:val="18"/>
        </w:rPr>
      </w:r>
    </w:p>
    <w:p>
      <w:pPr>
        <w:pStyle w:val="Textbody"/>
        <w:rPr>
          <w:rFonts w:ascii="Arial" w:hAnsi="Arial" w:cs="Arial"/>
          <w:b/>
          <w:b/>
          <w:color w:val="000000" w:themeColor="text1"/>
          <w:szCs w:val="18"/>
        </w:rPr>
      </w:pPr>
      <w:r>
        <w:rPr>
          <w:rFonts w:cs="Arial" w:ascii="Arial" w:hAnsi="Arial"/>
          <w:b/>
          <w:color w:val="000000" w:themeColor="text1"/>
          <w:szCs w:val="18"/>
        </w:rPr>
      </w:r>
    </w:p>
    <w:p>
      <w:pPr>
        <w:pStyle w:val="Nadpis1"/>
        <w:numPr>
          <w:ilvl w:val="0"/>
          <w:numId w:val="2"/>
        </w:numPr>
        <w:jc w:val="both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  <w:t>Informácie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o skutočnostiach,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ktoré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nastali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dni,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ku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ktorému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zostavuje</w:t>
      </w:r>
      <w:r>
        <w:rPr>
          <w:rFonts w:eastAsia="Arial" w:cs="Arial" w:ascii="Arial" w:hAnsi="Arial"/>
          <w:color w:val="000000" w:themeColor="text1"/>
          <w:szCs w:val="18"/>
        </w:rPr>
        <w:t xml:space="preserve">  </w:t>
      </w:r>
      <w:r>
        <w:rPr>
          <w:rFonts w:cs="Arial" w:ascii="Arial" w:hAnsi="Arial"/>
          <w:color w:val="000000" w:themeColor="text1"/>
          <w:szCs w:val="18"/>
        </w:rPr>
        <w:t>účtovná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závierka,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do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dňa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zostavenia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účtovnej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závierky</w:t>
      </w:r>
    </w:p>
    <w:p>
      <w:pPr>
        <w:pStyle w:val="Textbody"/>
        <w:rPr>
          <w:rFonts w:ascii="Arial" w:hAnsi="Arial" w:cs="Arial"/>
          <w:color w:val="000000" w:themeColor="text1"/>
          <w:szCs w:val="18"/>
        </w:rPr>
      </w:pPr>
      <w:r>
        <w:rPr>
          <w:rFonts w:cs="Arial" w:ascii="Arial" w:hAnsi="Arial"/>
          <w:color w:val="000000" w:themeColor="text1"/>
          <w:szCs w:val="18"/>
        </w:rPr>
      </w:r>
    </w:p>
    <w:p>
      <w:pPr>
        <w:pStyle w:val="Textbody"/>
        <w:rPr/>
      </w:pPr>
      <w:r>
        <w:rPr>
          <w:rFonts w:cs="Arial" w:ascii="Arial" w:hAnsi="Arial"/>
          <w:color w:val="000000" w:themeColor="text1"/>
          <w:szCs w:val="18"/>
        </w:rPr>
        <w:t>Po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31. decembri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2024 nenastali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žiadne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udalosti,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ktoré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by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mali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významný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vplyv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na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verné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zobrazenie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skutočností,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ktoré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sú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r>
        <w:rPr>
          <w:rFonts w:cs="Arial" w:ascii="Arial" w:hAnsi="Arial"/>
          <w:color w:val="000000" w:themeColor="text1"/>
          <w:szCs w:val="18"/>
        </w:rPr>
        <w:t>predmetom</w:t>
      </w:r>
      <w:r>
        <w:rPr>
          <w:rFonts w:eastAsia="Arial" w:cs="Arial" w:ascii="Arial" w:hAnsi="Arial"/>
          <w:color w:val="000000" w:themeColor="text1"/>
          <w:szCs w:val="18"/>
        </w:rPr>
        <w:t xml:space="preserve"> 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r>
        <w:rPr>
          <w:rFonts w:cs="Arial" w:ascii="Arial" w:hAnsi="Arial"/>
          <w:color w:val="000000" w:themeColor="text1"/>
          <w:szCs w:val="18"/>
        </w:rPr>
        <w:t>účtovníctva.</w:t>
      </w:r>
    </w:p>
    <w:sectPr>
      <w:headerReference w:type="default" r:id="rId4"/>
      <w:footerReference w:type="default" r:id="rId5"/>
      <w:type w:val="nextPage"/>
      <w:pgSz w:w="11906" w:h="16838"/>
      <w:pgMar w:left="1418" w:right="1361" w:header="709" w:top="964" w:footer="408" w:bottom="1021" w:gutter="0"/>
      <w:pgNumType w:start="1"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Symbol">
    <w:charset w:val="ee"/>
    <w:family w:val="roman"/>
    <w:pitch w:val="variable"/>
  </w:font>
  <w:font w:name="Times New Roman">
    <w:charset w:val="ee"/>
    <w:family w:val="roman"/>
    <w:pitch w:val="variable"/>
  </w:font>
  <w:font w:name="Times">
    <w:altName w:val="Times New Roman"/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rFonts w:cs="Arial" w:ascii="Arial" w:hAnsi="Arial"/>
        <w:sz w:val="18"/>
        <w:szCs w:val="18"/>
      </w:rPr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</w:p>
  <w:p>
    <w:pPr>
      <w:pStyle w:val="Pta"/>
      <w:rPr>
        <w:rFonts w:ascii="Arial" w:hAnsi="Arial" w:cs="Arial"/>
      </w:rPr>
    </w:pPr>
    <w:r>
      <w:rPr>
        <w:rFonts w:cs="Arial" w:ascii="Arial" w:hAnsi="Arial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117" w:type="dxa"/>
      <w:jc w:val="left"/>
      <w:tblInd w:w="60" w:type="dxa"/>
      <w:tblBorders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034"/>
      <w:gridCol w:w="4227"/>
      <w:gridCol w:w="277"/>
      <w:gridCol w:w="276"/>
      <w:gridCol w:w="282"/>
      <w:gridCol w:w="281"/>
      <w:gridCol w:w="282"/>
      <w:gridCol w:w="280"/>
      <w:gridCol w:w="282"/>
      <w:gridCol w:w="281"/>
      <w:gridCol w:w="282"/>
      <w:gridCol w:w="332"/>
    </w:tblGrid>
    <w:tr>
      <w:trPr>
        <w:trHeight w:val="126" w:hRule="atLeast"/>
      </w:trPr>
      <w:tc>
        <w:tcPr>
          <w:tcW w:w="2034" w:type="dxa"/>
          <w:tcBorders/>
          <w:shd w:fill="auto" w:val="clear"/>
          <w:vAlign w:val="center"/>
        </w:tcPr>
        <w:p>
          <w:pPr>
            <w:pStyle w:val="Hlavika"/>
            <w:tabs>
              <w:tab w:val="center" w:pos="4253" w:leader="none"/>
              <w:tab w:val="right" w:pos="9213" w:leader="none"/>
            </w:tabs>
            <w:spacing w:lineRule="auto" w:line="276"/>
            <w:ind w:firstLine="2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Poznámky Úč POD 3 - 01</w:t>
          </w:r>
        </w:p>
      </w:tc>
      <w:tc>
        <w:tcPr>
          <w:tcW w:w="4227" w:type="dxa"/>
          <w:tcBorders/>
          <w:shd w:fill="auto" w:val="clear"/>
          <w:vAlign w:val="center"/>
        </w:tcPr>
        <w:p>
          <w:pPr>
            <w:pStyle w:val="Hlavika"/>
            <w:tabs>
              <w:tab w:val="center" w:pos="4253" w:leader="none"/>
              <w:tab w:val="right" w:pos="9213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 xml:space="preserve">                                                                                   </w:t>
          </w:r>
          <w:r>
            <w:rPr>
              <w:rFonts w:cs="Arial" w:ascii="Arial" w:hAnsi="Arial"/>
              <w:sz w:val="16"/>
              <w:szCs w:val="16"/>
            </w:rPr>
            <w:t>IČO</w:t>
          </w:r>
        </w:p>
      </w:tc>
      <w:tc>
        <w:tcPr>
          <w:tcW w:w="277" w:type="dxa"/>
          <w:tcBorders/>
          <w:shd w:fill="auto" w:val="clear"/>
          <w:vAlign w:val="center"/>
        </w:tcPr>
        <w:p>
          <w:pPr>
            <w:pStyle w:val="Hlavika"/>
            <w:tabs>
              <w:tab w:val="center" w:pos="4253" w:leader="none"/>
              <w:tab w:val="right" w:pos="9213" w:leader="none"/>
            </w:tabs>
            <w:snapToGrid w:val="false"/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</w:r>
        </w:p>
      </w:tc>
      <w:tc>
        <w:tcPr>
          <w:tcW w:w="276" w:type="dxa"/>
          <w:tcBorders/>
          <w:shd w:fill="auto" w:val="clear"/>
          <w:vAlign w:val="center"/>
        </w:tcPr>
        <w:p>
          <w:pPr>
            <w:pStyle w:val="Hlavika"/>
            <w:tabs>
              <w:tab w:val="center" w:pos="4253" w:leader="none"/>
              <w:tab w:val="right" w:pos="9213" w:leader="none"/>
            </w:tabs>
            <w:snapToGrid w:val="false"/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</w:r>
        </w:p>
      </w:tc>
      <w:tc>
        <w:tcPr>
          <w:tcW w:w="282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3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3</w:t>
          </w:r>
        </w:p>
      </w:tc>
      <w:tc>
        <w:tcPr>
          <w:tcW w:w="28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3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4</w:t>
          </w:r>
        </w:p>
      </w:tc>
      <w:tc>
        <w:tcPr>
          <w:tcW w:w="282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3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1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3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3</w:t>
          </w:r>
        </w:p>
      </w:tc>
      <w:tc>
        <w:tcPr>
          <w:tcW w:w="282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3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7</w:t>
          </w:r>
        </w:p>
      </w:tc>
      <w:tc>
        <w:tcPr>
          <w:tcW w:w="28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3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1</w:t>
          </w:r>
        </w:p>
      </w:tc>
      <w:tc>
        <w:tcPr>
          <w:tcW w:w="282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3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2</w:t>
          </w:r>
        </w:p>
      </w:tc>
      <w:tc>
        <w:tcPr>
          <w:tcW w:w="332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  <w:insideH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3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2</w:t>
          </w:r>
        </w:p>
      </w:tc>
    </w:tr>
  </w:tbl>
  <w:p>
    <w:pPr>
      <w:pStyle w:val="Hlavika"/>
      <w:tabs>
        <w:tab w:val="center" w:pos="4962" w:leader="none"/>
        <w:tab w:val="right" w:pos="9213" w:leader="none"/>
      </w:tabs>
      <w:ind w:right="-1" w:hanging="0"/>
      <w:jc w:val="right"/>
      <w:rPr>
        <w:sz w:val="18"/>
        <w:szCs w:val="18"/>
        <w:lang w:val="en-GB"/>
      </w:rPr>
    </w:pPr>
    <w:r>
      <w:rPr>
        <w:sz w:val="18"/>
        <w:szCs w:val="18"/>
        <w:lang w:val="en-GB"/>
      </w:rPr>
    </w:r>
  </w:p>
  <w:tbl>
    <w:tblPr>
      <w:tblW w:w="9020" w:type="dxa"/>
      <w:jc w:val="left"/>
      <w:tblInd w:w="200" w:type="dxa"/>
      <w:tblBorders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012"/>
      <w:gridCol w:w="4162"/>
      <w:gridCol w:w="278"/>
      <w:gridCol w:w="281"/>
      <w:gridCol w:w="279"/>
      <w:gridCol w:w="286"/>
      <w:gridCol w:w="279"/>
      <w:gridCol w:w="278"/>
      <w:gridCol w:w="279"/>
      <w:gridCol w:w="278"/>
      <w:gridCol w:w="278"/>
      <w:gridCol w:w="329"/>
    </w:tblGrid>
    <w:tr>
      <w:trPr>
        <w:trHeight w:val="127" w:hRule="atLeast"/>
      </w:trPr>
      <w:tc>
        <w:tcPr>
          <w:tcW w:w="2012" w:type="dxa"/>
          <w:tcBorders/>
          <w:shd w:fill="auto" w:val="clear"/>
          <w:vAlign w:val="center"/>
        </w:tcPr>
        <w:p>
          <w:pPr>
            <w:pStyle w:val="Hlavika"/>
            <w:tabs>
              <w:tab w:val="center" w:pos="4253" w:leader="none"/>
              <w:tab w:val="right" w:pos="9213" w:leader="none"/>
            </w:tabs>
            <w:snapToGrid w:val="false"/>
            <w:spacing w:lineRule="auto" w:line="276"/>
            <w:rPr>
              <w:sz w:val="18"/>
              <w:szCs w:val="18"/>
            </w:rPr>
          </w:pPr>
          <w:r>
            <w:rPr>
              <w:sz w:val="18"/>
              <w:szCs w:val="18"/>
            </w:rPr>
          </w:r>
        </w:p>
      </w:tc>
      <w:tc>
        <w:tcPr>
          <w:tcW w:w="4162" w:type="dxa"/>
          <w:tcBorders/>
          <w:shd w:fill="auto" w:val="clear"/>
          <w:vAlign w:val="center"/>
        </w:tcPr>
        <w:p>
          <w:pPr>
            <w:pStyle w:val="Hlavika"/>
            <w:tabs>
              <w:tab w:val="center" w:pos="4253" w:leader="none"/>
              <w:tab w:val="right" w:pos="9213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</w:t>
          </w:r>
          <w:r>
            <w:rPr>
              <w:rFonts w:cs="Arial" w:ascii="Arial" w:hAnsi="Arial"/>
              <w:sz w:val="16"/>
              <w:szCs w:val="16"/>
            </w:rPr>
            <w:t>DIČ</w:t>
          </w:r>
        </w:p>
      </w:tc>
      <w:tc>
        <w:tcPr>
          <w:tcW w:w="278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4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2</w:t>
          </w:r>
        </w:p>
      </w:tc>
      <w:tc>
        <w:tcPr>
          <w:tcW w:w="28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4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0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4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2</w:t>
          </w:r>
        </w:p>
      </w:tc>
      <w:tc>
        <w:tcPr>
          <w:tcW w:w="286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4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0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4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3</w:t>
          </w:r>
        </w:p>
      </w:tc>
      <w:tc>
        <w:tcPr>
          <w:tcW w:w="278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4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5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4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8</w:t>
          </w:r>
        </w:p>
      </w:tc>
      <w:tc>
        <w:tcPr>
          <w:tcW w:w="278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4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4</w:t>
          </w:r>
        </w:p>
      </w:tc>
      <w:tc>
        <w:tcPr>
          <w:tcW w:w="278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insideH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4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5</w:t>
          </w:r>
        </w:p>
      </w:tc>
      <w:tc>
        <w:tcPr>
          <w:tcW w:w="32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  <w:insideH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Hlavika"/>
            <w:tabs>
              <w:tab w:val="center" w:pos="4253" w:leader="none"/>
              <w:tab w:val="right" w:pos="9214" w:leader="none"/>
            </w:tabs>
            <w:spacing w:lineRule="auto" w:line="276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cs="Arial" w:ascii="Arial" w:hAnsi="Arial"/>
              <w:sz w:val="16"/>
              <w:szCs w:val="16"/>
            </w:rPr>
            <w:t>0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Letter"/>
      <w:lvlText w:val="%1."/>
      <w:lvlJc w:val="left"/>
      <w:pPr>
        <w:ind w:left="45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upperLetter"/>
      <w:lvlText w:val="%1."/>
      <w:lvlJc w:val="left"/>
      <w:pPr>
        <w:ind w:left="45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ind w:left="1080" w:hanging="360"/>
      </w:pPr>
    </w:lvl>
    <w:lvl w:ilvl="2">
      <w:start w:val="1"/>
      <w:numFmt w:val="none"/>
      <w:suff w:val="nothing"/>
      <w:lvlText w:val=""/>
      <w:lvlJc w:val="left"/>
      <w:pPr>
        <w:ind w:left="1440" w:hanging="360"/>
      </w:pPr>
    </w:lvl>
    <w:lvl w:ilvl="3">
      <w:start w:val="1"/>
      <w:numFmt w:val="none"/>
      <w:suff w:val="nothing"/>
      <w:lvlText w:val=""/>
      <w:lvlJc w:val="left"/>
      <w:pPr>
        <w:ind w:left="1800" w:hanging="360"/>
      </w:pPr>
    </w:lvl>
    <w:lvl w:ilvl="4">
      <w:start w:val="1"/>
      <w:numFmt w:val="none"/>
      <w:suff w:val="nothing"/>
      <w:lvlText w:val=""/>
      <w:lvlJc w:val="left"/>
      <w:pPr>
        <w:ind w:left="2160" w:hanging="360"/>
      </w:pPr>
    </w:lvl>
    <w:lvl w:ilvl="5">
      <w:start w:val="1"/>
      <w:numFmt w:val="none"/>
      <w:suff w:val="nothing"/>
      <w:lvlText w:val=""/>
      <w:lvlJc w:val="left"/>
      <w:pPr>
        <w:ind w:left="2520" w:hanging="360"/>
      </w:pPr>
    </w:lvl>
    <w:lvl w:ilvl="6">
      <w:start w:val="1"/>
      <w:numFmt w:val="none"/>
      <w:suff w:val="nothing"/>
      <w:lvlText w:val=""/>
      <w:lvlJc w:val="left"/>
      <w:pPr>
        <w:ind w:left="2880" w:hanging="360"/>
      </w:pPr>
    </w:lvl>
    <w:lvl w:ilvl="7">
      <w:start w:val="1"/>
      <w:numFmt w:val="none"/>
      <w:suff w:val="nothing"/>
      <w:lvlText w:val=""/>
      <w:lvlJc w:val="left"/>
      <w:pPr>
        <w:ind w:left="3240" w:hanging="360"/>
      </w:pPr>
    </w:lvl>
    <w:lvl w:ilvl="8">
      <w:start w:val="1"/>
      <w:numFmt w:val="none"/>
      <w:suff w:val="nothing"/>
      <w:lvlText w:val=""/>
      <w:lvlJc w:val="left"/>
      <w:pPr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ind w:left="360" w:hanging="360"/>
      </w:pPr>
      <w:rPr>
        <w:szCs w:val="18"/>
        <w:rFonts w:ascii="Arial" w:hAnsi="Arial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360" w:hanging="360"/>
      </w:pPr>
      <w:rPr>
        <w:b/>
        <w:szCs w:val="18"/>
        <w:bCs/>
        <w:rFonts w:ascii="Arial" w:hAnsi="Arial" w:cs="Arial"/>
      </w:r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720" w:hanging="72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080" w:hanging="1080"/>
      </w:pPr>
    </w:lvl>
    <w:lvl w:ilvl="7">
      <w:start w:val="1"/>
      <w:numFmt w:val="decimal"/>
      <w:lvlText w:val="%1.%2.%3.%4.%5.%6.%7.%8."/>
      <w:lvlJc w:val="left"/>
      <w:pPr>
        <w:ind w:left="1080" w:hanging="1080"/>
      </w:pPr>
    </w:lvl>
    <w:lvl w:ilvl="8">
      <w:start w:val="1"/>
      <w:numFmt w:val="decimal"/>
      <w:lvlText w:val="%1.%2.%3.%4.%5.%6.%7.%8.%9."/>
      <w:lvlJc w:val="left"/>
      <w:pPr>
        <w:ind w:left="1440" w:hanging="1440"/>
      </w:pPr>
    </w:lvl>
  </w:abstractNum>
  <w:abstractNum w:abstractNumId="5">
    <w:lvl w:ilvl="0">
      <w:start w:val="1"/>
      <w:numFmt w:val="bullet"/>
      <w:lvlText w:val="-"/>
      <w:lvlJc w:val="left"/>
      <w:pPr>
        <w:ind w:left="720" w:hanging="360"/>
      </w:pPr>
      <w:rPr>
        <w:rFonts w:ascii="Arial" w:hAnsi="Arial" w:cs="Arial" w:hint="default"/>
        <w:sz w:val="18"/>
        <w:szCs w:val="18"/>
        <w:rFonts w:cs="Aria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>
    <w:lvl w:ilvl="0">
      <w:start w:val="1"/>
      <w:numFmt w:val="decimal"/>
      <w:lvlText w:val="%1."/>
      <w:lvlJc w:val="left"/>
      <w:pPr>
        <w:ind w:left="360" w:hanging="360"/>
      </w:pPr>
      <w:rPr>
        <w:szCs w:val="18"/>
        <w:rFonts w:ascii="Arial" w:hAnsi="Arial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lvl w:ilvl="0">
      <w:start w:val="1"/>
      <w:numFmt w:val="bullet"/>
      <w:lvlText w:val="-"/>
      <w:lvlJc w:val="left"/>
      <w:pPr>
        <w:ind w:left="720" w:hanging="360"/>
      </w:pPr>
      <w:rPr>
        <w:rFonts w:ascii="Arial" w:hAnsi="Arial" w:cs="Arial" w:hint="default"/>
        <w:sz w:val="18"/>
        <w:szCs w:val="18"/>
        <w:rFonts w:cs="Aria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360" w:hanging="360"/>
      </w:pPr>
      <w:rPr>
        <w:b/>
        <w:szCs w:val="18"/>
        <w:bCs/>
        <w:rFonts w:ascii="Arial" w:hAnsi="Arial" w:cs="Arial"/>
      </w:r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720" w:hanging="72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080" w:hanging="1080"/>
      </w:pPr>
    </w:lvl>
    <w:lvl w:ilvl="7">
      <w:start w:val="1"/>
      <w:numFmt w:val="decimal"/>
      <w:lvlText w:val="%1.%2.%3.%4.%5.%6.%7.%8."/>
      <w:lvlJc w:val="left"/>
      <w:pPr>
        <w:ind w:left="1080" w:hanging="1080"/>
      </w:pPr>
    </w:lvl>
    <w:lvl w:ilvl="8">
      <w:start w:val="1"/>
      <w:numFmt w:val="decimal"/>
      <w:lvlText w:val="%1.%2.%3.%4.%5.%6.%7.%8.%9."/>
      <w:lvlJc w:val="left"/>
      <w:pPr>
        <w:ind w:left="1440" w:hanging="1440"/>
      </w:pPr>
    </w:lvl>
  </w:abstractNum>
  <w:abstractNum w:abstractNumId="9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ascii="Arial" w:hAnsi="Arial"/>
      </w:r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720" w:hanging="72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080" w:hanging="1080"/>
      </w:pPr>
    </w:lvl>
    <w:lvl w:ilvl="7">
      <w:start w:val="1"/>
      <w:numFmt w:val="decimal"/>
      <w:lvlText w:val="%1.%2.%3.%4.%5.%6.%7.%8."/>
      <w:lvlJc w:val="left"/>
      <w:pPr>
        <w:ind w:left="1080" w:hanging="1080"/>
      </w:pPr>
    </w:lvl>
    <w:lvl w:ilvl="8">
      <w:start w:val="1"/>
      <w:numFmt w:val="decimal"/>
      <w:lvlText w:val="%1.%2.%3.%4.%5.%6.%7.%8.%9."/>
      <w:lvlJc w:val="left"/>
      <w:pPr>
        <w:ind w:left="1440" w:hanging="1440"/>
      </w:pPr>
    </w:lvl>
  </w:abstractNum>
  <w:abstractNum w:abstractNumId="10">
    <w:lvl w:ilvl="0">
      <w:start w:val="100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jc w:val="left"/>
      <w:textAlignment w:val="baseline"/>
    </w:pPr>
    <w:rPr>
      <w:rFonts w:ascii="Liberation Serif" w:hAnsi="Liberation Serif" w:eastAsia="SimSun" w:cs="Arial"/>
      <w:color w:val="auto"/>
      <w:sz w:val="24"/>
      <w:szCs w:val="24"/>
      <w:lang w:val="sk-SK" w:eastAsia="zh-CN" w:bidi="hi-IN"/>
    </w:rPr>
  </w:style>
  <w:style w:type="paragraph" w:styleId="Nadpis1">
    <w:name w:val="Heading 1"/>
    <w:qFormat/>
    <w:pPr>
      <w:keepNext/>
      <w:widowControl w:val="false"/>
      <w:numPr>
        <w:ilvl w:val="0"/>
        <w:numId w:val="1"/>
      </w:numPr>
      <w:outlineLvl w:val="0"/>
      <w:outlineLvl w:val="0"/>
    </w:pPr>
    <w:rPr>
      <w:rFonts w:ascii="Liberation Serif" w:hAnsi="Liberation Serif" w:eastAsia="SimSun" w:cs="Arial"/>
      <w:b/>
      <w:caps/>
      <w:color w:val="auto"/>
      <w:sz w:val="18"/>
      <w:szCs w:val="24"/>
      <w:lang w:val="sk-SK" w:eastAsia="zh-CN" w:bidi="hi-IN"/>
    </w:rPr>
  </w:style>
  <w:style w:type="paragraph" w:styleId="Nadpis2">
    <w:name w:val="Heading 2"/>
    <w:qFormat/>
    <w:pPr>
      <w:keepNext/>
      <w:widowControl w:val="false"/>
      <w:outlineLvl w:val="1"/>
    </w:pPr>
    <w:rPr>
      <w:rFonts w:ascii="Liberation Serif" w:hAnsi="Liberation Serif" w:eastAsia="SimSun" w:cs="Arial"/>
      <w:b/>
      <w:color w:val="auto"/>
      <w:sz w:val="18"/>
      <w:szCs w:val="24"/>
      <w:lang w:val="sk-SK" w:eastAsia="zh-CN" w:bidi="hi-IN"/>
    </w:rPr>
  </w:style>
  <w:style w:type="paragraph" w:styleId="Nadpis6">
    <w:name w:val="Heading 6"/>
    <w:qFormat/>
    <w:pPr>
      <w:keepNext/>
      <w:widowControl w:val="false"/>
      <w:tabs>
        <w:tab w:val="left" w:pos="432" w:leader="none"/>
      </w:tabs>
      <w:ind w:left="432" w:hanging="432"/>
      <w:outlineLvl w:val="5"/>
    </w:pPr>
    <w:rPr>
      <w:rFonts w:ascii="Liberation Serif" w:hAnsi="Liberation Serif" w:eastAsia="SimSun" w:cs="Arial"/>
      <w:b/>
      <w:caps/>
      <w:color w:val="auto"/>
      <w:sz w:val="32"/>
      <w:szCs w:val="24"/>
      <w:lang w:val="sk-SK" w:eastAsia="zh-CN" w:bidi="hi-IN"/>
    </w:rPr>
  </w:style>
  <w:style w:type="paragraph" w:styleId="Nadpis9">
    <w:name w:val="Heading 9"/>
    <w:qFormat/>
    <w:pPr>
      <w:keepNext/>
      <w:keepLines/>
      <w:widowControl w:val="false"/>
      <w:tabs>
        <w:tab w:val="left" w:pos="432" w:leader="none"/>
      </w:tabs>
      <w:spacing w:before="200" w:after="0"/>
      <w:ind w:left="432" w:hanging="432"/>
      <w:outlineLvl w:val="8"/>
    </w:pPr>
    <w:rPr>
      <w:rFonts w:ascii="Cambria" w:hAnsi="Cambria" w:eastAsia="SimSun" w:cs="Arial"/>
      <w:i/>
      <w:iCs/>
      <w:color w:val="404040"/>
      <w:sz w:val="24"/>
      <w:szCs w:val="24"/>
      <w:lang w:val="sk-SK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cs="Times New Roman"/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Arial" w:hAnsi="Arial" w:eastAsia="Arial" w:cs="Times New Roman"/>
      <w:szCs w:val="18"/>
    </w:rPr>
  </w:style>
  <w:style w:type="character" w:styleId="WW8Num3z0" w:customStyle="1">
    <w:name w:val="WW8Num3z0"/>
    <w:qFormat/>
    <w:rPr>
      <w:rFonts w:ascii="Arial" w:hAnsi="Arial" w:eastAsia="Arial" w:cs="Arial"/>
      <w:b/>
      <w:bCs/>
      <w:szCs w:val="18"/>
    </w:rPr>
  </w:style>
  <w:style w:type="character" w:styleId="WW8Num3z1" w:customStyle="1">
    <w:name w:val="WW8Num3z1"/>
    <w:qFormat/>
    <w:rPr/>
  </w:style>
  <w:style w:type="character" w:styleId="WW8Num4z0" w:customStyle="1">
    <w:name w:val="WW8Num4z0"/>
    <w:qFormat/>
    <w:rPr>
      <w:b/>
    </w:rPr>
  </w:style>
  <w:style w:type="character" w:styleId="WW8Num4z1" w:customStyle="1">
    <w:name w:val="WW8Num4z1"/>
    <w:qFormat/>
    <w:rPr/>
  </w:style>
  <w:style w:type="character" w:styleId="WW8Num5z0" w:customStyle="1">
    <w:name w:val="WW8Num5z0"/>
    <w:qFormat/>
    <w:rPr>
      <w:rFonts w:ascii="Arial" w:hAnsi="Arial" w:eastAsia="Arial" w:cs="Arial"/>
      <w:sz w:val="18"/>
      <w:szCs w:val="18"/>
    </w:rPr>
  </w:style>
  <w:style w:type="character" w:styleId="WW8Num5z1" w:customStyle="1">
    <w:name w:val="WW8Num5z1"/>
    <w:qFormat/>
    <w:rPr>
      <w:rFonts w:ascii="Courier New" w:hAnsi="Courier New" w:eastAsia="Courier New" w:cs="Courier New"/>
    </w:rPr>
  </w:style>
  <w:style w:type="character" w:styleId="WW8Num5z2" w:customStyle="1">
    <w:name w:val="WW8Num5z2"/>
    <w:qFormat/>
    <w:rPr>
      <w:rFonts w:ascii="Wingdings" w:hAnsi="Wingdings" w:eastAsia="Wingdings" w:cs="Wingdings"/>
    </w:rPr>
  </w:style>
  <w:style w:type="character" w:styleId="WW8Num5z3" w:customStyle="1">
    <w:name w:val="WW8Num5z3"/>
    <w:qFormat/>
    <w:rPr>
      <w:rFonts w:ascii="Symbol" w:hAnsi="Symbol" w:eastAsia="Symbol" w:cs="Symbol"/>
    </w:rPr>
  </w:style>
  <w:style w:type="character" w:styleId="Predvolenpsmoodseku8" w:customStyle="1">
    <w:name w:val="Predvolené písmo odseku8"/>
    <w:qFormat/>
    <w:rPr/>
  </w:style>
  <w:style w:type="character" w:styleId="WW8Num2z1" w:customStyle="1">
    <w:name w:val="WW8Num2z1"/>
    <w:qFormat/>
    <w:rPr/>
  </w:style>
  <w:style w:type="character" w:styleId="WW8Num2z2" w:customStyle="1">
    <w:name w:val="WW8Num2z2"/>
    <w:qFormat/>
    <w:rPr/>
  </w:style>
  <w:style w:type="character" w:styleId="WW8Num2z3" w:customStyle="1">
    <w:name w:val="WW8Num2z3"/>
    <w:qFormat/>
    <w:rPr/>
  </w:style>
  <w:style w:type="character" w:styleId="WW8Num2z4" w:customStyle="1">
    <w:name w:val="WW8Num2z4"/>
    <w:qFormat/>
    <w:rPr/>
  </w:style>
  <w:style w:type="character" w:styleId="WW8Num2z5" w:customStyle="1">
    <w:name w:val="WW8Num2z5"/>
    <w:qFormat/>
    <w:rPr/>
  </w:style>
  <w:style w:type="character" w:styleId="WW8Num2z6" w:customStyle="1">
    <w:name w:val="WW8Num2z6"/>
    <w:qFormat/>
    <w:rPr/>
  </w:style>
  <w:style w:type="character" w:styleId="WW8Num2z7" w:customStyle="1">
    <w:name w:val="WW8Num2z7"/>
    <w:qFormat/>
    <w:rPr/>
  </w:style>
  <w:style w:type="character" w:styleId="WW8Num2z8" w:customStyle="1">
    <w:name w:val="WW8Num2z8"/>
    <w:qFormat/>
    <w:rPr/>
  </w:style>
  <w:style w:type="character" w:styleId="Predvolenpsmoodseku7" w:customStyle="1">
    <w:name w:val="Predvolené písmo odseku7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6z0" w:customStyle="1">
    <w:name w:val="WW8Num6z0"/>
    <w:qFormat/>
    <w:rPr/>
  </w:style>
  <w:style w:type="character" w:styleId="WW8Num7z0" w:customStyle="1">
    <w:name w:val="WW8Num7z0"/>
    <w:qFormat/>
    <w:rPr>
      <w:rFonts w:ascii="Times New Roman" w:hAnsi="Times New Roman" w:eastAsia="Times New Roman" w:cs="Times New Roman"/>
    </w:rPr>
  </w:style>
  <w:style w:type="character" w:styleId="WW8Num8z0" w:customStyle="1">
    <w:name w:val="WW8Num8z0"/>
    <w:qFormat/>
    <w:rPr/>
  </w:style>
  <w:style w:type="character" w:styleId="WW8Num9z0" w:customStyle="1">
    <w:name w:val="WW8Num9z0"/>
    <w:qFormat/>
    <w:rPr>
      <w:rFonts w:cs="Times New Roman"/>
    </w:rPr>
  </w:style>
  <w:style w:type="character" w:styleId="WW8Num10z0" w:customStyle="1">
    <w:name w:val="WW8Num10z0"/>
    <w:qFormat/>
    <w:rPr/>
  </w:style>
  <w:style w:type="character" w:styleId="WW8Num10z1" w:customStyle="1">
    <w:name w:val="WW8Num10z1"/>
    <w:qFormat/>
    <w:rPr/>
  </w:style>
  <w:style w:type="character" w:styleId="WW8Num10z2" w:customStyle="1">
    <w:name w:val="WW8Num10z2"/>
    <w:qFormat/>
    <w:rPr/>
  </w:style>
  <w:style w:type="character" w:styleId="WW8Num10z3" w:customStyle="1">
    <w:name w:val="WW8Num10z3"/>
    <w:qFormat/>
    <w:rPr/>
  </w:style>
  <w:style w:type="character" w:styleId="WW8Num10z4" w:customStyle="1">
    <w:name w:val="WW8Num10z4"/>
    <w:qFormat/>
    <w:rPr/>
  </w:style>
  <w:style w:type="character" w:styleId="WW8Num10z5" w:customStyle="1">
    <w:name w:val="WW8Num10z5"/>
    <w:qFormat/>
    <w:rPr/>
  </w:style>
  <w:style w:type="character" w:styleId="WW8Num10z6" w:customStyle="1">
    <w:name w:val="WW8Num10z6"/>
    <w:qFormat/>
    <w:rPr/>
  </w:style>
  <w:style w:type="character" w:styleId="WW8Num10z7" w:customStyle="1">
    <w:name w:val="WW8Num10z7"/>
    <w:qFormat/>
    <w:rPr/>
  </w:style>
  <w:style w:type="character" w:styleId="WW8Num10z8" w:customStyle="1">
    <w:name w:val="WW8Num10z8"/>
    <w:qFormat/>
    <w:rPr/>
  </w:style>
  <w:style w:type="character" w:styleId="WW8Num11z0" w:customStyle="1">
    <w:name w:val="WW8Num11z0"/>
    <w:qFormat/>
    <w:rPr/>
  </w:style>
  <w:style w:type="character" w:styleId="WW8Num11z1" w:customStyle="1">
    <w:name w:val="WW8Num11z1"/>
    <w:qFormat/>
    <w:rPr/>
  </w:style>
  <w:style w:type="character" w:styleId="WW8Num11z2" w:customStyle="1">
    <w:name w:val="WW8Num11z2"/>
    <w:qFormat/>
    <w:rPr/>
  </w:style>
  <w:style w:type="character" w:styleId="WW8Num11z3" w:customStyle="1">
    <w:name w:val="WW8Num11z3"/>
    <w:qFormat/>
    <w:rPr/>
  </w:style>
  <w:style w:type="character" w:styleId="WW8Num11z4" w:customStyle="1">
    <w:name w:val="WW8Num11z4"/>
    <w:qFormat/>
    <w:rPr/>
  </w:style>
  <w:style w:type="character" w:styleId="WW8Num11z5" w:customStyle="1">
    <w:name w:val="WW8Num11z5"/>
    <w:qFormat/>
    <w:rPr/>
  </w:style>
  <w:style w:type="character" w:styleId="WW8Num11z6" w:customStyle="1">
    <w:name w:val="WW8Num11z6"/>
    <w:qFormat/>
    <w:rPr/>
  </w:style>
  <w:style w:type="character" w:styleId="WW8Num11z7" w:customStyle="1">
    <w:name w:val="WW8Num11z7"/>
    <w:qFormat/>
    <w:rPr/>
  </w:style>
  <w:style w:type="character" w:styleId="WW8Num11z8" w:customStyle="1">
    <w:name w:val="WW8Num11z8"/>
    <w:qFormat/>
    <w:rPr/>
  </w:style>
  <w:style w:type="character" w:styleId="WW8Num12z0" w:customStyle="1">
    <w:name w:val="WW8Num12z0"/>
    <w:qFormat/>
    <w:rPr>
      <w:rFonts w:cs="Times New Roman"/>
    </w:rPr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/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/>
  </w:style>
  <w:style w:type="character" w:styleId="WW8Num16z1" w:customStyle="1">
    <w:name w:val="WW8Num16z1"/>
    <w:qFormat/>
    <w:rPr/>
  </w:style>
  <w:style w:type="character" w:styleId="WW8Num16z2" w:customStyle="1">
    <w:name w:val="WW8Num16z2"/>
    <w:qFormat/>
    <w:rPr/>
  </w:style>
  <w:style w:type="character" w:styleId="WW8Num16z3" w:customStyle="1">
    <w:name w:val="WW8Num16z3"/>
    <w:qFormat/>
    <w:rPr/>
  </w:style>
  <w:style w:type="character" w:styleId="WW8Num16z4" w:customStyle="1">
    <w:name w:val="WW8Num16z4"/>
    <w:qFormat/>
    <w:rPr/>
  </w:style>
  <w:style w:type="character" w:styleId="WW8Num16z5" w:customStyle="1">
    <w:name w:val="WW8Num16z5"/>
    <w:qFormat/>
    <w:rPr/>
  </w:style>
  <w:style w:type="character" w:styleId="WW8Num16z6" w:customStyle="1">
    <w:name w:val="WW8Num16z6"/>
    <w:qFormat/>
    <w:rPr/>
  </w:style>
  <w:style w:type="character" w:styleId="WW8Num16z7" w:customStyle="1">
    <w:name w:val="WW8Num16z7"/>
    <w:qFormat/>
    <w:rPr/>
  </w:style>
  <w:style w:type="character" w:styleId="WW8Num16z8" w:customStyle="1">
    <w:name w:val="WW8Num16z8"/>
    <w:qFormat/>
    <w:rPr/>
  </w:style>
  <w:style w:type="character" w:styleId="WW8Num17z0" w:customStyle="1">
    <w:name w:val="WW8Num17z0"/>
    <w:qFormat/>
    <w:rPr>
      <w:b/>
    </w:rPr>
  </w:style>
  <w:style w:type="character" w:styleId="WW8Num17z1" w:customStyle="1">
    <w:name w:val="WW8Num17z1"/>
    <w:qFormat/>
    <w:rPr/>
  </w:style>
  <w:style w:type="character" w:styleId="WW8Num18z0" w:customStyle="1">
    <w:name w:val="WW8Num18z0"/>
    <w:qFormat/>
    <w:rPr>
      <w:rFonts w:cs="Times New Roman"/>
    </w:rPr>
  </w:style>
  <w:style w:type="character" w:styleId="WW8Num19z0" w:customStyle="1">
    <w:name w:val="WW8Num19z0"/>
    <w:qFormat/>
    <w:rPr/>
  </w:style>
  <w:style w:type="character" w:styleId="WW8Num19z1" w:customStyle="1">
    <w:name w:val="WW8Num19z1"/>
    <w:qFormat/>
    <w:rPr/>
  </w:style>
  <w:style w:type="character" w:styleId="WW8Num19z2" w:customStyle="1">
    <w:name w:val="WW8Num19z2"/>
    <w:qFormat/>
    <w:rPr/>
  </w:style>
  <w:style w:type="character" w:styleId="WW8Num19z3" w:customStyle="1">
    <w:name w:val="WW8Num19z3"/>
    <w:qFormat/>
    <w:rPr/>
  </w:style>
  <w:style w:type="character" w:styleId="WW8Num19z4" w:customStyle="1">
    <w:name w:val="WW8Num19z4"/>
    <w:qFormat/>
    <w:rPr/>
  </w:style>
  <w:style w:type="character" w:styleId="WW8Num19z5" w:customStyle="1">
    <w:name w:val="WW8Num19z5"/>
    <w:qFormat/>
    <w:rPr/>
  </w:style>
  <w:style w:type="character" w:styleId="WW8Num19z6" w:customStyle="1">
    <w:name w:val="WW8Num19z6"/>
    <w:qFormat/>
    <w:rPr/>
  </w:style>
  <w:style w:type="character" w:styleId="WW8Num19z7" w:customStyle="1">
    <w:name w:val="WW8Num19z7"/>
    <w:qFormat/>
    <w:rPr/>
  </w:style>
  <w:style w:type="character" w:styleId="WW8Num19z8" w:customStyle="1">
    <w:name w:val="WW8Num19z8"/>
    <w:qFormat/>
    <w:rPr/>
  </w:style>
  <w:style w:type="character" w:styleId="Predvolenpsmoodseku6" w:customStyle="1">
    <w:name w:val="Predvolené písmo odseku6"/>
    <w:qFormat/>
    <w:rPr/>
  </w:style>
  <w:style w:type="character" w:styleId="Predvolenpsmoodseku5" w:customStyle="1">
    <w:name w:val="Predvolené písmo odseku5"/>
    <w:qFormat/>
    <w:rPr/>
  </w:style>
  <w:style w:type="character" w:styleId="Predvolenpsmoodseku4" w:customStyle="1">
    <w:name w:val="Predvolené písmo odseku4"/>
    <w:qFormat/>
    <w:rPr/>
  </w:style>
  <w:style w:type="character" w:styleId="AbsatzStandardschriftart" w:customStyle="1">
    <w:name w:val="Absatz-Standardschriftart"/>
    <w:qFormat/>
    <w:rPr/>
  </w:style>
  <w:style w:type="character" w:styleId="Predvolenpsmoodseku3" w:customStyle="1">
    <w:name w:val="Predvolené písmo odseku3"/>
    <w:qFormat/>
    <w:rPr/>
  </w:style>
  <w:style w:type="character" w:styleId="WWAbsatzStandardschriftart" w:customStyle="1">
    <w:name w:val="WW-Absatz-Standardschriftart"/>
    <w:qFormat/>
    <w:rPr/>
  </w:style>
  <w:style w:type="character" w:styleId="WWAbsatzStandardschriftart1" w:customStyle="1">
    <w:name w:val="WW-Absatz-Standardschriftart1"/>
    <w:qFormat/>
    <w:rPr/>
  </w:style>
  <w:style w:type="character" w:styleId="WWAbsatzStandardschriftart11" w:customStyle="1">
    <w:name w:val="WW-Absatz-Standardschriftart11"/>
    <w:qFormat/>
    <w:rPr/>
  </w:style>
  <w:style w:type="character" w:styleId="WWAbsatzStandardschriftart111" w:customStyle="1">
    <w:name w:val="WW-Absatz-Standardschriftart111"/>
    <w:qFormat/>
    <w:rPr/>
  </w:style>
  <w:style w:type="character" w:styleId="WWAbsatzStandardschriftart1111" w:customStyle="1">
    <w:name w:val="WW-Absatz-Standardschriftart1111"/>
    <w:qFormat/>
    <w:rPr/>
  </w:style>
  <w:style w:type="character" w:styleId="WW8Num28z0" w:customStyle="1">
    <w:name w:val="WW8Num28z0"/>
    <w:qFormat/>
    <w:rPr>
      <w:b/>
      <w:sz w:val="20"/>
    </w:rPr>
  </w:style>
  <w:style w:type="character" w:styleId="WW8Num31z0" w:customStyle="1">
    <w:name w:val="WW8Num31z0"/>
    <w:qFormat/>
    <w:rPr>
      <w:b/>
    </w:rPr>
  </w:style>
  <w:style w:type="character" w:styleId="WW8Num33z0" w:customStyle="1">
    <w:name w:val="WW8Num33z0"/>
    <w:qFormat/>
    <w:rPr>
      <w:rFonts w:cs="Times New Roman"/>
    </w:rPr>
  </w:style>
  <w:style w:type="character" w:styleId="Predvolenpsmoodseku2" w:customStyle="1">
    <w:name w:val="Predvolené písmo odseku2"/>
    <w:qFormat/>
    <w:rPr/>
  </w:style>
  <w:style w:type="character" w:styleId="WWAbsatzStandardschriftart11111" w:customStyle="1">
    <w:name w:val="WW-Absatz-Standardschriftart11111"/>
    <w:qFormat/>
    <w:rPr/>
  </w:style>
  <w:style w:type="character" w:styleId="WWAbsatzStandardschriftart111111" w:customStyle="1">
    <w:name w:val="WW-Absatz-Standardschriftart111111"/>
    <w:qFormat/>
    <w:rPr/>
  </w:style>
  <w:style w:type="character" w:styleId="WWAbsatzStandardschriftart1111111" w:customStyle="1">
    <w:name w:val="WW-Absatz-Standardschriftart1111111"/>
    <w:qFormat/>
    <w:rPr/>
  </w:style>
  <w:style w:type="character" w:styleId="WWAbsatzStandardschriftart11111111" w:customStyle="1">
    <w:name w:val="WW-Absatz-Standardschriftart11111111"/>
    <w:qFormat/>
    <w:rPr/>
  </w:style>
  <w:style w:type="character" w:styleId="WW8Num6z1" w:customStyle="1">
    <w:name w:val="WW8Num6z1"/>
    <w:qFormat/>
    <w:rPr>
      <w:rFonts w:ascii="Courier New" w:hAnsi="Courier New" w:eastAsia="Courier New" w:cs="Courier New"/>
    </w:rPr>
  </w:style>
  <w:style w:type="character" w:styleId="WW8Num6z2" w:customStyle="1">
    <w:name w:val="WW8Num6z2"/>
    <w:qFormat/>
    <w:rPr>
      <w:rFonts w:ascii="Wingdings" w:hAnsi="Wingdings" w:eastAsia="Wingdings" w:cs="Wingdings"/>
    </w:rPr>
  </w:style>
  <w:style w:type="character" w:styleId="WW8Num6z3" w:customStyle="1">
    <w:name w:val="WW8Num6z3"/>
    <w:qFormat/>
    <w:rPr>
      <w:rFonts w:ascii="Symbol" w:hAnsi="Symbol" w:eastAsia="Symbol" w:cs="Symbol"/>
    </w:rPr>
  </w:style>
  <w:style w:type="character" w:styleId="WW8Num7z1" w:customStyle="1">
    <w:name w:val="WW8Num7z1"/>
    <w:qFormat/>
    <w:rPr>
      <w:rFonts w:ascii="Courier New" w:hAnsi="Courier New" w:eastAsia="Courier New" w:cs="Courier New"/>
    </w:rPr>
  </w:style>
  <w:style w:type="character" w:styleId="WW8Num7z2" w:customStyle="1">
    <w:name w:val="WW8Num7z2"/>
    <w:qFormat/>
    <w:rPr>
      <w:rFonts w:ascii="Wingdings" w:hAnsi="Wingdings" w:eastAsia="Wingdings" w:cs="Wingdings"/>
    </w:rPr>
  </w:style>
  <w:style w:type="character" w:styleId="WW8Num7z3" w:customStyle="1">
    <w:name w:val="WW8Num7z3"/>
    <w:qFormat/>
    <w:rPr>
      <w:rFonts w:ascii="Symbol" w:hAnsi="Symbol" w:eastAsia="Symbol" w:cs="Symbol"/>
    </w:rPr>
  </w:style>
  <w:style w:type="character" w:styleId="WW8Num12z1" w:customStyle="1">
    <w:name w:val="WW8Num12z1"/>
    <w:qFormat/>
    <w:rPr>
      <w:rFonts w:ascii="Courier New" w:hAnsi="Courier New" w:eastAsia="Courier New" w:cs="Courier New"/>
    </w:rPr>
  </w:style>
  <w:style w:type="character" w:styleId="WW8Num12z2" w:customStyle="1">
    <w:name w:val="WW8Num12z2"/>
    <w:qFormat/>
    <w:rPr>
      <w:rFonts w:ascii="Wingdings" w:hAnsi="Wingdings" w:eastAsia="Wingdings" w:cs="Wingdings"/>
    </w:rPr>
  </w:style>
  <w:style w:type="character" w:styleId="WW8Num12z3" w:customStyle="1">
    <w:name w:val="WW8Num12z3"/>
    <w:qFormat/>
    <w:rPr>
      <w:rFonts w:ascii="Symbol" w:hAnsi="Symbol" w:eastAsia="Symbol" w:cs="Symbol"/>
    </w:rPr>
  </w:style>
  <w:style w:type="character" w:styleId="WW8Num14z1" w:customStyle="1">
    <w:name w:val="WW8Num14z1"/>
    <w:qFormat/>
    <w:rPr>
      <w:rFonts w:ascii="Courier New" w:hAnsi="Courier New" w:eastAsia="Courier New" w:cs="Courier New"/>
    </w:rPr>
  </w:style>
  <w:style w:type="character" w:styleId="WW8Num14z2" w:customStyle="1">
    <w:name w:val="WW8Num14z2"/>
    <w:qFormat/>
    <w:rPr>
      <w:rFonts w:ascii="Wingdings" w:hAnsi="Wingdings" w:eastAsia="Wingdings" w:cs="Wingdings"/>
    </w:rPr>
  </w:style>
  <w:style w:type="character" w:styleId="WW8Num14z3" w:customStyle="1">
    <w:name w:val="WW8Num14z3"/>
    <w:qFormat/>
    <w:rPr>
      <w:rFonts w:ascii="Symbol" w:hAnsi="Symbol" w:eastAsia="Symbol" w:cs="Symbol"/>
    </w:rPr>
  </w:style>
  <w:style w:type="character" w:styleId="Predvolenpsmoodseku1" w:customStyle="1">
    <w:name w:val="Predvolené písmo odseku1"/>
    <w:qFormat/>
    <w:rPr/>
  </w:style>
  <w:style w:type="character" w:styleId="HlavikaChar" w:customStyle="1">
    <w:name w:val="Hlavička Char"/>
    <w:basedOn w:val="Predvolenpsmoodseku1"/>
    <w:qFormat/>
    <w:rPr/>
  </w:style>
  <w:style w:type="character" w:styleId="PtaChar" w:customStyle="1">
    <w:name w:val="Päta Char"/>
    <w:basedOn w:val="Predvolenpsmoodseku1"/>
    <w:qFormat/>
    <w:rPr/>
  </w:style>
  <w:style w:type="character" w:styleId="Pagenumber">
    <w:name w:val="page number"/>
    <w:qFormat/>
    <w:rPr>
      <w:rFonts w:cs="Times New Roman"/>
    </w:rPr>
  </w:style>
  <w:style w:type="character" w:styleId="Nadpis1Char" w:customStyle="1">
    <w:name w:val="Nadpis 1 Char"/>
    <w:qFormat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Nadpis2Char" w:customStyle="1">
    <w:name w:val="Nadpis 2 Char"/>
    <w:qFormat/>
    <w:rPr>
      <w:rFonts w:ascii="Times New Roman" w:hAnsi="Times New Roman" w:eastAsia="Times New Roman" w:cs="Times New Roman"/>
      <w:b/>
      <w:sz w:val="18"/>
      <w:szCs w:val="20"/>
    </w:rPr>
  </w:style>
  <w:style w:type="character" w:styleId="Nadpis6Char" w:customStyle="1">
    <w:name w:val="Nadpis 6 Char"/>
    <w:qFormat/>
    <w:rPr>
      <w:rFonts w:ascii="Times New Roman" w:hAnsi="Times New Roman" w:eastAsia="Times New Roman" w:cs="Times New Roman"/>
      <w:b/>
      <w:caps/>
      <w:sz w:val="32"/>
      <w:szCs w:val="20"/>
    </w:rPr>
  </w:style>
  <w:style w:type="character" w:styleId="ZkladntextChar" w:customStyle="1">
    <w:name w:val="Základný text Char"/>
    <w:link w:val="Zkladntext"/>
    <w:qFormat/>
    <w:rPr>
      <w:rFonts w:ascii="Times New Roman" w:hAnsi="Times New Roman" w:eastAsia="Times New Roman" w:cs="Times New Roman"/>
      <w:sz w:val="18"/>
      <w:szCs w:val="20"/>
    </w:rPr>
  </w:style>
  <w:style w:type="character" w:styleId="Znakyprepoznmkupodiarou" w:customStyle="1">
    <w:name w:val="Znaky pre poznámku pod čiarou"/>
    <w:qFormat/>
    <w:rPr>
      <w:rFonts w:cs="Times New Roman"/>
      <w:position w:val="0"/>
      <w:sz w:val="16"/>
      <w:sz w:val="16"/>
      <w:szCs w:val="16"/>
      <w:vertAlign w:val="baseline"/>
    </w:rPr>
  </w:style>
  <w:style w:type="character" w:styleId="ZifChar" w:customStyle="1">
    <w:name w:val="zif Char"/>
    <w:qFormat/>
    <w:rPr>
      <w:rFonts w:ascii="Times" w:hAnsi="Times" w:eastAsia="Times New Roman" w:cs="Times New Roman"/>
      <w:sz w:val="20"/>
      <w:szCs w:val="20"/>
      <w:lang w:val="en-US"/>
    </w:rPr>
  </w:style>
  <w:style w:type="character" w:styleId="Nadpis9Char" w:customStyle="1">
    <w:name w:val="Nadpis 9 Char"/>
    <w:qFormat/>
    <w:rPr>
      <w:rFonts w:ascii="Cambria" w:hAnsi="Cambria" w:eastAsia="Times New Roman" w:cs="Times New Roman"/>
      <w:i/>
      <w:iCs/>
      <w:color w:val="404040"/>
      <w:sz w:val="20"/>
      <w:szCs w:val="20"/>
    </w:rPr>
  </w:style>
  <w:style w:type="character" w:styleId="TextbublinyChar" w:customStyle="1">
    <w:name w:val="Text bubliny Char"/>
    <w:qFormat/>
    <w:rPr>
      <w:rFonts w:ascii="Tahoma" w:hAnsi="Tahoma" w:eastAsia="Times New Roman" w:cs="Tahoma"/>
      <w:sz w:val="16"/>
      <w:szCs w:val="16"/>
    </w:rPr>
  </w:style>
  <w:style w:type="character" w:styleId="M2359083177929547904predvolenpsmoodseku1" w:customStyle="1">
    <w:name w:val="m_2359083177929547904predvolenpsmoodseku1"/>
    <w:qFormat/>
    <w:rPr/>
  </w:style>
  <w:style w:type="character" w:styleId="ZkladntextChar1" w:customStyle="1">
    <w:name w:val="Základný text Char1"/>
    <w:basedOn w:val="DefaultParagraphFont"/>
    <w:uiPriority w:val="99"/>
    <w:semiHidden/>
    <w:qFormat/>
    <w:rsid w:val="00174559"/>
    <w:rPr>
      <w:rFonts w:cs="Mangal"/>
      <w:szCs w:val="21"/>
    </w:rPr>
  </w:style>
  <w:style w:type="character" w:styleId="ListLabel1">
    <w:name w:val="ListLabel 1"/>
    <w:qFormat/>
    <w:rPr>
      <w:b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ascii="Arial" w:hAnsi="Arial" w:cs="Times New Roman"/>
      <w:szCs w:val="18"/>
    </w:rPr>
  </w:style>
  <w:style w:type="character" w:styleId="ListLabel4">
    <w:name w:val="ListLabel 4"/>
    <w:qFormat/>
    <w:rPr>
      <w:rFonts w:ascii="Arial" w:hAnsi="Arial" w:cs="Arial"/>
      <w:b/>
      <w:bCs/>
      <w:szCs w:val="18"/>
    </w:rPr>
  </w:style>
  <w:style w:type="character" w:styleId="ListLabel5">
    <w:name w:val="ListLabel 5"/>
    <w:qFormat/>
    <w:rPr>
      <w:b/>
    </w:rPr>
  </w:style>
  <w:style w:type="character" w:styleId="ListLabel6">
    <w:name w:val="ListLabel 6"/>
    <w:qFormat/>
    <w:rPr>
      <w:rFonts w:ascii="Arial" w:hAnsi="Arial" w:cs="Arial"/>
      <w:sz w:val="18"/>
      <w:szCs w:val="18"/>
    </w:rPr>
  </w:style>
  <w:style w:type="character" w:styleId="ListLabel7">
    <w:name w:val="ListLabel 7"/>
    <w:qFormat/>
    <w:rPr>
      <w:rFonts w:ascii="Arial" w:hAnsi="Arial" w:cs="Times New Roman"/>
      <w:szCs w:val="18"/>
    </w:rPr>
  </w:style>
  <w:style w:type="character" w:styleId="ListLabel8">
    <w:name w:val="ListLabel 8"/>
    <w:qFormat/>
    <w:rPr>
      <w:rFonts w:ascii="Arial" w:hAnsi="Arial" w:cs="Arial"/>
      <w:sz w:val="18"/>
      <w:szCs w:val="18"/>
    </w:rPr>
  </w:style>
  <w:style w:type="character" w:styleId="ListLabel9">
    <w:name w:val="ListLabel 9"/>
    <w:qFormat/>
    <w:rPr>
      <w:rFonts w:ascii="Arial" w:hAnsi="Arial" w:cs="Arial"/>
      <w:b/>
      <w:bCs/>
      <w:szCs w:val="18"/>
    </w:rPr>
  </w:style>
  <w:style w:type="character" w:styleId="ListLabel10">
    <w:name w:val="ListLabel 10"/>
    <w:qFormat/>
    <w:rPr>
      <w:rFonts w:ascii="Arial" w:hAnsi="Arial"/>
      <w:b w:val="false"/>
    </w:rPr>
  </w:style>
  <w:style w:type="character" w:styleId="ListLabel11">
    <w:name w:val="ListLabel 11"/>
    <w:qFormat/>
    <w:rPr>
      <w:rFonts w:cs="Times New Roman"/>
    </w:rPr>
  </w:style>
  <w:style w:type="paragraph" w:styleId="Nadpis" w:customStyle="1">
    <w:name w:val="Nadpis"/>
    <w:basedOn w:val="Standard"/>
    <w:next w:val="Telotextu"/>
    <w:qFormat/>
    <w:pPr>
      <w:keepNext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rsid w:val="00174559"/>
    <w:pPr>
      <w:widowControl/>
      <w:suppressAutoHyphens w:val="false"/>
      <w:ind w:left="426" w:hanging="0"/>
      <w:jc w:val="both"/>
      <w:textAlignment w:val="auto"/>
    </w:pPr>
    <w:rPr>
      <w:rFonts w:ascii="Times New Roman" w:hAnsi="Times New Roman" w:eastAsia="Times New Roman" w:cs="Times New Roman"/>
      <w:sz w:val="18"/>
      <w:szCs w:val="20"/>
    </w:rPr>
  </w:style>
  <w:style w:type="paragraph" w:styleId="Zoznam">
    <w:name w:val="List"/>
    <w:basedOn w:val="Textbody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pPr>
      <w:suppressLineNumbers/>
    </w:pPr>
    <w:rPr>
      <w:rFonts w:cs="Mangal"/>
    </w:rPr>
  </w:style>
  <w:style w:type="paragraph" w:styleId="Standard" w:customStyle="1">
    <w:name w:val="Standard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sz w:val="20"/>
      <w:szCs w:val="20"/>
      <w:lang w:bidi="ar-SA" w:val="sk-SK" w:eastAsia="zh-CN"/>
    </w:rPr>
  </w:style>
  <w:style w:type="paragraph" w:styleId="Textbody" w:customStyle="1">
    <w:name w:val="Text body"/>
    <w:basedOn w:val="Standard"/>
    <w:qFormat/>
    <w:pPr>
      <w:ind w:left="426" w:hanging="0"/>
      <w:jc w:val="both"/>
    </w:pPr>
    <w:rPr>
      <w:sz w:val="18"/>
    </w:rPr>
  </w:style>
  <w:style w:type="paragraph" w:styleId="Caption">
    <w:name w:val="caption"/>
    <w:basedOn w:val="Standard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Popis4" w:customStyle="1">
    <w:name w:val="Popis4"/>
    <w:basedOn w:val="Standard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Popis3" w:customStyle="1">
    <w:name w:val="Popis3"/>
    <w:basedOn w:val="Standard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Popis2" w:customStyle="1">
    <w:name w:val="Popis2"/>
    <w:basedOn w:val="Standard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Popis1" w:customStyle="1">
    <w:name w:val="Popis1"/>
    <w:basedOn w:val="Standard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Hlavika">
    <w:name w:val="Header"/>
    <w:basedOn w:val="Standard"/>
    <w:pPr/>
    <w:rPr/>
  </w:style>
  <w:style w:type="paragraph" w:styleId="Pta">
    <w:name w:val="Footer"/>
    <w:basedOn w:val="Standard"/>
    <w:pPr/>
    <w:rPr/>
  </w:style>
  <w:style w:type="paragraph" w:styleId="Uvod" w:customStyle="1">
    <w:name w:val="Uvod"/>
    <w:basedOn w:val="Standard"/>
    <w:qFormat/>
    <w:pPr>
      <w:ind w:left="284" w:hanging="284"/>
      <w:jc w:val="both"/>
    </w:pPr>
    <w:rPr>
      <w:sz w:val="22"/>
    </w:rPr>
  </w:style>
  <w:style w:type="paragraph" w:styleId="Lita" w:customStyle="1">
    <w:name w:val="lit_a"/>
    <w:basedOn w:val="Standard"/>
    <w:qFormat/>
    <w:pPr>
      <w:spacing w:before="0" w:after="20"/>
      <w:ind w:left="624" w:hanging="340"/>
      <w:jc w:val="both"/>
    </w:pPr>
    <w:rPr>
      <w:rFonts w:ascii="Times" w:hAnsi="Times" w:eastAsia="Times" w:cs="Times"/>
      <w:lang w:val="en-US"/>
    </w:rPr>
  </w:style>
  <w:style w:type="paragraph" w:styleId="Zif" w:customStyle="1">
    <w:name w:val="zif"/>
    <w:basedOn w:val="Standard"/>
    <w:qFormat/>
    <w:pPr>
      <w:spacing w:before="0" w:after="80"/>
      <w:jc w:val="both"/>
    </w:pPr>
    <w:rPr>
      <w:rFonts w:ascii="Times" w:hAnsi="Times" w:eastAsia="Times" w:cs="Times"/>
      <w:lang w:val="en-US"/>
    </w:rPr>
  </w:style>
  <w:style w:type="paragraph" w:styleId="ListParagraph">
    <w:name w:val="List Paragraph"/>
    <w:basedOn w:val="Standard"/>
    <w:qFormat/>
    <w:pPr>
      <w:ind w:left="708" w:hanging="0"/>
    </w:pPr>
    <w:rPr/>
  </w:style>
  <w:style w:type="paragraph" w:styleId="Tabulka" w:customStyle="1">
    <w:name w:val="Tabulka"/>
    <w:basedOn w:val="Standard"/>
    <w:qFormat/>
    <w:pPr/>
    <w:rPr>
      <w:color w:val="000000"/>
      <w:sz w:val="18"/>
    </w:rPr>
  </w:style>
  <w:style w:type="paragraph" w:styleId="Pismenka" w:customStyle="1">
    <w:name w:val="Pismenka"/>
    <w:basedOn w:val="Textbody"/>
    <w:qFormat/>
    <w:pPr>
      <w:ind w:left="426" w:hanging="426"/>
    </w:pPr>
    <w:rPr>
      <w:b/>
    </w:rPr>
  </w:style>
  <w:style w:type="paragraph" w:styleId="BalloonText">
    <w:name w:val="Balloon Text"/>
    <w:basedOn w:val="Standard"/>
    <w:qFormat/>
    <w:pPr/>
    <w:rPr>
      <w:rFonts w:ascii="Tahoma" w:hAnsi="Tahoma" w:eastAsia="Tahoma" w:cs="Tahoma"/>
      <w:sz w:val="16"/>
      <w:szCs w:val="16"/>
    </w:rPr>
  </w:style>
  <w:style w:type="paragraph" w:styleId="Obsahtabuky" w:customStyle="1">
    <w:name w:val="Obsah tabuľky"/>
    <w:basedOn w:val="Standard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paragraph" w:styleId="Normlny1" w:customStyle="1">
    <w:name w:val="Normálny1"/>
    <w:qFormat/>
    <w:pPr>
      <w:widowControl/>
      <w:bidi w:val="0"/>
      <w:spacing w:lineRule="atLeast" w:line="100"/>
      <w:jc w:val="left"/>
    </w:pPr>
    <w:rPr>
      <w:rFonts w:ascii="Times New Roman" w:hAnsi="Times New Roman" w:eastAsia="SimSun, 宋体" w:cs="Tahoma"/>
      <w:color w:val="auto"/>
      <w:sz w:val="24"/>
      <w:szCs w:val="24"/>
      <w:lang w:val="sk-SK" w:eastAsia="zh-CN" w:bidi="hi-IN"/>
    </w:rPr>
  </w:style>
  <w:style w:type="paragraph" w:styleId="Zkladntext1" w:customStyle="1">
    <w:name w:val="Základný text1"/>
    <w:basedOn w:val="Normlny1"/>
    <w:qFormat/>
    <w:pPr>
      <w:widowControl/>
      <w:suppressAutoHyphens w:val="false"/>
      <w:ind w:left="426" w:hanging="0"/>
      <w:jc w:val="both"/>
      <w:textAlignment w:val="auto"/>
    </w:pPr>
    <w:rPr>
      <w:sz w:val="18"/>
    </w:rPr>
  </w:style>
  <w:style w:type="paragraph" w:styleId="Obsahrmca" w:customStyle="1">
    <w:name w:val="Obsah rámca"/>
    <w:basedOn w:val="Textbody"/>
    <w:qFormat/>
    <w:pPr/>
    <w:rPr/>
  </w:style>
  <w:style w:type="paragraph" w:styleId="NormalWeb">
    <w:name w:val="Normal (Web)"/>
    <w:basedOn w:val="Standard"/>
    <w:qFormat/>
    <w:pPr>
      <w:suppressAutoHyphens w:val="false"/>
      <w:spacing w:before="280" w:after="280"/>
    </w:pPr>
    <w:rPr>
      <w:rFonts w:eastAsia="Calibri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numbering" w:styleId="WW8Num1" w:customStyle="1">
    <w:name w:val="WW8Num1"/>
    <w:qFormat/>
  </w:style>
  <w:style w:type="numbering" w:styleId="WW8Num2" w:customStyle="1">
    <w:name w:val="WW8Num2"/>
    <w:qFormat/>
  </w:style>
  <w:style w:type="numbering" w:styleId="WW8Num3" w:customStyle="1">
    <w:name w:val="WW8Num3"/>
    <w:qFormat/>
  </w:style>
  <w:style w:type="numbering" w:styleId="WW8Num4" w:customStyle="1">
    <w:name w:val="WW8Num4"/>
    <w:qFormat/>
  </w:style>
  <w:style w:type="numbering" w:styleId="WW8Num5" w:customStyle="1">
    <w:name w:val="WW8Num5"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49234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package" Target="embeddings/oleObject1.xlsx"/><Relationship Id="rId3" Type="http://schemas.openxmlformats.org/officeDocument/2006/relationships/image" Target="media/image1.emf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199AF5-8FC2-4CF6-A5B4-75D87D04F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LibreOffice/5.3.3.2$Windows_X86_64 LibreOffice_project/3d9a8b4b4e538a85e0782bd6c2d430bafe583448</Application>
  <Pages>10</Pages>
  <Words>1943</Words>
  <Characters>11294</Characters>
  <CharactersWithSpaces>13235</CharactersWithSpaces>
  <Paragraphs>258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2025-03-19T15:01:00Z</dcterms:created>
  <dc:creator>Silvia Marekovičová | MANDAT</dc:creator>
  <dc:description/>
  <dc:language>sk-SK</dc:language>
  <cp:lastModifiedBy>Kristína Lončeková</cp:lastModifiedBy>
  <cp:lastPrinted>2023-03-09T11:30:00Z</cp:lastPrinted>
  <dcterms:modified xsi:type="dcterms:W3CDTF">2025-03-19T15:01:00Z</dcterms:modified>
  <cp:revision>2</cp:revision>
  <dc:subject/>
  <dc:title>Poznámky Úč POD 3 - 04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