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80F02" w:rsidRDefault="0060344E">
      <w:pPr>
        <w:pStyle w:val="Telotextu"/>
        <w:spacing w:after="260"/>
        <w:ind w:firstLine="380"/>
        <w:jc w:val="both"/>
        <w:rPr>
          <w:rStyle w:val="ZkladntextChar1"/>
          <w:b/>
          <w:bCs/>
          <w:color w:val="000000"/>
          <w:sz w:val="24"/>
          <w:szCs w:val="24"/>
        </w:rPr>
      </w:pPr>
      <w:r>
        <w:rPr>
          <w:rStyle w:val="ZkladntextChar1"/>
          <w:b/>
          <w:bCs/>
          <w:color w:val="000000"/>
          <w:sz w:val="24"/>
          <w:szCs w:val="24"/>
        </w:rPr>
        <w:t>INFORMÁCIE O ÚČTOVNEJ JEDNOTKE</w:t>
      </w:r>
    </w:p>
    <w:p w:rsidR="00080F02" w:rsidRDefault="0060344E">
      <w:pPr>
        <w:pStyle w:val="Heading20"/>
        <w:keepNext/>
        <w:keepLines/>
        <w:numPr>
          <w:ilvl w:val="0"/>
          <w:numId w:val="1"/>
        </w:numPr>
        <w:tabs>
          <w:tab w:val="left" w:pos="359"/>
        </w:tabs>
        <w:ind w:left="0"/>
        <w:jc w:val="both"/>
        <w:rPr>
          <w:rStyle w:val="Heading2"/>
          <w:b/>
          <w:bCs/>
          <w:color w:val="000000"/>
          <w:sz w:val="24"/>
          <w:szCs w:val="24"/>
        </w:rPr>
      </w:pPr>
      <w:bookmarkStart w:id="0" w:name="bookmark0"/>
      <w:bookmarkEnd w:id="0"/>
      <w:r>
        <w:rPr>
          <w:rStyle w:val="Heading2"/>
          <w:b/>
          <w:bCs/>
          <w:color w:val="000000"/>
          <w:sz w:val="24"/>
          <w:szCs w:val="24"/>
        </w:rPr>
        <w:t>Založenie spoločnosti</w:t>
      </w:r>
    </w:p>
    <w:p w:rsidR="00080F02" w:rsidRDefault="0060344E">
      <w:pPr>
        <w:pStyle w:val="Telotextu"/>
        <w:spacing w:after="0" w:line="228" w:lineRule="auto"/>
        <w:ind w:firstLine="44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Spoločnosť: STROPTEL, s.r.o. (ďalej len Spoločnosť)</w:t>
      </w:r>
    </w:p>
    <w:p w:rsidR="00080F02" w:rsidRDefault="0060344E">
      <w:pPr>
        <w:pStyle w:val="Telotextu"/>
        <w:spacing w:after="0"/>
        <w:ind w:firstLine="44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 xml:space="preserve">Sídlo: </w:t>
      </w:r>
      <w:proofErr w:type="spellStart"/>
      <w:r>
        <w:rPr>
          <w:rStyle w:val="ZkladntextChar1"/>
          <w:color w:val="000000"/>
          <w:sz w:val="24"/>
          <w:szCs w:val="24"/>
        </w:rPr>
        <w:t>Ciolkovského</w:t>
      </w:r>
      <w:proofErr w:type="spellEnd"/>
      <w:r>
        <w:rPr>
          <w:rStyle w:val="ZkladntextChar1"/>
          <w:color w:val="000000"/>
          <w:sz w:val="24"/>
          <w:szCs w:val="24"/>
        </w:rPr>
        <w:t xml:space="preserve"> 1270/1, 091 01 Stropkov</w:t>
      </w:r>
    </w:p>
    <w:p w:rsidR="00080F02" w:rsidRDefault="0060344E">
      <w:pPr>
        <w:pStyle w:val="Telotextu"/>
        <w:spacing w:after="0"/>
        <w:ind w:firstLine="44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Založená dňa: 15.12.1995</w:t>
      </w:r>
    </w:p>
    <w:p w:rsidR="00080F02" w:rsidRDefault="0060344E">
      <w:pPr>
        <w:pStyle w:val="Telotextu"/>
        <w:spacing w:after="0"/>
        <w:ind w:firstLine="44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Do obchodného registra bola zapísaná dňa: 15</w:t>
      </w:r>
      <w:r w:rsidR="00573965">
        <w:rPr>
          <w:rStyle w:val="ZkladntextChar1"/>
          <w:color w:val="000000"/>
          <w:sz w:val="24"/>
          <w:szCs w:val="24"/>
        </w:rPr>
        <w:t>.</w:t>
      </w:r>
      <w:r>
        <w:rPr>
          <w:rStyle w:val="ZkladntextChar1"/>
          <w:color w:val="000000"/>
          <w:sz w:val="24"/>
          <w:szCs w:val="24"/>
        </w:rPr>
        <w:t>12.1995</w:t>
      </w:r>
    </w:p>
    <w:p w:rsidR="00080F02" w:rsidRDefault="0060344E">
      <w:pPr>
        <w:pStyle w:val="Telotextu"/>
        <w:ind w:firstLine="44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 xml:space="preserve">(Obchodný register </w:t>
      </w:r>
      <w:r>
        <w:rPr>
          <w:rStyle w:val="ZkladntextChar1"/>
          <w:color w:val="000000"/>
          <w:sz w:val="24"/>
          <w:szCs w:val="24"/>
        </w:rPr>
        <w:t>Okresného súdu Prešov, oddiel s.r.o., vložka 2706/P).</w:t>
      </w:r>
    </w:p>
    <w:p w:rsidR="00080F02" w:rsidRDefault="0060344E">
      <w:pPr>
        <w:pStyle w:val="Telotextu"/>
        <w:numPr>
          <w:ilvl w:val="0"/>
          <w:numId w:val="1"/>
        </w:numPr>
        <w:tabs>
          <w:tab w:val="left" w:pos="359"/>
        </w:tabs>
        <w:spacing w:after="620"/>
        <w:jc w:val="both"/>
        <w:rPr>
          <w:rStyle w:val="ZkladntextChar1"/>
          <w:b/>
          <w:bCs/>
          <w:color w:val="000000"/>
          <w:sz w:val="24"/>
          <w:szCs w:val="24"/>
        </w:rPr>
      </w:pPr>
      <w:r>
        <w:rPr>
          <w:rStyle w:val="ZkladntextChar1"/>
          <w:b/>
          <w:bCs/>
          <w:color w:val="000000"/>
          <w:sz w:val="24"/>
          <w:szCs w:val="24"/>
        </w:rPr>
        <w:t>Hlavnými činnosťami Spoločnosti sú: Výroba transformátorov, cievok a vinutých dielov</w:t>
      </w:r>
    </w:p>
    <w:p w:rsidR="00080F02" w:rsidRDefault="0060344E">
      <w:pPr>
        <w:pStyle w:val="Heading20"/>
        <w:keepNext/>
        <w:keepLines/>
        <w:numPr>
          <w:ilvl w:val="0"/>
          <w:numId w:val="1"/>
        </w:numPr>
        <w:tabs>
          <w:tab w:val="left" w:pos="359"/>
        </w:tabs>
        <w:ind w:left="0"/>
        <w:jc w:val="both"/>
        <w:rPr>
          <w:rStyle w:val="Heading2"/>
          <w:b/>
          <w:bCs/>
          <w:color w:val="000000"/>
          <w:sz w:val="24"/>
          <w:szCs w:val="24"/>
        </w:rPr>
      </w:pPr>
      <w:bookmarkStart w:id="1" w:name="bookmark2"/>
      <w:bookmarkEnd w:id="1"/>
      <w:r>
        <w:rPr>
          <w:rStyle w:val="Heading2"/>
          <w:b/>
          <w:bCs/>
          <w:color w:val="000000"/>
          <w:sz w:val="24"/>
          <w:szCs w:val="24"/>
        </w:rPr>
        <w:t>Údaje o neobmedzenom ručení</w:t>
      </w:r>
    </w:p>
    <w:p w:rsidR="00080F02" w:rsidRDefault="0060344E">
      <w:pPr>
        <w:pStyle w:val="Telotextu"/>
        <w:ind w:firstLine="44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Spoločnosť nie je neobmedzene ručiacim spoločníkom v iných spoločnostiach podľa § 56 ods.</w:t>
      </w:r>
      <w:r>
        <w:rPr>
          <w:rStyle w:val="ZkladntextChar1"/>
          <w:color w:val="000000"/>
          <w:sz w:val="24"/>
          <w:szCs w:val="24"/>
        </w:rPr>
        <w:t xml:space="preserve"> 5 Obchodného zákonníka.</w:t>
      </w:r>
    </w:p>
    <w:p w:rsidR="00080F02" w:rsidRDefault="0060344E">
      <w:pPr>
        <w:pStyle w:val="Heading20"/>
        <w:keepNext/>
        <w:keepLines/>
        <w:numPr>
          <w:ilvl w:val="0"/>
          <w:numId w:val="1"/>
        </w:numPr>
        <w:tabs>
          <w:tab w:val="left" w:pos="359"/>
        </w:tabs>
        <w:ind w:left="0"/>
        <w:jc w:val="both"/>
        <w:rPr>
          <w:rStyle w:val="Heading2"/>
          <w:b/>
          <w:bCs/>
          <w:color w:val="000000"/>
          <w:sz w:val="24"/>
          <w:szCs w:val="24"/>
        </w:rPr>
      </w:pPr>
      <w:bookmarkStart w:id="2" w:name="bookmark4"/>
      <w:bookmarkEnd w:id="2"/>
      <w:r>
        <w:rPr>
          <w:rStyle w:val="Heading2"/>
          <w:b/>
          <w:bCs/>
          <w:color w:val="000000"/>
          <w:sz w:val="24"/>
          <w:szCs w:val="24"/>
        </w:rPr>
        <w:t>Právny dôvod na zostavenie účtovnej závierky</w:t>
      </w:r>
    </w:p>
    <w:p w:rsidR="00080F02" w:rsidRDefault="0060344E">
      <w:pPr>
        <w:pStyle w:val="Telotextu"/>
        <w:ind w:left="440" w:firstLine="2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Účtovná závierka Spoločnosti k 31. decembru 202</w:t>
      </w:r>
      <w:r w:rsidR="00573965">
        <w:rPr>
          <w:rStyle w:val="ZkladntextChar1"/>
          <w:color w:val="000000"/>
          <w:sz w:val="24"/>
          <w:szCs w:val="24"/>
        </w:rPr>
        <w:t>4</w:t>
      </w:r>
      <w:r>
        <w:rPr>
          <w:rStyle w:val="ZkladntextChar1"/>
          <w:color w:val="000000"/>
          <w:sz w:val="24"/>
          <w:szCs w:val="24"/>
        </w:rPr>
        <w:t xml:space="preserve"> je zostavená ako riadna účtovná závierka podľa § 17 ods. 6 zákona NR SR č. 431/2002 Z. z. o účtovníctve za účtovné obdobie od 1. januára </w:t>
      </w:r>
      <w:r>
        <w:rPr>
          <w:rStyle w:val="ZkladntextChar1"/>
          <w:color w:val="000000"/>
          <w:sz w:val="24"/>
          <w:szCs w:val="24"/>
        </w:rPr>
        <w:t>202</w:t>
      </w:r>
      <w:r w:rsidR="00573965">
        <w:rPr>
          <w:rStyle w:val="ZkladntextChar1"/>
          <w:color w:val="000000"/>
          <w:sz w:val="24"/>
          <w:szCs w:val="24"/>
        </w:rPr>
        <w:t>4</w:t>
      </w:r>
      <w:r>
        <w:rPr>
          <w:rStyle w:val="ZkladntextChar1"/>
          <w:color w:val="000000"/>
          <w:sz w:val="24"/>
          <w:szCs w:val="24"/>
        </w:rPr>
        <w:t xml:space="preserve"> do 31. decembra 202</w:t>
      </w:r>
      <w:r w:rsidR="00573965">
        <w:rPr>
          <w:rStyle w:val="ZkladntextChar1"/>
          <w:color w:val="000000"/>
          <w:sz w:val="24"/>
          <w:szCs w:val="24"/>
        </w:rPr>
        <w:t>4</w:t>
      </w:r>
      <w:r>
        <w:rPr>
          <w:rStyle w:val="ZkladntextChar1"/>
          <w:color w:val="000000"/>
          <w:sz w:val="24"/>
          <w:szCs w:val="24"/>
        </w:rPr>
        <w:t>.</w:t>
      </w:r>
    </w:p>
    <w:p w:rsidR="00080F02" w:rsidRDefault="0060344E">
      <w:pPr>
        <w:pStyle w:val="Heading20"/>
        <w:keepNext/>
        <w:keepLines/>
        <w:numPr>
          <w:ilvl w:val="0"/>
          <w:numId w:val="1"/>
        </w:numPr>
        <w:tabs>
          <w:tab w:val="left" w:pos="359"/>
        </w:tabs>
        <w:ind w:left="0"/>
        <w:jc w:val="both"/>
        <w:rPr>
          <w:rStyle w:val="Heading2"/>
          <w:b/>
          <w:bCs/>
          <w:color w:val="000000"/>
          <w:sz w:val="24"/>
          <w:szCs w:val="24"/>
        </w:rPr>
      </w:pPr>
      <w:bookmarkStart w:id="3" w:name="bookmark6"/>
      <w:bookmarkEnd w:id="3"/>
      <w:r>
        <w:rPr>
          <w:rStyle w:val="Heading2"/>
          <w:b/>
          <w:bCs/>
          <w:color w:val="000000"/>
          <w:sz w:val="24"/>
          <w:szCs w:val="24"/>
        </w:rPr>
        <w:t>Dátum schválenia účtovnej závierky za predchádzajúce účtovné obdobie</w:t>
      </w:r>
    </w:p>
    <w:p w:rsidR="00080F02" w:rsidRDefault="0060344E">
      <w:pPr>
        <w:pStyle w:val="Telotextu"/>
        <w:ind w:left="440" w:firstLine="2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Účtovná závierka</w:t>
      </w:r>
      <w:r w:rsidR="00573965">
        <w:rPr>
          <w:rStyle w:val="ZkladntextChar1"/>
          <w:color w:val="000000"/>
          <w:sz w:val="24"/>
          <w:szCs w:val="24"/>
        </w:rPr>
        <w:t xml:space="preserve"> Spoločnosti k 31. decembru 2023</w:t>
      </w:r>
      <w:r>
        <w:rPr>
          <w:rStyle w:val="ZkladntextChar1"/>
          <w:color w:val="000000"/>
          <w:sz w:val="24"/>
          <w:szCs w:val="24"/>
        </w:rPr>
        <w:t xml:space="preserve">, za predchádzajúce účtovné obdobie, bola schválená valným zhromaždením spoločnosti dňa </w:t>
      </w:r>
      <w:r w:rsidR="00573965">
        <w:rPr>
          <w:rStyle w:val="ZkladntextChar1"/>
          <w:color w:val="000000"/>
          <w:sz w:val="24"/>
          <w:szCs w:val="24"/>
        </w:rPr>
        <w:t>02.10.2024</w:t>
      </w:r>
    </w:p>
    <w:p w:rsidR="00080F02" w:rsidRDefault="0060344E">
      <w:pPr>
        <w:pStyle w:val="Heading20"/>
        <w:keepNext/>
        <w:keepLines/>
        <w:numPr>
          <w:ilvl w:val="0"/>
          <w:numId w:val="1"/>
        </w:numPr>
        <w:tabs>
          <w:tab w:val="left" w:pos="359"/>
        </w:tabs>
        <w:spacing w:after="400"/>
        <w:ind w:left="0"/>
        <w:jc w:val="both"/>
        <w:rPr>
          <w:rStyle w:val="Heading2"/>
          <w:b/>
          <w:bCs/>
          <w:color w:val="000000"/>
          <w:sz w:val="24"/>
          <w:szCs w:val="24"/>
        </w:rPr>
      </w:pPr>
      <w:bookmarkStart w:id="4" w:name="bookmark8"/>
      <w:bookmarkEnd w:id="4"/>
      <w:r>
        <w:rPr>
          <w:rStyle w:val="Heading2"/>
          <w:b/>
          <w:bCs/>
          <w:color w:val="000000"/>
          <w:sz w:val="24"/>
          <w:szCs w:val="24"/>
        </w:rPr>
        <w:t>Počet zamestn</w:t>
      </w:r>
      <w:r>
        <w:rPr>
          <w:rStyle w:val="Heading2"/>
          <w:b/>
          <w:bCs/>
          <w:color w:val="000000"/>
          <w:sz w:val="24"/>
          <w:szCs w:val="24"/>
        </w:rPr>
        <w:t>ancov</w:t>
      </w:r>
    </w:p>
    <w:p w:rsidR="00080F02" w:rsidRDefault="0060344E">
      <w:pPr>
        <w:pStyle w:val="Telotextu"/>
        <w:spacing w:after="620"/>
        <w:ind w:firstLine="44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Údaje o počte zamestnancov za bežné účtovné obdobie sú uvedené v nasledujúcom prehľade:</w:t>
      </w:r>
    </w:p>
    <w:tbl>
      <w:tblPr>
        <w:tblW w:w="0" w:type="auto"/>
        <w:tblInd w:w="1506" w:type="dxa"/>
        <w:tblBorders>
          <w:top w:val="single" w:sz="4" w:space="0" w:color="00000A"/>
          <w:left w:val="single" w:sz="4" w:space="0" w:color="00000A"/>
          <w:bottom w:val="nil"/>
          <w:right w:val="nil"/>
          <w:insideH w:val="nil"/>
          <w:insideV w:val="nil"/>
        </w:tblBorders>
        <w:tblCellMar>
          <w:left w:w="-5" w:type="dxa"/>
          <w:right w:w="0" w:type="dxa"/>
        </w:tblCellMar>
        <w:tblLook w:val="04A0" w:firstRow="1" w:lastRow="0" w:firstColumn="1" w:lastColumn="0" w:noHBand="0" w:noVBand="1"/>
      </w:tblPr>
      <w:tblGrid>
        <w:gridCol w:w="3801"/>
        <w:gridCol w:w="3287"/>
      </w:tblGrid>
      <w:tr w:rsidR="00080F02">
        <w:trPr>
          <w:trHeight w:hRule="exact" w:val="250"/>
        </w:trPr>
        <w:tc>
          <w:tcPr>
            <w:tcW w:w="3801" w:type="dxa"/>
            <w:tcBorders>
              <w:top w:val="single" w:sz="4" w:space="0" w:color="00000A"/>
              <w:left w:val="single" w:sz="4" w:space="0" w:color="00000A"/>
              <w:bottom w:val="nil"/>
              <w:right w:val="nil"/>
            </w:tcBorders>
            <w:shd w:val="clear" w:color="auto" w:fill="FFFFFF"/>
            <w:tcMar>
              <w:left w:w="-5" w:type="dxa"/>
            </w:tcMar>
            <w:vAlign w:val="bottom"/>
          </w:tcPr>
          <w:p w:rsidR="00080F02" w:rsidRDefault="0060344E">
            <w:pPr>
              <w:pStyle w:val="Other0"/>
              <w:spacing w:after="0"/>
              <w:ind w:firstLine="500"/>
              <w:rPr>
                <w:rStyle w:val="Other"/>
                <w:b/>
                <w:bCs/>
                <w:color w:val="000000"/>
                <w:sz w:val="24"/>
                <w:szCs w:val="24"/>
              </w:rPr>
            </w:pPr>
            <w:r>
              <w:rPr>
                <w:rStyle w:val="Other"/>
                <w:b/>
                <w:bCs/>
                <w:color w:val="000000"/>
                <w:sz w:val="24"/>
                <w:szCs w:val="24"/>
              </w:rPr>
              <w:t>Názov položky</w:t>
            </w:r>
          </w:p>
        </w:tc>
        <w:tc>
          <w:tcPr>
            <w:tcW w:w="3287" w:type="dxa"/>
            <w:tcBorders>
              <w:top w:val="single" w:sz="4" w:space="0" w:color="00000A"/>
              <w:left w:val="single" w:sz="4" w:space="0" w:color="00000A"/>
              <w:bottom w:val="nil"/>
              <w:right w:val="single" w:sz="4" w:space="0" w:color="00000A"/>
            </w:tcBorders>
            <w:shd w:val="clear" w:color="auto" w:fill="FFFFFF"/>
            <w:tcMar>
              <w:left w:w="-5" w:type="dxa"/>
            </w:tcMar>
            <w:vAlign w:val="bottom"/>
          </w:tcPr>
          <w:p w:rsidR="00080F02" w:rsidRDefault="0060344E">
            <w:pPr>
              <w:pStyle w:val="Other0"/>
              <w:spacing w:after="0"/>
              <w:ind w:firstLine="480"/>
              <w:jc w:val="both"/>
              <w:rPr>
                <w:rStyle w:val="Other"/>
                <w:b/>
                <w:bCs/>
                <w:color w:val="000000"/>
                <w:sz w:val="24"/>
                <w:szCs w:val="24"/>
              </w:rPr>
            </w:pPr>
            <w:r>
              <w:rPr>
                <w:rStyle w:val="Other"/>
                <w:b/>
                <w:bCs/>
                <w:color w:val="000000"/>
                <w:sz w:val="24"/>
                <w:szCs w:val="24"/>
              </w:rPr>
              <w:t>Bežné účtovné obdobie</w:t>
            </w:r>
          </w:p>
        </w:tc>
      </w:tr>
      <w:tr w:rsidR="00080F02">
        <w:trPr>
          <w:trHeight w:hRule="exact" w:val="389"/>
        </w:trPr>
        <w:tc>
          <w:tcPr>
            <w:tcW w:w="3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nil"/>
            </w:tcBorders>
            <w:shd w:val="clear" w:color="auto" w:fill="FFFFFF"/>
            <w:tcMar>
              <w:left w:w="-5" w:type="dxa"/>
            </w:tcMar>
            <w:vAlign w:val="center"/>
          </w:tcPr>
          <w:p w:rsidR="00080F02" w:rsidRDefault="0060344E">
            <w:pPr>
              <w:pStyle w:val="Other0"/>
              <w:spacing w:after="0"/>
              <w:ind w:firstLine="500"/>
              <w:jc w:val="center"/>
              <w:rPr>
                <w:rStyle w:val="Other"/>
                <w:color w:val="000000"/>
                <w:sz w:val="24"/>
                <w:szCs w:val="24"/>
              </w:rPr>
            </w:pPr>
            <w:r>
              <w:rPr>
                <w:rStyle w:val="Other"/>
                <w:color w:val="000000"/>
                <w:sz w:val="24"/>
                <w:szCs w:val="24"/>
              </w:rPr>
              <w:t>Priemerný prepočítaný počet zamestnancov</w:t>
            </w:r>
          </w:p>
        </w:tc>
        <w:tc>
          <w:tcPr>
            <w:tcW w:w="32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-5" w:type="dxa"/>
            </w:tcMar>
            <w:vAlign w:val="center"/>
          </w:tcPr>
          <w:p w:rsidR="00080F02" w:rsidRDefault="0060344E" w:rsidP="00573965">
            <w:pPr>
              <w:pStyle w:val="Other0"/>
              <w:spacing w:after="0"/>
              <w:ind w:firstLine="480"/>
              <w:jc w:val="center"/>
              <w:rPr>
                <w:rStyle w:val="Other"/>
                <w:rFonts w:ascii="Microsoft Sans Serif" w:hAnsi="Microsoft Sans Serif" w:cs="Microsoft Sans Serif"/>
                <w:color w:val="000000"/>
                <w:sz w:val="24"/>
                <w:szCs w:val="24"/>
              </w:rPr>
            </w:pPr>
            <w:r>
              <w:rPr>
                <w:rStyle w:val="Other"/>
                <w:rFonts w:ascii="Microsoft Sans Serif" w:hAnsi="Microsoft Sans Serif" w:cs="Microsoft Sans Serif"/>
                <w:color w:val="000000"/>
                <w:sz w:val="24"/>
                <w:szCs w:val="24"/>
              </w:rPr>
              <w:t>8</w:t>
            </w:r>
            <w:r w:rsidR="00573965">
              <w:rPr>
                <w:rStyle w:val="Other"/>
                <w:rFonts w:ascii="Microsoft Sans Serif" w:hAnsi="Microsoft Sans Serif" w:cs="Microsoft Sans Serif"/>
                <w:color w:val="000000"/>
                <w:sz w:val="24"/>
                <w:szCs w:val="24"/>
              </w:rPr>
              <w:t>1</w:t>
            </w:r>
          </w:p>
        </w:tc>
      </w:tr>
    </w:tbl>
    <w:p w:rsidR="00080F02" w:rsidRDefault="00080F02">
      <w:pPr>
        <w:spacing w:after="199" w:line="1" w:lineRule="exact"/>
        <w:rPr>
          <w:color w:val="00000A"/>
        </w:rPr>
      </w:pPr>
    </w:p>
    <w:p w:rsidR="00080F02" w:rsidRDefault="0060344E">
      <w:pPr>
        <w:pStyle w:val="Heading20"/>
        <w:keepNext/>
        <w:keepLines/>
        <w:numPr>
          <w:ilvl w:val="0"/>
          <w:numId w:val="1"/>
        </w:numPr>
        <w:tabs>
          <w:tab w:val="left" w:pos="359"/>
        </w:tabs>
        <w:spacing w:after="200"/>
        <w:ind w:left="0"/>
        <w:jc w:val="both"/>
        <w:rPr>
          <w:rStyle w:val="Heading2"/>
          <w:b/>
          <w:bCs/>
          <w:color w:val="000000"/>
          <w:sz w:val="24"/>
          <w:szCs w:val="24"/>
        </w:rPr>
      </w:pPr>
      <w:bookmarkStart w:id="5" w:name="bookmark10"/>
      <w:bookmarkEnd w:id="5"/>
      <w:r>
        <w:rPr>
          <w:rStyle w:val="Heading2"/>
          <w:b/>
          <w:bCs/>
          <w:color w:val="000000"/>
          <w:sz w:val="24"/>
          <w:szCs w:val="24"/>
        </w:rPr>
        <w:t>Informácie o orgánoch účtovnej jednotky</w:t>
      </w:r>
    </w:p>
    <w:p w:rsidR="00080F02" w:rsidRDefault="0060344E">
      <w:pPr>
        <w:pStyle w:val="Telotextu"/>
        <w:numPr>
          <w:ilvl w:val="0"/>
          <w:numId w:val="2"/>
        </w:numPr>
        <w:tabs>
          <w:tab w:val="left" w:pos="805"/>
        </w:tabs>
        <w:spacing w:after="0"/>
        <w:ind w:left="80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 xml:space="preserve">Výška jednotlivých druhov záruk alebo </w:t>
      </w:r>
      <w:r>
        <w:rPr>
          <w:rStyle w:val="ZkladntextChar1"/>
          <w:color w:val="000000"/>
          <w:sz w:val="24"/>
          <w:szCs w:val="24"/>
        </w:rPr>
        <w:t>iných zabezpečení poskytnutých pre členov štatutárneho orgánu, dozorného orgánu a iného orgánu ÚJ:</w:t>
      </w:r>
    </w:p>
    <w:p w:rsidR="00080F02" w:rsidRDefault="0060344E">
      <w:pPr>
        <w:pStyle w:val="Telotextu"/>
        <w:numPr>
          <w:ilvl w:val="0"/>
          <w:numId w:val="2"/>
        </w:numPr>
        <w:tabs>
          <w:tab w:val="left" w:pos="805"/>
        </w:tabs>
        <w:spacing w:after="0"/>
        <w:ind w:left="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Informácia o pôžičkách:</w:t>
      </w:r>
    </w:p>
    <w:p w:rsidR="00080F02" w:rsidRDefault="0060344E">
      <w:pPr>
        <w:pStyle w:val="Telotextu"/>
        <w:spacing w:after="0"/>
        <w:ind w:firstLine="80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Celková suma poskytnutých pôžičiek k 31.12. bežného obdobia podľa jednotlivých orgánov:</w:t>
      </w:r>
    </w:p>
    <w:p w:rsidR="00080F02" w:rsidRDefault="0060344E">
      <w:pPr>
        <w:pStyle w:val="Telotextu"/>
        <w:spacing w:after="0"/>
        <w:ind w:left="144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Konateľ:</w:t>
      </w:r>
    </w:p>
    <w:p w:rsidR="00080F02" w:rsidRDefault="0060344E">
      <w:pPr>
        <w:pStyle w:val="Telotextu"/>
        <w:spacing w:after="0"/>
        <w:ind w:left="144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Predseda predstavenstva:</w:t>
      </w:r>
    </w:p>
    <w:p w:rsidR="00080F02" w:rsidRDefault="0060344E">
      <w:pPr>
        <w:pStyle w:val="Telotextu"/>
        <w:spacing w:after="0"/>
        <w:ind w:left="144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 xml:space="preserve">Člen </w:t>
      </w:r>
      <w:r>
        <w:rPr>
          <w:rStyle w:val="ZkladntextChar1"/>
          <w:color w:val="000000"/>
          <w:sz w:val="24"/>
          <w:szCs w:val="24"/>
        </w:rPr>
        <w:t>predstavenstva:</w:t>
      </w:r>
    </w:p>
    <w:p w:rsidR="00080F02" w:rsidRDefault="0060344E">
      <w:pPr>
        <w:pStyle w:val="Telotextu"/>
        <w:spacing w:after="0"/>
        <w:ind w:firstLine="80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Celková suma splatených pôžičiek za posledné účtovné obdobie:</w:t>
      </w:r>
    </w:p>
    <w:p w:rsidR="00080F02" w:rsidRDefault="0060344E">
      <w:pPr>
        <w:pStyle w:val="Telotextu"/>
        <w:spacing w:after="0"/>
        <w:ind w:left="144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lastRenderedPageBreak/>
        <w:t>Konateľ:</w:t>
      </w:r>
    </w:p>
    <w:p w:rsidR="00080F02" w:rsidRDefault="0060344E">
      <w:pPr>
        <w:pStyle w:val="Telotextu"/>
        <w:spacing w:after="0"/>
        <w:ind w:left="144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Predseda predstavenstva:</w:t>
      </w:r>
    </w:p>
    <w:p w:rsidR="00080F02" w:rsidRDefault="0060344E">
      <w:pPr>
        <w:pStyle w:val="Telotextu"/>
        <w:spacing w:after="0"/>
        <w:ind w:left="144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Člen predstavenstva:</w:t>
      </w:r>
    </w:p>
    <w:p w:rsidR="00080F02" w:rsidRDefault="0060344E">
      <w:pPr>
        <w:pStyle w:val="Telotextu"/>
        <w:spacing w:after="0"/>
        <w:ind w:firstLine="80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Celková suma odpustených pôžičiek a odpísaných pôžičiek k 31.12. bežného obdobia: 0,- €</w:t>
      </w:r>
    </w:p>
    <w:p w:rsidR="00080F02" w:rsidRDefault="0060344E">
      <w:pPr>
        <w:pStyle w:val="Telotextu"/>
        <w:spacing w:after="760"/>
        <w:ind w:firstLine="80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 xml:space="preserve">V aktuálnom účtovnom období neboli </w:t>
      </w:r>
      <w:r>
        <w:rPr>
          <w:rStyle w:val="ZkladntextChar1"/>
          <w:color w:val="000000"/>
          <w:sz w:val="24"/>
          <w:szCs w:val="24"/>
        </w:rPr>
        <w:t>odpustené ani odpísané žiadne pôžičky.</w:t>
      </w:r>
    </w:p>
    <w:p w:rsidR="00080F02" w:rsidRDefault="0060344E">
      <w:pPr>
        <w:pStyle w:val="Heading20"/>
        <w:keepNext/>
        <w:keepLines/>
        <w:spacing w:after="40"/>
        <w:ind w:firstLine="380"/>
        <w:jc w:val="both"/>
        <w:rPr>
          <w:rStyle w:val="Heading2"/>
          <w:b/>
          <w:bCs/>
          <w:color w:val="000000"/>
          <w:sz w:val="24"/>
          <w:szCs w:val="24"/>
        </w:rPr>
      </w:pPr>
      <w:bookmarkStart w:id="6" w:name="bookmark12"/>
      <w:bookmarkEnd w:id="6"/>
      <w:r>
        <w:rPr>
          <w:rStyle w:val="Heading2"/>
          <w:b/>
          <w:bCs/>
          <w:color w:val="000000"/>
          <w:sz w:val="24"/>
          <w:szCs w:val="24"/>
        </w:rPr>
        <w:t>INFORMÁCIE O KONSOLIDOVANOM CELKU</w:t>
      </w:r>
    </w:p>
    <w:p w:rsidR="00080F02" w:rsidRDefault="0060344E">
      <w:pPr>
        <w:pStyle w:val="Telotextu"/>
        <w:spacing w:after="560"/>
        <w:ind w:left="440" w:firstLine="2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 xml:space="preserve">Materskou spoločnosťou firmy STROPTEL je spoločnosť  SPEN TRADE s.r.o., so sídlom </w:t>
      </w:r>
      <w:proofErr w:type="spellStart"/>
      <w:r>
        <w:rPr>
          <w:rStyle w:val="ZkladntextChar1"/>
          <w:color w:val="000000"/>
          <w:sz w:val="24"/>
          <w:szCs w:val="24"/>
        </w:rPr>
        <w:t>Ciolkovského</w:t>
      </w:r>
      <w:proofErr w:type="spellEnd"/>
      <w:r>
        <w:rPr>
          <w:rStyle w:val="ZkladntextChar1"/>
          <w:color w:val="000000"/>
          <w:sz w:val="24"/>
          <w:szCs w:val="24"/>
        </w:rPr>
        <w:t xml:space="preserve"> 1270/1, 091 01 Stropkov</w:t>
      </w:r>
    </w:p>
    <w:p w:rsidR="00080F02" w:rsidRDefault="0060344E">
      <w:pPr>
        <w:pStyle w:val="Telotextu"/>
        <w:spacing w:after="260"/>
        <w:ind w:firstLine="380"/>
        <w:jc w:val="both"/>
        <w:rPr>
          <w:rStyle w:val="ZkladntextChar1"/>
          <w:b/>
          <w:bCs/>
          <w:color w:val="000000"/>
          <w:sz w:val="24"/>
          <w:szCs w:val="24"/>
        </w:rPr>
      </w:pPr>
      <w:r>
        <w:rPr>
          <w:rStyle w:val="ZkladntextChar1"/>
          <w:b/>
          <w:bCs/>
          <w:color w:val="000000"/>
          <w:sz w:val="24"/>
          <w:szCs w:val="24"/>
        </w:rPr>
        <w:t>INFORMÁCIE O ÚČTOVNÝCH ZÁSADÁCH A ÚČTOVNÝCH METÓDACH</w:t>
      </w:r>
    </w:p>
    <w:p w:rsidR="00080F02" w:rsidRDefault="0060344E">
      <w:pPr>
        <w:pStyle w:val="Heading20"/>
        <w:keepNext/>
        <w:keepLines/>
        <w:numPr>
          <w:ilvl w:val="0"/>
          <w:numId w:val="3"/>
        </w:numPr>
        <w:tabs>
          <w:tab w:val="left" w:pos="397"/>
        </w:tabs>
        <w:ind w:left="0"/>
        <w:jc w:val="both"/>
        <w:rPr>
          <w:rStyle w:val="Heading2"/>
          <w:b/>
          <w:bCs/>
          <w:color w:val="000000"/>
          <w:sz w:val="24"/>
          <w:szCs w:val="24"/>
        </w:rPr>
      </w:pPr>
      <w:bookmarkStart w:id="7" w:name="bookmark14"/>
      <w:bookmarkEnd w:id="7"/>
      <w:r>
        <w:rPr>
          <w:rStyle w:val="Heading2"/>
          <w:b/>
          <w:bCs/>
          <w:color w:val="000000"/>
          <w:sz w:val="24"/>
          <w:szCs w:val="24"/>
        </w:rPr>
        <w:t xml:space="preserve">Východiská </w:t>
      </w:r>
      <w:r>
        <w:rPr>
          <w:rStyle w:val="Heading2"/>
          <w:b/>
          <w:bCs/>
          <w:color w:val="000000"/>
          <w:sz w:val="24"/>
          <w:szCs w:val="24"/>
        </w:rPr>
        <w:t>pre zostavenie účtovnej závierky</w:t>
      </w:r>
    </w:p>
    <w:p w:rsidR="00080F02" w:rsidRDefault="00573965">
      <w:pPr>
        <w:pStyle w:val="Telotextu"/>
        <w:ind w:left="440" w:firstLine="20"/>
        <w:jc w:val="both"/>
      </w:pPr>
      <w:r>
        <w:rPr>
          <w:rStyle w:val="ZkladntextChar1"/>
          <w:color w:val="000000"/>
          <w:sz w:val="24"/>
          <w:szCs w:val="24"/>
        </w:rPr>
        <w:t>Účtovná závierka bola zostavená v nepretržitej činnosti.</w:t>
      </w:r>
      <w:r w:rsidR="0060344E">
        <w:br/>
      </w:r>
      <w:r w:rsidR="0060344E">
        <w:pict>
          <v:rect id="_x0000_s1027" style="position:absolute;left:0;text-align:left;margin-left:541.65pt;margin-top:801.2pt;width:2.9pt;height:11.55pt;z-index:251657216;mso-wrap-distance-left:0;mso-wrap-distance-top:0;mso-wrap-distance-right:0;mso-wrap-distance-bottom:0;mso-position-horizontal-relative:text;mso-position-vertical-relative:text" stroked="f" strokeweight="0">
            <v:textbox inset="0,0,0,0">
              <w:txbxContent>
                <w:p w:rsidR="00080F02" w:rsidRDefault="0060344E">
                  <w:pPr>
                    <w:pStyle w:val="Headerorfooter20"/>
                  </w:pPr>
                  <w:r>
                    <w:fldChar w:fldCharType="begin"/>
                  </w:r>
                  <w:r>
                    <w:instrText>PAGE</w:instrText>
                  </w:r>
                  <w:r>
                    <w:fldChar w:fldCharType="separate"/>
                  </w:r>
                  <w:r>
                    <w:t>2</w:t>
                  </w:r>
                  <w:r>
                    <w:fldChar w:fldCharType="end"/>
                  </w:r>
                </w:p>
              </w:txbxContent>
            </v:textbox>
          </v:rect>
        </w:pict>
      </w:r>
    </w:p>
    <w:p w:rsidR="00080F02" w:rsidRDefault="0060344E">
      <w:pPr>
        <w:pStyle w:val="Heading20"/>
        <w:keepNext/>
        <w:keepLines/>
        <w:numPr>
          <w:ilvl w:val="0"/>
          <w:numId w:val="4"/>
        </w:numPr>
        <w:tabs>
          <w:tab w:val="left" w:pos="427"/>
        </w:tabs>
        <w:spacing w:after="400"/>
        <w:ind w:left="0"/>
        <w:rPr>
          <w:rStyle w:val="Heading2"/>
          <w:b/>
          <w:bCs/>
          <w:color w:val="000000"/>
          <w:sz w:val="24"/>
          <w:szCs w:val="24"/>
        </w:rPr>
      </w:pPr>
      <w:bookmarkStart w:id="8" w:name="bookmark16"/>
      <w:bookmarkEnd w:id="8"/>
      <w:r>
        <w:rPr>
          <w:rStyle w:val="Heading2"/>
          <w:b/>
          <w:bCs/>
          <w:color w:val="000000"/>
          <w:sz w:val="24"/>
          <w:szCs w:val="24"/>
        </w:rPr>
        <w:t>Počas účtovného obdobia neboli prijaté zmeny účtovných zásad a účtovných metód</w:t>
      </w:r>
    </w:p>
    <w:p w:rsidR="00080F02" w:rsidRDefault="0060344E">
      <w:pPr>
        <w:pStyle w:val="Heading20"/>
        <w:keepNext/>
        <w:keepLines/>
        <w:numPr>
          <w:ilvl w:val="0"/>
          <w:numId w:val="4"/>
        </w:numPr>
        <w:tabs>
          <w:tab w:val="left" w:pos="427"/>
        </w:tabs>
        <w:spacing w:after="200"/>
        <w:ind w:left="0"/>
        <w:rPr>
          <w:rStyle w:val="Heading2"/>
          <w:b/>
          <w:bCs/>
          <w:color w:val="000000"/>
          <w:sz w:val="24"/>
          <w:szCs w:val="24"/>
        </w:rPr>
      </w:pPr>
      <w:r>
        <w:rPr>
          <w:rStyle w:val="Heading2"/>
          <w:b/>
          <w:bCs/>
          <w:color w:val="000000"/>
          <w:sz w:val="24"/>
          <w:szCs w:val="24"/>
        </w:rPr>
        <w:t>Účtovné metódy a všeobecné účtovné zásady pri oceňovaní</w:t>
      </w:r>
    </w:p>
    <w:p w:rsidR="00080F02" w:rsidRDefault="0060344E">
      <w:pPr>
        <w:pStyle w:val="Heading20"/>
        <w:keepNext/>
        <w:keepLines/>
        <w:numPr>
          <w:ilvl w:val="0"/>
          <w:numId w:val="5"/>
        </w:numPr>
        <w:tabs>
          <w:tab w:val="left" w:pos="704"/>
        </w:tabs>
        <w:jc w:val="both"/>
        <w:rPr>
          <w:rStyle w:val="Heading2"/>
          <w:b/>
          <w:bCs/>
          <w:color w:val="000000"/>
          <w:sz w:val="24"/>
          <w:szCs w:val="24"/>
        </w:rPr>
      </w:pPr>
      <w:r>
        <w:rPr>
          <w:rStyle w:val="Heading2"/>
          <w:b/>
          <w:bCs/>
          <w:color w:val="000000"/>
          <w:sz w:val="24"/>
          <w:szCs w:val="24"/>
        </w:rPr>
        <w:t>Dlhodobý nehmotný majetok a dlhodobý hmotný majetok</w:t>
      </w:r>
    </w:p>
    <w:p w:rsidR="00080F02" w:rsidRDefault="0060344E">
      <w:pPr>
        <w:pStyle w:val="Telotextu"/>
        <w:ind w:left="72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 xml:space="preserve">Dlhodobý majetok nakupovaný </w:t>
      </w:r>
      <w:r>
        <w:rPr>
          <w:rStyle w:val="ZkladntextChar1"/>
          <w:color w:val="000000"/>
          <w:sz w:val="24"/>
          <w:szCs w:val="24"/>
        </w:rPr>
        <w:t>sa oceňuje obstarávacou cenou, ktorá zahŕňa cenu obstarania a náklady súvisiace s obstaraním (clo, prepravu, montáž, poistné a pod.).</w:t>
      </w:r>
    </w:p>
    <w:p w:rsidR="00080F02" w:rsidRDefault="0060344E">
      <w:pPr>
        <w:pStyle w:val="Telotextu"/>
        <w:ind w:left="72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Súčasťou obstarávacej ceny dlhodobého hmotného majetku nie sú úroky z cudzích zdrojov ani realizované kurzové rozdiely, kt</w:t>
      </w:r>
      <w:r>
        <w:rPr>
          <w:rStyle w:val="ZkladntextChar1"/>
          <w:color w:val="000000"/>
          <w:sz w:val="24"/>
          <w:szCs w:val="24"/>
        </w:rPr>
        <w:t>oré vznikli do momentu uvedenia dlhodobého majetku do používania.</w:t>
      </w:r>
    </w:p>
    <w:p w:rsidR="00080F02" w:rsidRDefault="0060344E">
      <w:pPr>
        <w:pStyle w:val="Telotextu"/>
        <w:ind w:left="72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Súčasťou obstarávacej ceny dlhodobého nehmotného majetku nie sú úroky z cudzích zdrojov, ktoré vznikli do momentu zaradenia dlhodobého nehmotného majetku do používania.</w:t>
      </w:r>
    </w:p>
    <w:p w:rsidR="00080F02" w:rsidRDefault="0060344E">
      <w:pPr>
        <w:pStyle w:val="Telotextu"/>
        <w:ind w:left="72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Dlhodobý majetok vytv</w:t>
      </w:r>
      <w:r>
        <w:rPr>
          <w:rStyle w:val="ZkladntextChar1"/>
          <w:color w:val="000000"/>
          <w:sz w:val="24"/>
          <w:szCs w:val="24"/>
        </w:rPr>
        <w:t>orený vlastnou činnosťou sa oceňuje vlastnými nákladmi. Vlastnými nákladmi sú všetky priame náklady vynaložené na výrobu alebo inú činnosť a nepriame náklady, ktoré sa vzťahujú na výrobu alebo inú činnosť.</w:t>
      </w:r>
    </w:p>
    <w:p w:rsidR="00080F02" w:rsidRDefault="0060344E">
      <w:pPr>
        <w:pStyle w:val="Heading20"/>
        <w:keepNext/>
        <w:keepLines/>
        <w:numPr>
          <w:ilvl w:val="0"/>
          <w:numId w:val="5"/>
        </w:numPr>
        <w:tabs>
          <w:tab w:val="left" w:pos="704"/>
        </w:tabs>
        <w:jc w:val="both"/>
        <w:rPr>
          <w:rStyle w:val="Heading2"/>
          <w:b/>
          <w:bCs/>
          <w:color w:val="000000"/>
          <w:sz w:val="24"/>
          <w:szCs w:val="24"/>
        </w:rPr>
      </w:pPr>
      <w:bookmarkStart w:id="9" w:name="bookmark20"/>
      <w:bookmarkEnd w:id="9"/>
      <w:r>
        <w:rPr>
          <w:rStyle w:val="Heading2"/>
          <w:b/>
          <w:bCs/>
          <w:color w:val="000000"/>
          <w:sz w:val="24"/>
          <w:szCs w:val="24"/>
        </w:rPr>
        <w:t>Cenné papiere a podiely</w:t>
      </w:r>
    </w:p>
    <w:p w:rsidR="00080F02" w:rsidRDefault="0060344E">
      <w:pPr>
        <w:pStyle w:val="Telotextu"/>
        <w:ind w:left="72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Cenné papiere a podiely (o</w:t>
      </w:r>
      <w:r>
        <w:rPr>
          <w:rStyle w:val="ZkladntextChar1"/>
          <w:color w:val="000000"/>
          <w:sz w:val="24"/>
          <w:szCs w:val="24"/>
        </w:rPr>
        <w:t>krem cenných papierov na obchodovanie) sa oceňujú obstarávacími cenami vrátane nákladov súvisiacich s obstaraním. Od obstarávacej ceny je odpočítané zníženie hodnoty cenných papierov a podielov.</w:t>
      </w:r>
    </w:p>
    <w:p w:rsidR="00080F02" w:rsidRDefault="0060344E">
      <w:pPr>
        <w:pStyle w:val="Telotextu"/>
        <w:ind w:firstLine="72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Cenné papiere na obchodovanie sa pri ich obstaraní oceňujú re</w:t>
      </w:r>
      <w:r>
        <w:rPr>
          <w:rStyle w:val="ZkladntextChar1"/>
          <w:color w:val="000000"/>
          <w:sz w:val="24"/>
          <w:szCs w:val="24"/>
        </w:rPr>
        <w:t>álnou hodnotou.</w:t>
      </w:r>
    </w:p>
    <w:p w:rsidR="00080F02" w:rsidRDefault="0060344E">
      <w:pPr>
        <w:pStyle w:val="Heading20"/>
        <w:keepNext/>
        <w:keepLines/>
        <w:numPr>
          <w:ilvl w:val="0"/>
          <w:numId w:val="5"/>
        </w:numPr>
        <w:tabs>
          <w:tab w:val="left" w:pos="704"/>
        </w:tabs>
        <w:jc w:val="both"/>
        <w:rPr>
          <w:rStyle w:val="Heading2"/>
          <w:b/>
          <w:bCs/>
          <w:color w:val="000000"/>
          <w:sz w:val="24"/>
          <w:szCs w:val="24"/>
        </w:rPr>
      </w:pPr>
      <w:bookmarkStart w:id="10" w:name="bookmark22"/>
      <w:bookmarkEnd w:id="10"/>
      <w:r>
        <w:rPr>
          <w:rStyle w:val="Heading2"/>
          <w:b/>
          <w:bCs/>
          <w:color w:val="000000"/>
          <w:sz w:val="24"/>
          <w:szCs w:val="24"/>
        </w:rPr>
        <w:lastRenderedPageBreak/>
        <w:t>Zásoby</w:t>
      </w:r>
    </w:p>
    <w:p w:rsidR="00080F02" w:rsidRDefault="0060344E">
      <w:pPr>
        <w:pStyle w:val="Telotextu"/>
        <w:ind w:firstLine="72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Zásoby sa oceňujú obstarávacou cenou.</w:t>
      </w:r>
    </w:p>
    <w:p w:rsidR="00080F02" w:rsidRDefault="0060344E">
      <w:pPr>
        <w:pStyle w:val="Telotextu"/>
        <w:ind w:left="72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Obstarávacia cena zahŕňa cenu zásob a náklady súvisiace s obstaraním (clo, prepravu, poistné, provízie, skonto a pod.). Úroky z cudzích zdrojov nie sú súčasťou obstarávacej ceny. Nakupované zásob</w:t>
      </w:r>
      <w:r>
        <w:rPr>
          <w:rStyle w:val="ZkladntextChar1"/>
          <w:color w:val="000000"/>
          <w:sz w:val="24"/>
          <w:szCs w:val="24"/>
        </w:rPr>
        <w:t>y sa oceňujú váženým aritmetickým priemerom z obstarávacích cien.</w:t>
      </w:r>
    </w:p>
    <w:p w:rsidR="00080F02" w:rsidRDefault="0060344E">
      <w:pPr>
        <w:pStyle w:val="Telotextu"/>
        <w:ind w:firstLine="72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Zníženie hodnoty zásob sa zohľadňuje vytvorením opravnej položky.</w:t>
      </w:r>
    </w:p>
    <w:p w:rsidR="00080F02" w:rsidRDefault="0060344E">
      <w:pPr>
        <w:pStyle w:val="Telotextu"/>
        <w:ind w:firstLine="72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Spoločnosť účtuje zásoby spôsobom A.</w:t>
      </w:r>
    </w:p>
    <w:p w:rsidR="00080F02" w:rsidRDefault="0060344E">
      <w:pPr>
        <w:pStyle w:val="Heading20"/>
        <w:keepNext/>
        <w:keepLines/>
        <w:numPr>
          <w:ilvl w:val="0"/>
          <w:numId w:val="5"/>
        </w:numPr>
        <w:tabs>
          <w:tab w:val="left" w:pos="710"/>
        </w:tabs>
        <w:jc w:val="both"/>
        <w:rPr>
          <w:rStyle w:val="Heading2"/>
          <w:b/>
          <w:bCs/>
          <w:color w:val="000000"/>
          <w:sz w:val="24"/>
          <w:szCs w:val="24"/>
        </w:rPr>
      </w:pPr>
      <w:bookmarkStart w:id="11" w:name="bookmark24"/>
      <w:bookmarkEnd w:id="11"/>
      <w:r>
        <w:rPr>
          <w:rStyle w:val="Heading2"/>
          <w:b/>
          <w:bCs/>
          <w:color w:val="000000"/>
          <w:sz w:val="24"/>
          <w:szCs w:val="24"/>
        </w:rPr>
        <w:t>Peňažné prostriedky a ceniny</w:t>
      </w:r>
    </w:p>
    <w:p w:rsidR="00080F02" w:rsidRDefault="0060344E">
      <w:pPr>
        <w:pStyle w:val="Telotextu"/>
        <w:ind w:firstLine="72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 xml:space="preserve">Peňažné prostriedky a ceniny sa oceňujú ich menovitou </w:t>
      </w:r>
      <w:r>
        <w:rPr>
          <w:rStyle w:val="ZkladntextChar1"/>
          <w:color w:val="000000"/>
          <w:sz w:val="24"/>
          <w:szCs w:val="24"/>
        </w:rPr>
        <w:t>hodnotou. Zníženie ich hodnoty sa vyjadruje opravnou položkou.</w:t>
      </w:r>
    </w:p>
    <w:p w:rsidR="00080F02" w:rsidRDefault="0060344E">
      <w:pPr>
        <w:pStyle w:val="Heading20"/>
        <w:keepNext/>
        <w:keepLines/>
        <w:numPr>
          <w:ilvl w:val="0"/>
          <w:numId w:val="5"/>
        </w:numPr>
        <w:tabs>
          <w:tab w:val="left" w:pos="710"/>
        </w:tabs>
        <w:jc w:val="both"/>
        <w:rPr>
          <w:rStyle w:val="Heading2"/>
          <w:b/>
          <w:bCs/>
          <w:color w:val="000000"/>
          <w:sz w:val="24"/>
          <w:szCs w:val="24"/>
        </w:rPr>
      </w:pPr>
      <w:bookmarkStart w:id="12" w:name="bookmark26"/>
      <w:bookmarkEnd w:id="12"/>
      <w:r>
        <w:rPr>
          <w:rStyle w:val="Heading2"/>
          <w:b/>
          <w:bCs/>
          <w:color w:val="000000"/>
          <w:sz w:val="24"/>
          <w:szCs w:val="24"/>
        </w:rPr>
        <w:t>Cudzia mena</w:t>
      </w:r>
    </w:p>
    <w:p w:rsidR="00080F02" w:rsidRDefault="0060344E">
      <w:pPr>
        <w:pStyle w:val="Telotextu"/>
        <w:ind w:left="72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Majetok a záväzky vyjadrené v cudzej mene sa ku dňu uskutočnenia účtovného prípadu prepočítavajú na menu euro referenčným výmenným kurzom určeným a vyhláseným Európskou centrálnou b</w:t>
      </w:r>
      <w:r>
        <w:rPr>
          <w:rStyle w:val="ZkladntextChar1"/>
          <w:color w:val="000000"/>
          <w:sz w:val="24"/>
          <w:szCs w:val="24"/>
        </w:rPr>
        <w:t>ankou alebo Národnou bankou Slovenska v deň predchádzajúci dňu uskutočnenia účtovného prípadu.</w:t>
      </w:r>
    </w:p>
    <w:p w:rsidR="00080F02" w:rsidRDefault="0060344E">
      <w:pPr>
        <w:pStyle w:val="Telotextu"/>
        <w:ind w:left="72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Na ocenenie prírastku cudzej meny nakúpenej za euro sa použije kurz, za ktorý bola táto cudzia mena nakúpená.</w:t>
      </w:r>
    </w:p>
    <w:p w:rsidR="00080F02" w:rsidRDefault="0060344E">
      <w:pPr>
        <w:pStyle w:val="Telotextu"/>
        <w:ind w:left="72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 xml:space="preserve">Na úbytok rovnakej cudzej meny v hotovosti alebo z </w:t>
      </w:r>
      <w:r>
        <w:rPr>
          <w:rStyle w:val="ZkladntextChar1"/>
          <w:color w:val="000000"/>
          <w:sz w:val="24"/>
          <w:szCs w:val="24"/>
        </w:rPr>
        <w:t>devízového účtu sa na prepočet cudzej meny na eurá použije referenčný výmenný kurz určený a vyhlásený Európskou centrálnou bankou alebo Národnou bankou Slovenska v deň predchádzajúci dňu uskutočnenia účtovného prípadu.</w:t>
      </w:r>
    </w:p>
    <w:p w:rsidR="00080F02" w:rsidRDefault="0060344E">
      <w:pPr>
        <w:pStyle w:val="Telotextu"/>
        <w:ind w:left="72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 xml:space="preserve">Majetok a záväzky vyjadrené v cudzej </w:t>
      </w:r>
      <w:r>
        <w:rPr>
          <w:rStyle w:val="ZkladntextChar1"/>
          <w:color w:val="000000"/>
          <w:sz w:val="24"/>
          <w:szCs w:val="24"/>
        </w:rPr>
        <w:t xml:space="preserve">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</w:t>
      </w:r>
      <w:r>
        <w:rPr>
          <w:rStyle w:val="ZkladntextChar1"/>
          <w:color w:val="000000"/>
          <w:sz w:val="24"/>
          <w:szCs w:val="24"/>
        </w:rPr>
        <w:t>sa zostavuje účtovná závierka, a účtujú sa s vplyvom na výsledok hospodárenia.</w:t>
      </w:r>
    </w:p>
    <w:p w:rsidR="00080F02" w:rsidRDefault="0060344E">
      <w:pPr>
        <w:pStyle w:val="Telotextu"/>
        <w:ind w:left="72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Prijaté a poskytnuté preddavky v cudzej mene prostredníctvom účtu vedeného v tejto cudzej mene sa prepočítavajú na menu euro referenčným výmenným kurzom určeným a vyhláseným Eur</w:t>
      </w:r>
      <w:r>
        <w:rPr>
          <w:rStyle w:val="ZkladntextChar1"/>
          <w:color w:val="000000"/>
          <w:sz w:val="24"/>
          <w:szCs w:val="24"/>
        </w:rPr>
        <w:t>ópskou centrálnou bankou alebo Národnou bankou Slovenska v deň predchádzajúci dňu uskutočnenia účtovného prípadu. Ku dňu, ku ktorému sa zostavuje účtovná závierka, sa už neprepočítavajú.</w:t>
      </w:r>
    </w:p>
    <w:p w:rsidR="00080F02" w:rsidRDefault="0060344E">
      <w:pPr>
        <w:pStyle w:val="Telotextu"/>
        <w:ind w:left="72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Prijaté a poskytnuté preddavky v cudzej mene na účet zriadený v eurác</w:t>
      </w:r>
      <w:r>
        <w:rPr>
          <w:rStyle w:val="ZkladntextChar1"/>
          <w:color w:val="000000"/>
          <w:sz w:val="24"/>
          <w:szCs w:val="24"/>
        </w:rPr>
        <w:t>h a z účtu zriadeného v eurách sa prepočítavajú na menu euro kurzom, za ktorý boli tieto hodnoty nakúpené alebo predané.</w:t>
      </w:r>
    </w:p>
    <w:p w:rsidR="00080F02" w:rsidRDefault="0060344E">
      <w:pPr>
        <w:pStyle w:val="Heading20"/>
        <w:keepNext/>
        <w:keepLines/>
        <w:numPr>
          <w:ilvl w:val="0"/>
          <w:numId w:val="5"/>
        </w:numPr>
        <w:tabs>
          <w:tab w:val="left" w:pos="704"/>
        </w:tabs>
        <w:jc w:val="both"/>
        <w:rPr>
          <w:rStyle w:val="Heading2"/>
          <w:b/>
          <w:bCs/>
          <w:color w:val="000000"/>
          <w:sz w:val="24"/>
          <w:szCs w:val="24"/>
        </w:rPr>
      </w:pPr>
      <w:bookmarkStart w:id="13" w:name="bookmark28"/>
      <w:bookmarkEnd w:id="13"/>
      <w:r>
        <w:rPr>
          <w:rStyle w:val="Heading2"/>
          <w:b/>
          <w:bCs/>
          <w:color w:val="000000"/>
          <w:sz w:val="24"/>
          <w:szCs w:val="24"/>
        </w:rPr>
        <w:lastRenderedPageBreak/>
        <w:t>Výnosy</w:t>
      </w:r>
    </w:p>
    <w:p w:rsidR="00080F02" w:rsidRDefault="0060344E">
      <w:pPr>
        <w:pStyle w:val="Telotextu"/>
        <w:ind w:left="72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Tržby za vlastné výkony a tovar neobsahujú daň z pridanej hodnoty. Sú tiež znížené o zľavy a zrážky (rabaty, bonusy, skontá, dob</w:t>
      </w:r>
      <w:r>
        <w:rPr>
          <w:rStyle w:val="ZkladntextChar1"/>
          <w:color w:val="000000"/>
          <w:sz w:val="24"/>
          <w:szCs w:val="24"/>
        </w:rPr>
        <w:t>ropisy a pod.), bez ohľadu na to, či zákazník mal vopred na zľavu nárok, alebo či ide o dodatočne uznanú zľavu.</w:t>
      </w:r>
    </w:p>
    <w:p w:rsidR="00080F02" w:rsidRDefault="0060344E">
      <w:pPr>
        <w:pStyle w:val="Heading20"/>
        <w:keepNext/>
        <w:keepLines/>
        <w:numPr>
          <w:ilvl w:val="0"/>
          <w:numId w:val="5"/>
        </w:numPr>
        <w:tabs>
          <w:tab w:val="left" w:pos="704"/>
        </w:tabs>
        <w:jc w:val="both"/>
        <w:rPr>
          <w:rStyle w:val="Heading2"/>
          <w:b/>
          <w:bCs/>
          <w:color w:val="000000"/>
          <w:sz w:val="24"/>
          <w:szCs w:val="24"/>
        </w:rPr>
      </w:pPr>
      <w:bookmarkStart w:id="14" w:name="bookmark30"/>
      <w:bookmarkEnd w:id="14"/>
      <w:r>
        <w:rPr>
          <w:rStyle w:val="Heading2"/>
          <w:b/>
          <w:bCs/>
          <w:color w:val="000000"/>
          <w:sz w:val="24"/>
          <w:szCs w:val="24"/>
        </w:rPr>
        <w:t>Zákazková výroba</w:t>
      </w:r>
    </w:p>
    <w:p w:rsidR="00080F02" w:rsidRDefault="0060344E">
      <w:pPr>
        <w:pStyle w:val="Telotextu"/>
        <w:ind w:firstLine="72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Nemáme</w:t>
      </w:r>
    </w:p>
    <w:p w:rsidR="00080F02" w:rsidRDefault="0060344E">
      <w:pPr>
        <w:pStyle w:val="Heading20"/>
        <w:keepNext/>
        <w:keepLines/>
        <w:numPr>
          <w:ilvl w:val="0"/>
          <w:numId w:val="5"/>
        </w:numPr>
        <w:tabs>
          <w:tab w:val="left" w:pos="704"/>
        </w:tabs>
        <w:jc w:val="both"/>
        <w:rPr>
          <w:rStyle w:val="Heading2"/>
          <w:b/>
          <w:bCs/>
          <w:color w:val="000000"/>
          <w:sz w:val="24"/>
          <w:szCs w:val="24"/>
        </w:rPr>
      </w:pPr>
      <w:r>
        <w:rPr>
          <w:rStyle w:val="Heading2"/>
          <w:b/>
          <w:bCs/>
          <w:color w:val="000000"/>
          <w:sz w:val="24"/>
          <w:szCs w:val="24"/>
        </w:rPr>
        <w:t>Zákazková výstavba nehnuteľností</w:t>
      </w:r>
    </w:p>
    <w:p w:rsidR="00080F02" w:rsidRDefault="0060344E">
      <w:pPr>
        <w:pStyle w:val="Telotextu"/>
        <w:ind w:firstLine="72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Nemáme</w:t>
      </w:r>
    </w:p>
    <w:p w:rsidR="00080F02" w:rsidRDefault="0060344E">
      <w:pPr>
        <w:pStyle w:val="Heading20"/>
        <w:keepNext/>
        <w:keepLines/>
        <w:numPr>
          <w:ilvl w:val="0"/>
          <w:numId w:val="5"/>
        </w:numPr>
        <w:tabs>
          <w:tab w:val="left" w:pos="713"/>
        </w:tabs>
        <w:jc w:val="both"/>
        <w:rPr>
          <w:rStyle w:val="Heading2"/>
          <w:b/>
          <w:bCs/>
          <w:color w:val="000000"/>
          <w:sz w:val="24"/>
          <w:szCs w:val="24"/>
        </w:rPr>
      </w:pPr>
      <w:bookmarkStart w:id="15" w:name="bookmark34"/>
      <w:bookmarkEnd w:id="15"/>
      <w:r>
        <w:rPr>
          <w:rStyle w:val="Heading2"/>
          <w:b/>
          <w:bCs/>
          <w:color w:val="000000"/>
          <w:sz w:val="24"/>
          <w:szCs w:val="24"/>
        </w:rPr>
        <w:t>Pohľadávky</w:t>
      </w:r>
    </w:p>
    <w:p w:rsidR="00080F02" w:rsidRDefault="0060344E">
      <w:pPr>
        <w:pStyle w:val="Telotextu"/>
        <w:spacing w:after="420"/>
        <w:ind w:left="72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 xml:space="preserve">Pohľadávky pri ich vzniku sa oceňujú ich menovitou hodnotou; </w:t>
      </w:r>
      <w:r>
        <w:rPr>
          <w:rStyle w:val="ZkladntextChar1"/>
          <w:color w:val="000000"/>
          <w:sz w:val="24"/>
          <w:szCs w:val="24"/>
        </w:rPr>
        <w:t>postúpené pohľadávky a pohľadávky nadobudnuté vkladom do základného imania sa oceňujú obstarávacou cenou vrátane nákladov súvisiacich s obstaraním. Toto ocenenie sa znižuje o pochybné a nevymožiteľné pohľadávky.</w:t>
      </w:r>
    </w:p>
    <w:p w:rsidR="00080F02" w:rsidRDefault="0060344E">
      <w:pPr>
        <w:pStyle w:val="Heading20"/>
        <w:keepNext/>
        <w:keepLines/>
        <w:numPr>
          <w:ilvl w:val="0"/>
          <w:numId w:val="5"/>
        </w:numPr>
        <w:tabs>
          <w:tab w:val="left" w:pos="713"/>
        </w:tabs>
        <w:jc w:val="both"/>
        <w:rPr>
          <w:rStyle w:val="Heading2"/>
          <w:b/>
          <w:bCs/>
          <w:color w:val="000000"/>
          <w:sz w:val="24"/>
          <w:szCs w:val="24"/>
        </w:rPr>
      </w:pPr>
      <w:bookmarkStart w:id="16" w:name="bookmark36"/>
      <w:bookmarkEnd w:id="16"/>
      <w:r>
        <w:rPr>
          <w:rStyle w:val="Heading2"/>
          <w:b/>
          <w:bCs/>
          <w:color w:val="000000"/>
          <w:sz w:val="24"/>
          <w:szCs w:val="24"/>
        </w:rPr>
        <w:t>Náklady budúcich období a príjmy budúcich ob</w:t>
      </w:r>
      <w:r>
        <w:rPr>
          <w:rStyle w:val="Heading2"/>
          <w:b/>
          <w:bCs/>
          <w:color w:val="000000"/>
          <w:sz w:val="24"/>
          <w:szCs w:val="24"/>
        </w:rPr>
        <w:t>dobí</w:t>
      </w:r>
    </w:p>
    <w:p w:rsidR="00080F02" w:rsidRDefault="0060344E">
      <w:pPr>
        <w:pStyle w:val="Telotextu"/>
        <w:ind w:left="72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Náklady budúcich období a príjmy budúcich období sa vykazujú vo výške, ktorá je potrebná na dodržanie zásady vecnej a časovej súvislosti s účtovným obdobím.</w:t>
      </w:r>
    </w:p>
    <w:p w:rsidR="00080F02" w:rsidRDefault="0060344E">
      <w:pPr>
        <w:pStyle w:val="Heading20"/>
        <w:keepNext/>
        <w:keepLines/>
        <w:numPr>
          <w:ilvl w:val="0"/>
          <w:numId w:val="5"/>
        </w:numPr>
        <w:tabs>
          <w:tab w:val="left" w:pos="713"/>
        </w:tabs>
        <w:rPr>
          <w:rStyle w:val="Heading2"/>
          <w:b/>
          <w:bCs/>
          <w:color w:val="000000"/>
          <w:sz w:val="24"/>
          <w:szCs w:val="24"/>
        </w:rPr>
      </w:pPr>
      <w:bookmarkStart w:id="17" w:name="bookmark38"/>
      <w:bookmarkEnd w:id="17"/>
      <w:r>
        <w:rPr>
          <w:rStyle w:val="Heading2"/>
          <w:b/>
          <w:bCs/>
          <w:color w:val="000000"/>
          <w:sz w:val="24"/>
          <w:szCs w:val="24"/>
        </w:rPr>
        <w:t>Rezervy</w:t>
      </w:r>
    </w:p>
    <w:p w:rsidR="00080F02" w:rsidRDefault="0060344E">
      <w:pPr>
        <w:pStyle w:val="Telotextu"/>
        <w:ind w:left="72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 xml:space="preserve">Rezervy sú záväzky s neurčitým časovým vymedzením alebo výškou; tvoria sa na krytie </w:t>
      </w:r>
      <w:r>
        <w:rPr>
          <w:rStyle w:val="ZkladntextChar1"/>
          <w:color w:val="000000"/>
          <w:sz w:val="24"/>
          <w:szCs w:val="24"/>
        </w:rPr>
        <w:t>známych rizík alebo strát z podnikania. Oceňujú sa v očakávanej výške záväzku.</w:t>
      </w:r>
    </w:p>
    <w:p w:rsidR="00080F02" w:rsidRDefault="0060344E">
      <w:pPr>
        <w:pStyle w:val="Heading20"/>
        <w:keepNext/>
        <w:keepLines/>
        <w:numPr>
          <w:ilvl w:val="0"/>
          <w:numId w:val="5"/>
        </w:numPr>
        <w:tabs>
          <w:tab w:val="left" w:pos="713"/>
        </w:tabs>
        <w:jc w:val="both"/>
        <w:rPr>
          <w:rStyle w:val="Heading2"/>
          <w:b/>
          <w:bCs/>
          <w:color w:val="000000"/>
          <w:sz w:val="24"/>
          <w:szCs w:val="24"/>
        </w:rPr>
      </w:pPr>
      <w:bookmarkStart w:id="18" w:name="bookmark40"/>
      <w:bookmarkEnd w:id="18"/>
      <w:r>
        <w:rPr>
          <w:rStyle w:val="Heading2"/>
          <w:b/>
          <w:bCs/>
          <w:color w:val="000000"/>
          <w:sz w:val="24"/>
          <w:szCs w:val="24"/>
        </w:rPr>
        <w:t>Záväzky</w:t>
      </w:r>
    </w:p>
    <w:p w:rsidR="00080F02" w:rsidRDefault="0060344E">
      <w:pPr>
        <w:pStyle w:val="Telotextu"/>
        <w:spacing w:after="420"/>
        <w:ind w:left="72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Záväzky pri ich vzniku sa oceňujú menovitou hodnotou. Záväzky pri ich prevzatí sa oceňujú obstarávacou cenou. Ak sa pri inventarizácii zistí, že suma záväzkov je iná ako</w:t>
      </w:r>
      <w:r>
        <w:rPr>
          <w:rStyle w:val="ZkladntextChar1"/>
          <w:color w:val="000000"/>
          <w:sz w:val="24"/>
          <w:szCs w:val="24"/>
        </w:rPr>
        <w:t xml:space="preserve"> ich výška v účtovníctve, uvedú sa záväzky v účtovníctve a v účtovnej závierke v tomto zistenom ocenení.</w:t>
      </w:r>
    </w:p>
    <w:p w:rsidR="00080F02" w:rsidRDefault="0060344E">
      <w:pPr>
        <w:pStyle w:val="Heading20"/>
        <w:keepNext/>
        <w:keepLines/>
        <w:numPr>
          <w:ilvl w:val="0"/>
          <w:numId w:val="5"/>
        </w:numPr>
        <w:tabs>
          <w:tab w:val="left" w:pos="713"/>
        </w:tabs>
        <w:jc w:val="both"/>
        <w:rPr>
          <w:rStyle w:val="Heading2"/>
          <w:b/>
          <w:bCs/>
          <w:color w:val="000000"/>
          <w:sz w:val="24"/>
          <w:szCs w:val="24"/>
        </w:rPr>
      </w:pPr>
      <w:bookmarkStart w:id="19" w:name="bookmark42"/>
      <w:bookmarkEnd w:id="19"/>
      <w:r>
        <w:rPr>
          <w:rStyle w:val="Heading2"/>
          <w:b/>
          <w:bCs/>
          <w:color w:val="000000"/>
          <w:sz w:val="24"/>
          <w:szCs w:val="24"/>
        </w:rPr>
        <w:t>Výdavky budúcich období a výnosy budúcich období</w:t>
      </w:r>
    </w:p>
    <w:p w:rsidR="00080F02" w:rsidRDefault="0060344E">
      <w:pPr>
        <w:pStyle w:val="Telotextu"/>
        <w:spacing w:after="420"/>
        <w:ind w:left="72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 xml:space="preserve">Výdavky budúcich období a výnosy budúcich období sa vykazujú vo výške, ktorá je potrebná na dodržanie </w:t>
      </w:r>
      <w:r>
        <w:rPr>
          <w:rStyle w:val="ZkladntextChar1"/>
          <w:color w:val="000000"/>
          <w:sz w:val="24"/>
          <w:szCs w:val="24"/>
        </w:rPr>
        <w:t>zásady vecnej a časovej súvislosti s účtovným obdobím.</w:t>
      </w:r>
    </w:p>
    <w:p w:rsidR="00080F02" w:rsidRDefault="0060344E">
      <w:pPr>
        <w:pStyle w:val="Heading20"/>
        <w:keepNext/>
        <w:keepLines/>
        <w:numPr>
          <w:ilvl w:val="0"/>
          <w:numId w:val="5"/>
        </w:numPr>
        <w:tabs>
          <w:tab w:val="left" w:pos="713"/>
        </w:tabs>
        <w:jc w:val="both"/>
        <w:rPr>
          <w:rStyle w:val="Heading2"/>
          <w:b/>
          <w:bCs/>
          <w:color w:val="000000"/>
          <w:sz w:val="24"/>
          <w:szCs w:val="24"/>
        </w:rPr>
      </w:pPr>
      <w:bookmarkStart w:id="20" w:name="bookmark44"/>
      <w:bookmarkEnd w:id="20"/>
      <w:r>
        <w:rPr>
          <w:rStyle w:val="Heading2"/>
          <w:b/>
          <w:bCs/>
          <w:color w:val="000000"/>
          <w:sz w:val="24"/>
          <w:szCs w:val="24"/>
        </w:rPr>
        <w:t>Prenájom (lízing)</w:t>
      </w:r>
    </w:p>
    <w:p w:rsidR="00080F02" w:rsidRDefault="0060344E">
      <w:pPr>
        <w:pStyle w:val="Telotextu"/>
        <w:ind w:firstLine="72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Majetok prenajatý na základe operatívneho prenájmu vykazuje ako svoj majetok jeho vlastník, nie nájomca.</w:t>
      </w:r>
    </w:p>
    <w:p w:rsidR="00080F02" w:rsidRDefault="0060344E">
      <w:pPr>
        <w:pStyle w:val="Telotextu"/>
        <w:ind w:left="72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Finančný prenájom je obstaranie dlhodobého hmotného majetku na základe nájomne</w:t>
      </w:r>
      <w:r>
        <w:rPr>
          <w:rStyle w:val="ZkladntextChar1"/>
          <w:color w:val="000000"/>
          <w:sz w:val="24"/>
          <w:szCs w:val="24"/>
        </w:rPr>
        <w:t>j zmluvy s dojednaným právom kúpy prenajatej veci za dohodnuté platby počas dohodnutej doby nájmu. Majetok prenajatý formou finančného prenájmu vykazuje ako svoj majetok a odpisuje ho jeho nájomca, nie vlastník.</w:t>
      </w:r>
    </w:p>
    <w:p w:rsidR="00080F02" w:rsidRDefault="0060344E">
      <w:pPr>
        <w:pStyle w:val="Telotextu"/>
        <w:ind w:left="72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Prijatie majetku nájomcom sa v účtovníctve n</w:t>
      </w:r>
      <w:r>
        <w:rPr>
          <w:rStyle w:val="ZkladntextChar1"/>
          <w:color w:val="000000"/>
          <w:sz w:val="24"/>
          <w:szCs w:val="24"/>
        </w:rPr>
        <w:t xml:space="preserve">ájomcu účtuje v deň prijatia majetku na </w:t>
      </w:r>
      <w:r>
        <w:rPr>
          <w:rStyle w:val="ZkladntextChar1"/>
          <w:color w:val="000000"/>
          <w:sz w:val="24"/>
          <w:szCs w:val="24"/>
        </w:rPr>
        <w:lastRenderedPageBreak/>
        <w:t>ťarchu príslušného účtu majetku so súvzťažným zápisom v prospech účtu 474 - Záväzky z nájmu vo výške dohodnutých platieb znížených o nerealizované finančné náklady.</w:t>
      </w:r>
    </w:p>
    <w:p w:rsidR="00080F02" w:rsidRDefault="0060344E">
      <w:pPr>
        <w:pStyle w:val="Telotextu"/>
        <w:spacing w:after="620"/>
        <w:ind w:left="72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Súčasťou dohodnutých platieb je aj kúpna cena, za k</w:t>
      </w:r>
      <w:r>
        <w:rPr>
          <w:rStyle w:val="ZkladntextChar1"/>
          <w:color w:val="000000"/>
          <w:sz w:val="24"/>
          <w:szCs w:val="24"/>
        </w:rPr>
        <w:t>torú na konci dohodnutej doby finančného prenájmu prechádza vlastnícke právo k prenajatému majetku z prenajímateľa na nájomcu. Dohodnutá doba nájmu je najmenej 60 % doby odpisovania podľa daňových predpisov, minimálne však 3 roky. Platba nájomného je aloko</w:t>
      </w:r>
      <w:r>
        <w:rPr>
          <w:rStyle w:val="ZkladntextChar1"/>
          <w:color w:val="000000"/>
          <w:sz w:val="24"/>
          <w:szCs w:val="24"/>
        </w:rPr>
        <w:t>vaná medzi splátku istiny a finančné náklady, vypočítané metódou efektívnej úrokovej miery. Finančné náklady sa účtujú na ťarchu účtu 562 - Úroky.</w:t>
      </w:r>
    </w:p>
    <w:p w:rsidR="00080F02" w:rsidRDefault="0060344E">
      <w:pPr>
        <w:pStyle w:val="Heading20"/>
        <w:keepNext/>
        <w:keepLines/>
        <w:numPr>
          <w:ilvl w:val="0"/>
          <w:numId w:val="5"/>
        </w:numPr>
        <w:tabs>
          <w:tab w:val="left" w:pos="713"/>
        </w:tabs>
        <w:jc w:val="both"/>
        <w:rPr>
          <w:rStyle w:val="Heading2"/>
          <w:b/>
          <w:bCs/>
          <w:color w:val="000000"/>
          <w:sz w:val="24"/>
          <w:szCs w:val="24"/>
        </w:rPr>
      </w:pPr>
      <w:bookmarkStart w:id="21" w:name="bookmark46"/>
      <w:bookmarkEnd w:id="21"/>
      <w:r>
        <w:rPr>
          <w:rStyle w:val="Heading2"/>
          <w:b/>
          <w:bCs/>
          <w:color w:val="000000"/>
          <w:sz w:val="24"/>
          <w:szCs w:val="24"/>
        </w:rPr>
        <w:t>Odložené dane</w:t>
      </w:r>
    </w:p>
    <w:p w:rsidR="00080F02" w:rsidRDefault="0060344E">
      <w:pPr>
        <w:pStyle w:val="Telotextu"/>
        <w:spacing w:after="0"/>
        <w:ind w:firstLine="72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Odložené dane (odložená daňová pohľadávka a odložený daňový záväzok) sa vzťahujú na:</w:t>
      </w:r>
    </w:p>
    <w:p w:rsidR="00080F02" w:rsidRDefault="0060344E">
      <w:pPr>
        <w:pStyle w:val="Telotextu"/>
        <w:numPr>
          <w:ilvl w:val="0"/>
          <w:numId w:val="6"/>
        </w:numPr>
        <w:tabs>
          <w:tab w:val="left" w:pos="713"/>
        </w:tabs>
        <w:spacing w:after="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dočasné ro</w:t>
      </w:r>
      <w:r>
        <w:rPr>
          <w:rStyle w:val="ZkladntextChar1"/>
          <w:color w:val="000000"/>
          <w:sz w:val="24"/>
          <w:szCs w:val="24"/>
        </w:rPr>
        <w:t>zdiely medzi účtovnou hodnotou majetku a účtovnou hodnotou záväzkov vykázanou v súvahe a ich daňovou základňou,</w:t>
      </w:r>
    </w:p>
    <w:p w:rsidR="00080F02" w:rsidRDefault="0060344E">
      <w:pPr>
        <w:pStyle w:val="Telotextu"/>
        <w:numPr>
          <w:ilvl w:val="0"/>
          <w:numId w:val="6"/>
        </w:numPr>
        <w:tabs>
          <w:tab w:val="left" w:pos="713"/>
        </w:tabs>
        <w:spacing w:after="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možnosť umorovať daňovú stratu v budúcnosti, ktorou sa rozumie možnosť odpočítať daňovú stratu od základu dane v budúcnosti,</w:t>
      </w:r>
    </w:p>
    <w:p w:rsidR="00080F02" w:rsidRDefault="0060344E">
      <w:pPr>
        <w:pStyle w:val="Telotextu"/>
        <w:numPr>
          <w:ilvl w:val="0"/>
          <w:numId w:val="6"/>
        </w:numPr>
        <w:tabs>
          <w:tab w:val="left" w:pos="713"/>
        </w:tabs>
        <w:ind w:left="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možnosť previesť ne</w:t>
      </w:r>
      <w:r>
        <w:rPr>
          <w:rStyle w:val="ZkladntextChar1"/>
          <w:color w:val="000000"/>
          <w:sz w:val="24"/>
          <w:szCs w:val="24"/>
        </w:rPr>
        <w:t>využité daňové odpočty a iné daňové nároky do budúcich období.</w:t>
      </w:r>
    </w:p>
    <w:p w:rsidR="00080F02" w:rsidRDefault="0060344E">
      <w:pPr>
        <w:pStyle w:val="Heading20"/>
        <w:keepNext/>
        <w:keepLines/>
        <w:numPr>
          <w:ilvl w:val="0"/>
          <w:numId w:val="4"/>
        </w:numPr>
        <w:tabs>
          <w:tab w:val="left" w:pos="427"/>
        </w:tabs>
        <w:spacing w:after="200"/>
        <w:ind w:left="0"/>
        <w:rPr>
          <w:rStyle w:val="Heading2"/>
          <w:b/>
          <w:bCs/>
          <w:color w:val="000000"/>
          <w:sz w:val="24"/>
          <w:szCs w:val="24"/>
        </w:rPr>
      </w:pPr>
      <w:bookmarkStart w:id="22" w:name="bookmark48"/>
      <w:bookmarkEnd w:id="22"/>
      <w:r>
        <w:rPr>
          <w:rStyle w:val="Heading2"/>
          <w:b/>
          <w:bCs/>
          <w:color w:val="000000"/>
          <w:sz w:val="24"/>
          <w:szCs w:val="24"/>
        </w:rPr>
        <w:t>Tvorba odpisovaného plánu</w:t>
      </w:r>
    </w:p>
    <w:p w:rsidR="00080F02" w:rsidRDefault="0060344E">
      <w:pPr>
        <w:pStyle w:val="Telotextu"/>
        <w:ind w:left="44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 xml:space="preserve">Odpisy dlhodobého nehmotného majetku sú stanovené vychádzajúc z predpokladanej doby jeho používania a predpokladaného priebehu jeho opotrebenia. Odpisovať sa začína </w:t>
      </w:r>
      <w:r>
        <w:rPr>
          <w:rStyle w:val="ZkladntextChar1"/>
          <w:color w:val="000000"/>
          <w:sz w:val="24"/>
          <w:szCs w:val="24"/>
        </w:rPr>
        <w:t>prvým dňom mesiaca nasledujúceho po uvedení dlhodobého majetku do používania. Drobný dlhodobý nehmotný majetok, ktorého obstarávacia cena (resp. vlastné náklady) je 2 400 EUR a nižšia, sa odpisuje jednorazovo pri uvedení do používania.</w:t>
      </w:r>
    </w:p>
    <w:p w:rsidR="00080F02" w:rsidRDefault="0060344E">
      <w:pPr>
        <w:pStyle w:val="Telotextu"/>
        <w:ind w:left="44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Odpisy dlhodobého hm</w:t>
      </w:r>
      <w:r>
        <w:rPr>
          <w:rStyle w:val="ZkladntextChar1"/>
          <w:color w:val="000000"/>
          <w:sz w:val="24"/>
          <w:szCs w:val="24"/>
        </w:rPr>
        <w:t>otného majetku sú stanovené vychádzajúc z predpokladanej doby jeho používania a predpokladaného priebehu jeho opotrebenia. Odpisovať sa začína prvým dňom mesiaca uvedení dlhodobého majetku do používania. Drobný dlhodobý hmotný majetok, ktorého obstarávacia</w:t>
      </w:r>
      <w:r>
        <w:rPr>
          <w:rStyle w:val="ZkladntextChar1"/>
          <w:color w:val="000000"/>
          <w:sz w:val="24"/>
          <w:szCs w:val="24"/>
        </w:rPr>
        <w:t xml:space="preserve"> cena (resp. vlastné náklady) je 1 700 EUR a nižšia, sa odpisuje jednorazovo pri uvedení do používania. Pozemky sa neodpisujú. Predpokladaná doba používania, metóda odpisovania a odpisová sadzba sú uvedené v nasledujúcej tabuľke:</w:t>
      </w:r>
      <w:r>
        <w:pict>
          <v:rect id="_x0000_s1026" style="position:absolute;left:0;text-align:left;margin-left:541.65pt;margin-top:801.2pt;width:5.05pt;height:11.55pt;z-index:251658240;mso-wrap-distance-left:0;mso-wrap-distance-top:0;mso-wrap-distance-right:0;mso-wrap-distance-bottom:0;mso-position-horizontal-relative:text;mso-position-vertical-relative:text" stroked="f" strokeweight="0">
            <v:textbox inset="0,0,0,0">
              <w:txbxContent>
                <w:p w:rsidR="00080F02" w:rsidRDefault="0060344E">
                  <w:pPr>
                    <w:pStyle w:val="Headerorfooter20"/>
                  </w:pPr>
                  <w:r>
                    <w:fldChar w:fldCharType="begin"/>
                  </w:r>
                  <w:r>
                    <w:instrText>PAGE</w:instrText>
                  </w:r>
                  <w:r>
                    <w:fldChar w:fldCharType="separate"/>
                  </w:r>
                  <w:r>
                    <w:t>5</w:t>
                  </w:r>
                  <w:r>
                    <w:fldChar w:fldCharType="end"/>
                  </w:r>
                </w:p>
              </w:txbxContent>
            </v:textbox>
          </v:rect>
        </w:pict>
      </w:r>
    </w:p>
    <w:p w:rsidR="00080F02" w:rsidRDefault="00080F02">
      <w:pPr>
        <w:spacing w:after="659" w:line="1" w:lineRule="exact"/>
        <w:rPr>
          <w:color w:val="00000A"/>
        </w:rPr>
      </w:pPr>
    </w:p>
    <w:tbl>
      <w:tblPr>
        <w:tblW w:w="0" w:type="auto"/>
        <w:jc w:val="center"/>
        <w:tblBorders>
          <w:top w:val="nil"/>
          <w:left w:val="nil"/>
          <w:bottom w:val="nil"/>
          <w:right w:val="nil"/>
          <w:insideH w:val="nil"/>
          <w:insideV w:val="nil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75"/>
        <w:gridCol w:w="2377"/>
        <w:gridCol w:w="1828"/>
        <w:gridCol w:w="1546"/>
      </w:tblGrid>
      <w:tr w:rsidR="00080F02">
        <w:trPr>
          <w:trHeight w:hRule="exact" w:val="499"/>
          <w:jc w:val="center"/>
        </w:trPr>
        <w:tc>
          <w:tcPr>
            <w:tcW w:w="287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080F02" w:rsidRDefault="00080F02">
            <w:pPr>
              <w:rPr>
                <w:color w:val="00000A"/>
              </w:rPr>
            </w:pPr>
          </w:p>
        </w:tc>
        <w:tc>
          <w:tcPr>
            <w:tcW w:w="237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080F02" w:rsidRDefault="0060344E">
            <w:pPr>
              <w:pStyle w:val="Other0"/>
              <w:spacing w:after="0" w:line="290" w:lineRule="auto"/>
              <w:jc w:val="center"/>
              <w:rPr>
                <w:rStyle w:val="Other"/>
                <w:color w:val="000000"/>
                <w:sz w:val="24"/>
                <w:szCs w:val="24"/>
              </w:rPr>
            </w:pPr>
            <w:r>
              <w:rPr>
                <w:rStyle w:val="Other"/>
                <w:color w:val="000000"/>
                <w:sz w:val="24"/>
                <w:szCs w:val="24"/>
              </w:rPr>
              <w:t>Predpokladan</w:t>
            </w:r>
            <w:r>
              <w:rPr>
                <w:rStyle w:val="Other"/>
                <w:color w:val="000000"/>
                <w:sz w:val="24"/>
                <w:szCs w:val="24"/>
              </w:rPr>
              <w:t>á doba používania v rokoch</w:t>
            </w:r>
          </w:p>
        </w:tc>
        <w:tc>
          <w:tcPr>
            <w:tcW w:w="182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080F02" w:rsidRDefault="0060344E">
            <w:pPr>
              <w:pStyle w:val="Other0"/>
              <w:spacing w:after="0" w:line="290" w:lineRule="auto"/>
              <w:jc w:val="center"/>
              <w:rPr>
                <w:rStyle w:val="Other"/>
                <w:color w:val="000000"/>
                <w:sz w:val="24"/>
                <w:szCs w:val="24"/>
              </w:rPr>
            </w:pPr>
            <w:r>
              <w:rPr>
                <w:rStyle w:val="Other"/>
                <w:color w:val="000000"/>
                <w:sz w:val="24"/>
                <w:szCs w:val="24"/>
              </w:rPr>
              <w:t>Metóda odpisovania</w:t>
            </w:r>
          </w:p>
        </w:tc>
        <w:tc>
          <w:tcPr>
            <w:tcW w:w="154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080F02" w:rsidRDefault="0060344E">
            <w:pPr>
              <w:pStyle w:val="Other0"/>
              <w:spacing w:after="0" w:line="290" w:lineRule="auto"/>
              <w:jc w:val="center"/>
              <w:rPr>
                <w:rStyle w:val="Other"/>
                <w:color w:val="000000"/>
                <w:sz w:val="24"/>
                <w:szCs w:val="24"/>
              </w:rPr>
            </w:pPr>
            <w:r>
              <w:rPr>
                <w:rStyle w:val="Other"/>
                <w:color w:val="000000"/>
                <w:sz w:val="24"/>
                <w:szCs w:val="24"/>
              </w:rPr>
              <w:t>Ročná odpisová sadzba v %</w:t>
            </w:r>
          </w:p>
        </w:tc>
      </w:tr>
      <w:tr w:rsidR="00080F02">
        <w:trPr>
          <w:trHeight w:hRule="exact" w:val="240"/>
          <w:jc w:val="center"/>
        </w:trPr>
        <w:tc>
          <w:tcPr>
            <w:tcW w:w="2875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080F02" w:rsidRDefault="0060344E">
            <w:pPr>
              <w:pStyle w:val="Other0"/>
              <w:spacing w:after="0"/>
              <w:rPr>
                <w:rStyle w:val="Other"/>
                <w:color w:val="000000"/>
                <w:sz w:val="24"/>
                <w:szCs w:val="24"/>
              </w:rPr>
            </w:pPr>
            <w:r>
              <w:rPr>
                <w:rStyle w:val="Other"/>
                <w:color w:val="000000"/>
                <w:sz w:val="24"/>
                <w:szCs w:val="24"/>
              </w:rPr>
              <w:t>Stavby</w:t>
            </w:r>
          </w:p>
        </w:tc>
        <w:tc>
          <w:tcPr>
            <w:tcW w:w="2377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080F02" w:rsidRDefault="0060344E">
            <w:pPr>
              <w:pStyle w:val="Other0"/>
              <w:spacing w:after="0"/>
              <w:jc w:val="center"/>
              <w:rPr>
                <w:rStyle w:val="Other"/>
                <w:color w:val="000000"/>
                <w:sz w:val="24"/>
                <w:szCs w:val="24"/>
              </w:rPr>
            </w:pPr>
            <w:r>
              <w:rPr>
                <w:rStyle w:val="Other"/>
                <w:color w:val="000000"/>
                <w:sz w:val="24"/>
                <w:szCs w:val="24"/>
              </w:rPr>
              <w:t>20</w:t>
            </w:r>
          </w:p>
        </w:tc>
        <w:tc>
          <w:tcPr>
            <w:tcW w:w="1828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080F02" w:rsidRDefault="0060344E">
            <w:pPr>
              <w:pStyle w:val="Other0"/>
              <w:spacing w:after="0"/>
              <w:ind w:firstLine="560"/>
              <w:rPr>
                <w:rStyle w:val="Other"/>
                <w:color w:val="000000"/>
                <w:sz w:val="24"/>
                <w:szCs w:val="24"/>
              </w:rPr>
            </w:pPr>
            <w:r>
              <w:rPr>
                <w:rStyle w:val="Other"/>
                <w:color w:val="000000"/>
                <w:sz w:val="24"/>
                <w:szCs w:val="24"/>
              </w:rPr>
              <w:t>lineárna</w:t>
            </w:r>
          </w:p>
        </w:tc>
        <w:tc>
          <w:tcPr>
            <w:tcW w:w="1546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080F02" w:rsidRDefault="0060344E">
            <w:pPr>
              <w:pStyle w:val="Other0"/>
              <w:spacing w:after="0"/>
              <w:ind w:firstLine="820"/>
              <w:rPr>
                <w:rStyle w:val="Other"/>
                <w:color w:val="000000"/>
                <w:sz w:val="24"/>
                <w:szCs w:val="24"/>
              </w:rPr>
            </w:pPr>
            <w:r>
              <w:rPr>
                <w:rStyle w:val="Other"/>
                <w:color w:val="000000"/>
                <w:sz w:val="24"/>
                <w:szCs w:val="24"/>
              </w:rPr>
              <w:t>5</w:t>
            </w:r>
          </w:p>
        </w:tc>
      </w:tr>
      <w:tr w:rsidR="00080F02">
        <w:trPr>
          <w:trHeight w:hRule="exact" w:val="250"/>
          <w:jc w:val="center"/>
        </w:trPr>
        <w:tc>
          <w:tcPr>
            <w:tcW w:w="287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080F02" w:rsidRDefault="0060344E">
            <w:pPr>
              <w:pStyle w:val="Other0"/>
              <w:spacing w:after="0"/>
              <w:rPr>
                <w:rStyle w:val="Other"/>
                <w:color w:val="000000"/>
                <w:sz w:val="24"/>
                <w:szCs w:val="24"/>
              </w:rPr>
            </w:pPr>
            <w:r>
              <w:rPr>
                <w:rStyle w:val="Other"/>
                <w:color w:val="000000"/>
                <w:sz w:val="24"/>
                <w:szCs w:val="24"/>
              </w:rPr>
              <w:t>Stroje, prístroje a zariadenia</w:t>
            </w:r>
          </w:p>
        </w:tc>
        <w:tc>
          <w:tcPr>
            <w:tcW w:w="237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080F02" w:rsidRDefault="0060344E">
            <w:pPr>
              <w:pStyle w:val="Other0"/>
              <w:spacing w:after="0"/>
              <w:jc w:val="center"/>
              <w:rPr>
                <w:rStyle w:val="Other"/>
                <w:color w:val="000000"/>
                <w:sz w:val="24"/>
                <w:szCs w:val="24"/>
              </w:rPr>
            </w:pPr>
            <w:r>
              <w:rPr>
                <w:rStyle w:val="Other"/>
                <w:color w:val="000000"/>
                <w:sz w:val="24"/>
                <w:szCs w:val="24"/>
              </w:rPr>
              <w:t>4 až 6</w:t>
            </w:r>
          </w:p>
        </w:tc>
        <w:tc>
          <w:tcPr>
            <w:tcW w:w="182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080F02" w:rsidRDefault="0060344E">
            <w:pPr>
              <w:pStyle w:val="Other0"/>
              <w:spacing w:after="0"/>
              <w:ind w:firstLine="560"/>
              <w:rPr>
                <w:rStyle w:val="Other"/>
                <w:color w:val="000000"/>
                <w:sz w:val="24"/>
                <w:szCs w:val="24"/>
              </w:rPr>
            </w:pPr>
            <w:r>
              <w:rPr>
                <w:rStyle w:val="Other"/>
                <w:color w:val="000000"/>
                <w:sz w:val="24"/>
                <w:szCs w:val="24"/>
              </w:rPr>
              <w:t>lineárna</w:t>
            </w:r>
          </w:p>
        </w:tc>
        <w:tc>
          <w:tcPr>
            <w:tcW w:w="154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080F02" w:rsidRDefault="0060344E">
            <w:pPr>
              <w:pStyle w:val="Other0"/>
              <w:spacing w:after="0"/>
              <w:ind w:firstLine="560"/>
              <w:rPr>
                <w:rStyle w:val="Other"/>
                <w:color w:val="000000"/>
                <w:sz w:val="24"/>
                <w:szCs w:val="24"/>
              </w:rPr>
            </w:pPr>
            <w:r>
              <w:rPr>
                <w:rStyle w:val="Other"/>
                <w:color w:val="000000"/>
                <w:sz w:val="24"/>
                <w:szCs w:val="24"/>
              </w:rPr>
              <w:t>16 až 25</w:t>
            </w:r>
          </w:p>
        </w:tc>
      </w:tr>
      <w:tr w:rsidR="00080F02">
        <w:trPr>
          <w:trHeight w:hRule="exact" w:val="254"/>
          <w:jc w:val="center"/>
        </w:trPr>
        <w:tc>
          <w:tcPr>
            <w:tcW w:w="287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080F02" w:rsidRDefault="0060344E">
            <w:pPr>
              <w:pStyle w:val="Other0"/>
              <w:spacing w:after="0"/>
              <w:rPr>
                <w:rStyle w:val="Other"/>
                <w:color w:val="000000"/>
                <w:sz w:val="24"/>
                <w:szCs w:val="24"/>
              </w:rPr>
            </w:pPr>
            <w:r>
              <w:rPr>
                <w:rStyle w:val="Other"/>
                <w:color w:val="000000"/>
                <w:sz w:val="24"/>
                <w:szCs w:val="24"/>
              </w:rPr>
              <w:t>Dopravné prostriedky</w:t>
            </w:r>
          </w:p>
        </w:tc>
        <w:tc>
          <w:tcPr>
            <w:tcW w:w="237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080F02" w:rsidRDefault="0060344E">
            <w:pPr>
              <w:pStyle w:val="Other0"/>
              <w:spacing w:after="0"/>
              <w:jc w:val="center"/>
              <w:rPr>
                <w:rStyle w:val="Other"/>
                <w:color w:val="000000"/>
                <w:sz w:val="24"/>
                <w:szCs w:val="24"/>
              </w:rPr>
            </w:pPr>
            <w:r>
              <w:rPr>
                <w:rStyle w:val="Other"/>
                <w:color w:val="000000"/>
                <w:sz w:val="24"/>
                <w:szCs w:val="24"/>
              </w:rPr>
              <w:t>3 až 4</w:t>
            </w:r>
          </w:p>
        </w:tc>
        <w:tc>
          <w:tcPr>
            <w:tcW w:w="182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080F02" w:rsidRDefault="0060344E">
            <w:pPr>
              <w:pStyle w:val="Other0"/>
              <w:spacing w:after="0"/>
              <w:ind w:firstLine="560"/>
              <w:rPr>
                <w:rStyle w:val="Other"/>
                <w:color w:val="000000"/>
                <w:sz w:val="24"/>
                <w:szCs w:val="24"/>
              </w:rPr>
            </w:pPr>
            <w:r>
              <w:rPr>
                <w:rStyle w:val="Other"/>
                <w:color w:val="000000"/>
                <w:sz w:val="24"/>
                <w:szCs w:val="24"/>
              </w:rPr>
              <w:t>lineárna</w:t>
            </w:r>
          </w:p>
        </w:tc>
        <w:tc>
          <w:tcPr>
            <w:tcW w:w="154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080F02" w:rsidRDefault="0060344E">
            <w:pPr>
              <w:pStyle w:val="Other0"/>
              <w:spacing w:after="0"/>
              <w:ind w:firstLine="560"/>
              <w:rPr>
                <w:rStyle w:val="Other"/>
                <w:color w:val="000000"/>
                <w:sz w:val="24"/>
                <w:szCs w:val="24"/>
              </w:rPr>
            </w:pPr>
            <w:r>
              <w:rPr>
                <w:rStyle w:val="Other"/>
                <w:color w:val="000000"/>
                <w:sz w:val="24"/>
                <w:szCs w:val="24"/>
              </w:rPr>
              <w:t>25 až 33</w:t>
            </w:r>
          </w:p>
        </w:tc>
      </w:tr>
      <w:tr w:rsidR="00080F02">
        <w:trPr>
          <w:trHeight w:hRule="exact" w:val="240"/>
          <w:jc w:val="center"/>
        </w:trPr>
        <w:tc>
          <w:tcPr>
            <w:tcW w:w="287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080F02" w:rsidRDefault="0060344E">
            <w:pPr>
              <w:pStyle w:val="Other0"/>
              <w:spacing w:after="0"/>
              <w:rPr>
                <w:rStyle w:val="Other"/>
                <w:color w:val="000000"/>
                <w:sz w:val="24"/>
                <w:szCs w:val="24"/>
              </w:rPr>
            </w:pPr>
            <w:r>
              <w:rPr>
                <w:rStyle w:val="Other"/>
                <w:color w:val="000000"/>
                <w:sz w:val="24"/>
                <w:szCs w:val="24"/>
              </w:rPr>
              <w:t>Drobný dlhodobý hmotný majetok</w:t>
            </w:r>
          </w:p>
        </w:tc>
        <w:tc>
          <w:tcPr>
            <w:tcW w:w="237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080F02" w:rsidRDefault="0060344E">
            <w:pPr>
              <w:pStyle w:val="Other0"/>
              <w:spacing w:after="0"/>
              <w:jc w:val="center"/>
              <w:rPr>
                <w:rStyle w:val="Other"/>
                <w:color w:val="000000"/>
                <w:sz w:val="24"/>
                <w:szCs w:val="24"/>
              </w:rPr>
            </w:pPr>
            <w:r>
              <w:rPr>
                <w:rStyle w:val="Other"/>
                <w:color w:val="000000"/>
                <w:sz w:val="24"/>
                <w:szCs w:val="24"/>
              </w:rPr>
              <w:t>rôzna</w:t>
            </w:r>
          </w:p>
        </w:tc>
        <w:tc>
          <w:tcPr>
            <w:tcW w:w="182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080F02" w:rsidRDefault="0060344E">
            <w:pPr>
              <w:pStyle w:val="Other0"/>
              <w:spacing w:after="0"/>
              <w:ind w:firstLine="200"/>
              <w:rPr>
                <w:rStyle w:val="Other"/>
                <w:color w:val="000000"/>
                <w:sz w:val="24"/>
                <w:szCs w:val="24"/>
              </w:rPr>
            </w:pPr>
            <w:r>
              <w:rPr>
                <w:rStyle w:val="Other"/>
                <w:color w:val="000000"/>
                <w:sz w:val="24"/>
                <w:szCs w:val="24"/>
              </w:rPr>
              <w:t>jednorazový odpis</w:t>
            </w:r>
          </w:p>
        </w:tc>
        <w:tc>
          <w:tcPr>
            <w:tcW w:w="154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080F02" w:rsidRDefault="0060344E">
            <w:pPr>
              <w:pStyle w:val="Other0"/>
              <w:spacing w:after="0"/>
              <w:ind w:firstLine="740"/>
              <w:rPr>
                <w:rStyle w:val="Other"/>
                <w:color w:val="000000"/>
                <w:sz w:val="24"/>
                <w:szCs w:val="24"/>
              </w:rPr>
            </w:pPr>
            <w:r>
              <w:rPr>
                <w:rStyle w:val="Other"/>
                <w:color w:val="000000"/>
                <w:sz w:val="24"/>
                <w:szCs w:val="24"/>
              </w:rPr>
              <w:t>100</w:t>
            </w:r>
          </w:p>
        </w:tc>
      </w:tr>
    </w:tbl>
    <w:p w:rsidR="00080F02" w:rsidRDefault="00080F02">
      <w:pPr>
        <w:spacing w:after="199" w:line="1" w:lineRule="exact"/>
        <w:rPr>
          <w:color w:val="00000A"/>
        </w:rPr>
      </w:pPr>
    </w:p>
    <w:p w:rsidR="00080F02" w:rsidRDefault="0060344E">
      <w:pPr>
        <w:pStyle w:val="Heading20"/>
        <w:keepNext/>
        <w:keepLines/>
        <w:numPr>
          <w:ilvl w:val="0"/>
          <w:numId w:val="4"/>
        </w:numPr>
        <w:tabs>
          <w:tab w:val="left" w:pos="427"/>
        </w:tabs>
        <w:ind w:left="0"/>
        <w:rPr>
          <w:rStyle w:val="Heading2"/>
          <w:b/>
          <w:bCs/>
          <w:color w:val="000000"/>
          <w:sz w:val="24"/>
          <w:szCs w:val="24"/>
        </w:rPr>
      </w:pPr>
      <w:bookmarkStart w:id="23" w:name="bookmark50"/>
      <w:bookmarkEnd w:id="23"/>
      <w:r>
        <w:rPr>
          <w:rStyle w:val="Heading2"/>
          <w:b/>
          <w:bCs/>
          <w:color w:val="000000"/>
          <w:sz w:val="24"/>
          <w:szCs w:val="24"/>
        </w:rPr>
        <w:t>Dotácie zo štátneho rozpočtu</w:t>
      </w:r>
    </w:p>
    <w:p w:rsidR="00080F02" w:rsidRDefault="0060344E">
      <w:pPr>
        <w:pStyle w:val="Telotextu"/>
        <w:ind w:left="500" w:firstLine="2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O nároku na dotácie zo štátneho rozpočtu sa účtuje, ak je takmer isté, že sa splnia všetky podmienky súvisiace s dotáciou a súčasne, že sa dotácia poskytne.</w:t>
      </w:r>
    </w:p>
    <w:p w:rsidR="00080F02" w:rsidRDefault="0060344E">
      <w:pPr>
        <w:pStyle w:val="Telotextu"/>
        <w:ind w:left="500" w:firstLine="2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lastRenderedPageBreak/>
        <w:t xml:space="preserve">Dotácie na hospodársku činnosť Spoločnosti sa najskôr vykazujú </w:t>
      </w:r>
      <w:r>
        <w:rPr>
          <w:rStyle w:val="ZkladntextChar1"/>
          <w:color w:val="000000"/>
          <w:sz w:val="24"/>
          <w:szCs w:val="24"/>
        </w:rPr>
        <w:t>ako výnosy budúcich období a do výkazu ziskov a strát sa rozpúšťajú ako výnosy z hospodárskej činnosti v časovej a vecnej súvislosti s vynaložením nákladov na príslušný účel.</w:t>
      </w:r>
    </w:p>
    <w:p w:rsidR="00080F02" w:rsidRDefault="0060344E">
      <w:pPr>
        <w:pStyle w:val="Telotextu"/>
        <w:ind w:left="500" w:firstLine="2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Dotácie na obstaranie dlhodobého hmotného majetku a dlhodobého nehmotného majetku</w:t>
      </w:r>
      <w:r>
        <w:rPr>
          <w:rStyle w:val="ZkladntextChar1"/>
          <w:color w:val="000000"/>
          <w:sz w:val="24"/>
          <w:szCs w:val="24"/>
        </w:rPr>
        <w:t xml:space="preserve"> sa najskôr vykazujú ako výnosy budúcich období a do výkazu ziskov a strát sa rozpúšťajú v časovej a vecnej súvislosti so zaúčtovaním odpisov z tohto dlhodobého majetku.</w:t>
      </w:r>
    </w:p>
    <w:p w:rsidR="00080F02" w:rsidRDefault="0060344E">
      <w:pPr>
        <w:pStyle w:val="Heading20"/>
        <w:keepNext/>
        <w:keepLines/>
        <w:numPr>
          <w:ilvl w:val="0"/>
          <w:numId w:val="4"/>
        </w:numPr>
        <w:tabs>
          <w:tab w:val="left" w:pos="427"/>
        </w:tabs>
        <w:ind w:left="0"/>
        <w:rPr>
          <w:rStyle w:val="Heading2"/>
          <w:b/>
          <w:bCs/>
          <w:color w:val="000000"/>
          <w:sz w:val="24"/>
          <w:szCs w:val="24"/>
        </w:rPr>
      </w:pPr>
      <w:bookmarkStart w:id="24" w:name="bookmark52"/>
      <w:bookmarkEnd w:id="24"/>
      <w:r>
        <w:rPr>
          <w:rStyle w:val="Heading2"/>
          <w:b/>
          <w:bCs/>
          <w:color w:val="000000"/>
          <w:sz w:val="24"/>
          <w:szCs w:val="24"/>
        </w:rPr>
        <w:t>Oprava významných chýb minulých účtovných období</w:t>
      </w:r>
    </w:p>
    <w:p w:rsidR="00080F02" w:rsidRDefault="0060344E">
      <w:pPr>
        <w:pStyle w:val="Telotextu"/>
        <w:spacing w:after="320"/>
        <w:ind w:left="500" w:firstLine="2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Významné chyby minulých účtovných obd</w:t>
      </w:r>
      <w:r>
        <w:rPr>
          <w:rStyle w:val="ZkladntextChar1"/>
          <w:color w:val="000000"/>
          <w:sz w:val="24"/>
          <w:szCs w:val="24"/>
        </w:rPr>
        <w:t>obí sa účtujú prostredníctvom účtu 428 - Nerozdelený zisk minulých rokov alebo účtu 429 - Neuhradená strata minulých rokov a to na príslušný analytický účet za daný rok, na ktorý sa významná chyba vzťahuje.</w:t>
      </w:r>
    </w:p>
    <w:p w:rsidR="00080F02" w:rsidRDefault="0060344E">
      <w:pPr>
        <w:pStyle w:val="Telotextu"/>
        <w:spacing w:after="260"/>
        <w:ind w:firstLine="440"/>
        <w:rPr>
          <w:rStyle w:val="ZkladntextChar1"/>
          <w:b/>
          <w:bCs/>
          <w:color w:val="000000"/>
          <w:sz w:val="24"/>
          <w:szCs w:val="24"/>
        </w:rPr>
      </w:pPr>
      <w:r>
        <w:rPr>
          <w:rStyle w:val="ZkladntextChar1"/>
          <w:b/>
          <w:bCs/>
          <w:color w:val="000000"/>
          <w:sz w:val="24"/>
          <w:szCs w:val="24"/>
        </w:rPr>
        <w:t>INFORMÁCIE O ÚDAJOCH NA STRANE AKTÍV SÚVAHY</w:t>
      </w:r>
    </w:p>
    <w:p w:rsidR="00080F02" w:rsidRDefault="0060344E">
      <w:pPr>
        <w:pStyle w:val="Heading20"/>
        <w:keepNext/>
        <w:keepLines/>
        <w:spacing w:after="200"/>
        <w:ind w:firstLine="0"/>
        <w:rPr>
          <w:rStyle w:val="Heading2"/>
          <w:b/>
          <w:bCs/>
          <w:color w:val="000000"/>
          <w:sz w:val="24"/>
          <w:szCs w:val="24"/>
        </w:rPr>
      </w:pPr>
      <w:bookmarkStart w:id="25" w:name="bookmark54"/>
      <w:bookmarkEnd w:id="25"/>
      <w:r>
        <w:rPr>
          <w:rStyle w:val="Heading2"/>
          <w:b/>
          <w:bCs/>
          <w:color w:val="000000"/>
          <w:sz w:val="24"/>
          <w:szCs w:val="24"/>
        </w:rPr>
        <w:t xml:space="preserve">1. </w:t>
      </w:r>
      <w:r>
        <w:rPr>
          <w:rStyle w:val="Heading2"/>
          <w:b/>
          <w:bCs/>
          <w:color w:val="000000"/>
          <w:sz w:val="24"/>
          <w:szCs w:val="24"/>
        </w:rPr>
        <w:t xml:space="preserve">Informácia o </w:t>
      </w:r>
      <w:proofErr w:type="spellStart"/>
      <w:r>
        <w:rPr>
          <w:rStyle w:val="Heading2"/>
          <w:b/>
          <w:bCs/>
          <w:color w:val="000000"/>
          <w:sz w:val="24"/>
          <w:szCs w:val="24"/>
        </w:rPr>
        <w:t>goodwille</w:t>
      </w:r>
      <w:proofErr w:type="spellEnd"/>
    </w:p>
    <w:p w:rsidR="00080F02" w:rsidRDefault="0060344E">
      <w:pPr>
        <w:pStyle w:val="Telotextu"/>
        <w:spacing w:after="0"/>
        <w:ind w:firstLine="50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 xml:space="preserve">Dôvod vzniku </w:t>
      </w:r>
      <w:proofErr w:type="spellStart"/>
      <w:r>
        <w:rPr>
          <w:rStyle w:val="ZkladntextChar1"/>
          <w:color w:val="000000"/>
          <w:sz w:val="24"/>
          <w:szCs w:val="24"/>
        </w:rPr>
        <w:t>goodvilu</w:t>
      </w:r>
      <w:proofErr w:type="spellEnd"/>
      <w:r>
        <w:rPr>
          <w:rStyle w:val="ZkladntextChar1"/>
          <w:color w:val="000000"/>
          <w:sz w:val="24"/>
          <w:szCs w:val="24"/>
        </w:rPr>
        <w:t>:</w:t>
      </w:r>
    </w:p>
    <w:p w:rsidR="00080F02" w:rsidRDefault="0060344E">
      <w:pPr>
        <w:pStyle w:val="Telotextu"/>
        <w:spacing w:after="0"/>
        <w:ind w:firstLine="50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Spôsob výpočtu:</w:t>
      </w:r>
    </w:p>
    <w:p w:rsidR="00080F02" w:rsidRDefault="0060344E">
      <w:pPr>
        <w:pStyle w:val="Telotextu"/>
        <w:spacing w:after="440"/>
        <w:ind w:firstLine="50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Odpisovanie:</w:t>
      </w:r>
    </w:p>
    <w:p w:rsidR="00080F02" w:rsidRDefault="0060344E">
      <w:pPr>
        <w:pStyle w:val="Heading20"/>
        <w:keepNext/>
        <w:keepLines/>
        <w:spacing w:after="660"/>
        <w:ind w:firstLine="440"/>
        <w:rPr>
          <w:rStyle w:val="Heading2"/>
          <w:b/>
          <w:bCs/>
          <w:color w:val="000000"/>
          <w:sz w:val="24"/>
          <w:szCs w:val="24"/>
        </w:rPr>
      </w:pPr>
      <w:bookmarkStart w:id="26" w:name="bookmark56"/>
      <w:bookmarkEnd w:id="26"/>
      <w:r>
        <w:rPr>
          <w:rStyle w:val="Heading2"/>
          <w:b/>
          <w:bCs/>
          <w:color w:val="000000"/>
          <w:sz w:val="24"/>
          <w:szCs w:val="24"/>
        </w:rPr>
        <w:t>INFORMÁCIE O ÚDAJOCH NA STRANE PASÍV SÚVAHY</w:t>
      </w:r>
    </w:p>
    <w:p w:rsidR="00080F02" w:rsidRDefault="0060344E">
      <w:pPr>
        <w:pStyle w:val="Heading20"/>
        <w:keepNext/>
        <w:keepLines/>
        <w:spacing w:after="200"/>
        <w:ind w:firstLine="0"/>
        <w:rPr>
          <w:rStyle w:val="Heading2"/>
          <w:b/>
          <w:bCs/>
          <w:color w:val="000000"/>
          <w:sz w:val="24"/>
          <w:szCs w:val="24"/>
        </w:rPr>
      </w:pPr>
      <w:bookmarkStart w:id="27" w:name="bookmark58"/>
      <w:bookmarkEnd w:id="27"/>
      <w:r>
        <w:rPr>
          <w:rStyle w:val="Heading2"/>
          <w:b/>
          <w:bCs/>
          <w:color w:val="000000"/>
          <w:sz w:val="24"/>
          <w:szCs w:val="24"/>
        </w:rPr>
        <w:t>1. Informácie o záväzkoch</w:t>
      </w:r>
    </w:p>
    <w:p w:rsidR="00080F02" w:rsidRDefault="0060344E">
      <w:pPr>
        <w:pStyle w:val="Tablecaption0"/>
        <w:jc w:val="both"/>
        <w:rPr>
          <w:rStyle w:val="Tablecaption"/>
          <w:color w:val="000000"/>
          <w:sz w:val="24"/>
          <w:szCs w:val="24"/>
        </w:rPr>
      </w:pPr>
      <w:r>
        <w:rPr>
          <w:rStyle w:val="Tablecaption"/>
          <w:color w:val="000000"/>
          <w:sz w:val="24"/>
          <w:szCs w:val="24"/>
        </w:rPr>
        <w:t xml:space="preserve">a) Celková suma záväzkov so zostatkovou dobou splatnosti dlhšou ako 5 rokov: </w:t>
      </w:r>
    </w:p>
    <w:p w:rsidR="00080F02" w:rsidRDefault="0060344E">
      <w:pPr>
        <w:pStyle w:val="Tablecaption0"/>
        <w:jc w:val="both"/>
        <w:rPr>
          <w:rStyle w:val="Tablecaption"/>
          <w:color w:val="000000"/>
          <w:sz w:val="24"/>
          <w:szCs w:val="24"/>
        </w:rPr>
      </w:pPr>
      <w:r>
        <w:rPr>
          <w:rStyle w:val="Tablecaption"/>
          <w:color w:val="000000"/>
          <w:sz w:val="24"/>
          <w:szCs w:val="24"/>
        </w:rPr>
        <w:t xml:space="preserve"> b)</w:t>
      </w:r>
    </w:p>
    <w:p w:rsidR="00080F02" w:rsidRDefault="00080F02">
      <w:pPr>
        <w:pStyle w:val="Tablecaption0"/>
        <w:jc w:val="both"/>
      </w:pPr>
    </w:p>
    <w:tbl>
      <w:tblPr>
        <w:tblW w:w="0" w:type="auto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nil"/>
          <w:insideH w:val="single" w:sz="4" w:space="0" w:color="00000A"/>
          <w:insideV w:val="nil"/>
        </w:tblBorders>
        <w:tblCellMar>
          <w:left w:w="-5" w:type="dxa"/>
          <w:right w:w="0" w:type="dxa"/>
        </w:tblCellMar>
        <w:tblLook w:val="04A0" w:firstRow="1" w:lastRow="0" w:firstColumn="1" w:lastColumn="0" w:noHBand="0" w:noVBand="1"/>
      </w:tblPr>
      <w:tblGrid>
        <w:gridCol w:w="3840"/>
        <w:gridCol w:w="2975"/>
        <w:gridCol w:w="2684"/>
      </w:tblGrid>
      <w:tr w:rsidR="00080F02">
        <w:trPr>
          <w:trHeight w:hRule="exact" w:val="624"/>
          <w:jc w:val="center"/>
        </w:trPr>
        <w:tc>
          <w:tcPr>
            <w:tcW w:w="38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nil"/>
            </w:tcBorders>
            <w:shd w:val="clear" w:color="auto" w:fill="FFFFFF"/>
            <w:tcMar>
              <w:left w:w="-5" w:type="dxa"/>
            </w:tcMar>
            <w:vAlign w:val="center"/>
          </w:tcPr>
          <w:p w:rsidR="00080F02" w:rsidRDefault="0060344E">
            <w:pPr>
              <w:pStyle w:val="Other0"/>
              <w:spacing w:after="0"/>
              <w:rPr>
                <w:rStyle w:val="Other"/>
                <w:color w:val="000000"/>
                <w:sz w:val="24"/>
                <w:szCs w:val="24"/>
              </w:rPr>
            </w:pPr>
            <w:r>
              <w:rPr>
                <w:rStyle w:val="Other"/>
                <w:color w:val="000000"/>
                <w:sz w:val="24"/>
                <w:szCs w:val="24"/>
              </w:rPr>
              <w:t>Záväzky so zostatkovou dobou</w:t>
            </w:r>
            <w:r>
              <w:rPr>
                <w:rStyle w:val="Other"/>
                <w:color w:val="000000"/>
                <w:sz w:val="24"/>
                <w:szCs w:val="24"/>
              </w:rPr>
              <w:t xml:space="preserve"> splatnosti jeden rok až päť rokov</w:t>
            </w:r>
          </w:p>
        </w:tc>
        <w:tc>
          <w:tcPr>
            <w:tcW w:w="29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nil"/>
            </w:tcBorders>
            <w:shd w:val="clear" w:color="auto" w:fill="FFFFFF"/>
            <w:tcMar>
              <w:left w:w="-5" w:type="dxa"/>
            </w:tcMar>
            <w:vAlign w:val="center"/>
          </w:tcPr>
          <w:p w:rsidR="00080F02" w:rsidRDefault="00080F02">
            <w:pPr>
              <w:jc w:val="center"/>
            </w:pPr>
          </w:p>
        </w:tc>
        <w:tc>
          <w:tcPr>
            <w:tcW w:w="26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-5" w:type="dxa"/>
            </w:tcMar>
            <w:vAlign w:val="center"/>
          </w:tcPr>
          <w:p w:rsidR="00080F02" w:rsidRDefault="0060344E">
            <w:pPr>
              <w:pStyle w:val="Other0"/>
              <w:spacing w:before="100" w:after="0"/>
              <w:jc w:val="center"/>
            </w:pPr>
            <w:r>
              <w:t>0</w:t>
            </w:r>
          </w:p>
        </w:tc>
      </w:tr>
    </w:tbl>
    <w:p w:rsidR="00080F02" w:rsidRDefault="00080F02">
      <w:pPr>
        <w:spacing w:after="199" w:line="1" w:lineRule="exact"/>
        <w:rPr>
          <w:color w:val="00000A"/>
        </w:rPr>
      </w:pPr>
    </w:p>
    <w:p w:rsidR="00080F02" w:rsidRDefault="0060344E">
      <w:pPr>
        <w:pStyle w:val="Telotextu"/>
        <w:spacing w:after="700"/>
        <w:ind w:left="440" w:hanging="440"/>
        <w:rPr>
          <w:rStyle w:val="ZkladntextChar1"/>
          <w:b/>
          <w:bCs/>
          <w:color w:val="000000"/>
          <w:sz w:val="24"/>
          <w:szCs w:val="24"/>
        </w:rPr>
      </w:pPr>
      <w:r>
        <w:rPr>
          <w:rStyle w:val="ZkladntextChar1"/>
          <w:b/>
          <w:bCs/>
          <w:color w:val="000000"/>
          <w:sz w:val="24"/>
          <w:szCs w:val="24"/>
        </w:rPr>
        <w:t xml:space="preserve">2. Spoločnosť SPEN TRADE s.r.o. na základe uznesenia valného zhromaždenia vložila peňažný vklad vo výške 200 000,-- do kapitálových fondov spoločnosti STROPTEL, s.r.o. dňa 29.12.2010 a uznesením zo dňa 29.12.2011 </w:t>
      </w:r>
      <w:r>
        <w:rPr>
          <w:rStyle w:val="ZkladntextChar1"/>
          <w:b/>
          <w:bCs/>
          <w:color w:val="000000"/>
          <w:sz w:val="24"/>
          <w:szCs w:val="24"/>
        </w:rPr>
        <w:t>vložila do KF spoločnosti STROPTEL, s.r.o. 430 000,- EUR.</w:t>
      </w:r>
    </w:p>
    <w:p w:rsidR="00080F02" w:rsidRDefault="00080F02">
      <w:pPr>
        <w:pStyle w:val="Telotextu"/>
        <w:spacing w:after="700"/>
        <w:ind w:left="440" w:hanging="440"/>
        <w:rPr>
          <w:b/>
          <w:bCs/>
          <w:color w:val="000000"/>
          <w:sz w:val="24"/>
          <w:szCs w:val="24"/>
        </w:rPr>
      </w:pPr>
    </w:p>
    <w:p w:rsidR="00080F02" w:rsidRDefault="00080F02">
      <w:pPr>
        <w:pStyle w:val="Telotextu"/>
        <w:spacing w:after="700"/>
        <w:ind w:left="440" w:hanging="440"/>
        <w:rPr>
          <w:rFonts w:ascii="Microsoft Sans Serif" w:hAnsi="Microsoft Sans Serif" w:cs="Microsoft Sans Serif"/>
          <w:sz w:val="24"/>
          <w:szCs w:val="24"/>
        </w:rPr>
      </w:pPr>
    </w:p>
    <w:p w:rsidR="00080F02" w:rsidRDefault="0060344E">
      <w:pPr>
        <w:pStyle w:val="Heading10"/>
        <w:keepNext/>
        <w:keepLines/>
        <w:spacing w:line="290" w:lineRule="auto"/>
        <w:rPr>
          <w:rStyle w:val="Heading1"/>
          <w:b/>
          <w:bCs/>
          <w:color w:val="000000"/>
          <w:sz w:val="24"/>
          <w:szCs w:val="24"/>
        </w:rPr>
      </w:pPr>
      <w:bookmarkStart w:id="28" w:name="bookmark60"/>
      <w:bookmarkEnd w:id="28"/>
      <w:r>
        <w:rPr>
          <w:rStyle w:val="Heading1"/>
          <w:b/>
          <w:bCs/>
          <w:color w:val="000000"/>
          <w:sz w:val="24"/>
          <w:szCs w:val="24"/>
        </w:rPr>
        <w:lastRenderedPageBreak/>
        <w:t>1. Informácie k prílohe č. 3 časti F. písm. t) a u) o pohľadávkach zabezpečených záložným právom alebo inou formou zabezpečenia</w:t>
      </w:r>
    </w:p>
    <w:tbl>
      <w:tblPr>
        <w:tblW w:w="0" w:type="auto"/>
        <w:jc w:val="center"/>
        <w:tblBorders>
          <w:top w:val="single" w:sz="4" w:space="0" w:color="00000A"/>
          <w:left w:val="single" w:sz="4" w:space="0" w:color="00000A"/>
          <w:bottom w:val="nil"/>
          <w:right w:val="nil"/>
          <w:insideH w:val="nil"/>
          <w:insideV w:val="nil"/>
        </w:tblBorders>
        <w:tblCellMar>
          <w:left w:w="-5" w:type="dxa"/>
          <w:right w:w="0" w:type="dxa"/>
        </w:tblCellMar>
        <w:tblLook w:val="04A0" w:firstRow="1" w:lastRow="0" w:firstColumn="1" w:lastColumn="0" w:noHBand="0" w:noVBand="1"/>
      </w:tblPr>
      <w:tblGrid>
        <w:gridCol w:w="4891"/>
        <w:gridCol w:w="2327"/>
        <w:gridCol w:w="2280"/>
      </w:tblGrid>
      <w:tr w:rsidR="00080F02">
        <w:trPr>
          <w:trHeight w:hRule="exact" w:val="298"/>
          <w:jc w:val="center"/>
        </w:trPr>
        <w:tc>
          <w:tcPr>
            <w:tcW w:w="4891" w:type="dxa"/>
            <w:vMerge w:val="restart"/>
            <w:tcBorders>
              <w:top w:val="single" w:sz="4" w:space="0" w:color="00000A"/>
              <w:left w:val="single" w:sz="4" w:space="0" w:color="00000A"/>
              <w:bottom w:val="nil"/>
              <w:right w:val="nil"/>
            </w:tcBorders>
            <w:shd w:val="clear" w:color="auto" w:fill="FFFFFF"/>
            <w:tcMar>
              <w:left w:w="-5" w:type="dxa"/>
            </w:tcMar>
            <w:vAlign w:val="center"/>
          </w:tcPr>
          <w:p w:rsidR="00080F02" w:rsidRDefault="0060344E">
            <w:pPr>
              <w:pStyle w:val="Other0"/>
              <w:spacing w:after="0"/>
              <w:jc w:val="center"/>
              <w:rPr>
                <w:rStyle w:val="Other"/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>
              <w:rPr>
                <w:rStyle w:val="Other"/>
                <w:rFonts w:ascii="Arial" w:hAnsi="Arial" w:cs="Arial"/>
                <w:b/>
                <w:bCs/>
                <w:color w:val="000000"/>
                <w:sz w:val="24"/>
                <w:szCs w:val="24"/>
              </w:rPr>
              <w:t>Opis predmetu záložného práva</w:t>
            </w:r>
          </w:p>
        </w:tc>
        <w:tc>
          <w:tcPr>
            <w:tcW w:w="4607" w:type="dxa"/>
            <w:gridSpan w:val="2"/>
            <w:tcBorders>
              <w:top w:val="single" w:sz="4" w:space="0" w:color="00000A"/>
              <w:left w:val="single" w:sz="4" w:space="0" w:color="00000A"/>
              <w:bottom w:val="nil"/>
              <w:right w:val="single" w:sz="4" w:space="0" w:color="00000A"/>
            </w:tcBorders>
            <w:shd w:val="clear" w:color="auto" w:fill="FFFFFF"/>
            <w:tcMar>
              <w:left w:w="-5" w:type="dxa"/>
            </w:tcMar>
            <w:vAlign w:val="center"/>
          </w:tcPr>
          <w:p w:rsidR="00080F02" w:rsidRDefault="0060344E">
            <w:pPr>
              <w:pStyle w:val="Other0"/>
              <w:spacing w:after="0"/>
              <w:jc w:val="center"/>
              <w:rPr>
                <w:rStyle w:val="Other"/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>
              <w:rPr>
                <w:rStyle w:val="Other"/>
                <w:rFonts w:ascii="Arial" w:hAnsi="Arial" w:cs="Arial"/>
                <w:b/>
                <w:bCs/>
                <w:color w:val="000000"/>
                <w:sz w:val="24"/>
                <w:szCs w:val="24"/>
              </w:rPr>
              <w:t>Bežné účtovné obdobie</w:t>
            </w:r>
          </w:p>
        </w:tc>
      </w:tr>
      <w:tr w:rsidR="00080F02">
        <w:trPr>
          <w:trHeight w:hRule="exact" w:val="739"/>
          <w:jc w:val="center"/>
        </w:trPr>
        <w:tc>
          <w:tcPr>
            <w:tcW w:w="4891" w:type="dxa"/>
            <w:vMerge/>
            <w:tcBorders>
              <w:top w:val="nil"/>
              <w:left w:val="single" w:sz="4" w:space="0" w:color="00000A"/>
              <w:bottom w:val="nil"/>
              <w:right w:val="nil"/>
            </w:tcBorders>
            <w:shd w:val="clear" w:color="auto" w:fill="FFFFFF"/>
            <w:tcMar>
              <w:left w:w="-5" w:type="dxa"/>
            </w:tcMar>
            <w:vAlign w:val="center"/>
          </w:tcPr>
          <w:p w:rsidR="00080F02" w:rsidRDefault="00080F02">
            <w:pPr>
              <w:pStyle w:val="Other0"/>
              <w:spacing w:after="0"/>
              <w:jc w:val="center"/>
              <w:rPr>
                <w:rFonts w:ascii="Microsoft Sans Serif" w:hAnsi="Microsoft Sans Serif" w:cs="Microsoft Sans Serif"/>
                <w:sz w:val="24"/>
                <w:szCs w:val="24"/>
              </w:rPr>
            </w:pPr>
          </w:p>
        </w:tc>
        <w:tc>
          <w:tcPr>
            <w:tcW w:w="2327" w:type="dxa"/>
            <w:tcBorders>
              <w:top w:val="single" w:sz="4" w:space="0" w:color="00000A"/>
              <w:left w:val="single" w:sz="4" w:space="0" w:color="00000A"/>
              <w:bottom w:val="nil"/>
              <w:right w:val="nil"/>
            </w:tcBorders>
            <w:shd w:val="clear" w:color="auto" w:fill="FFFFFF"/>
            <w:tcMar>
              <w:left w:w="-5" w:type="dxa"/>
            </w:tcMar>
            <w:vAlign w:val="center"/>
          </w:tcPr>
          <w:p w:rsidR="00080F02" w:rsidRDefault="0060344E">
            <w:pPr>
              <w:pStyle w:val="Other0"/>
              <w:spacing w:after="0" w:line="290" w:lineRule="auto"/>
              <w:jc w:val="center"/>
              <w:rPr>
                <w:rStyle w:val="Other"/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>
              <w:rPr>
                <w:rStyle w:val="Other"/>
                <w:rFonts w:ascii="Arial" w:hAnsi="Arial" w:cs="Arial"/>
                <w:b/>
                <w:bCs/>
                <w:color w:val="000000"/>
                <w:sz w:val="24"/>
                <w:szCs w:val="24"/>
              </w:rPr>
              <w:t xml:space="preserve">Hodnota </w:t>
            </w:r>
            <w:r>
              <w:rPr>
                <w:rStyle w:val="Other"/>
                <w:rFonts w:ascii="Arial" w:hAnsi="Arial" w:cs="Arial"/>
                <w:b/>
                <w:bCs/>
                <w:color w:val="000000"/>
                <w:sz w:val="24"/>
                <w:szCs w:val="24"/>
              </w:rPr>
              <w:t>predmetu záložného práva</w:t>
            </w:r>
          </w:p>
        </w:tc>
        <w:tc>
          <w:tcPr>
            <w:tcW w:w="2280" w:type="dxa"/>
            <w:tcBorders>
              <w:top w:val="single" w:sz="4" w:space="0" w:color="00000A"/>
              <w:left w:val="single" w:sz="4" w:space="0" w:color="00000A"/>
              <w:bottom w:val="nil"/>
              <w:right w:val="single" w:sz="4" w:space="0" w:color="00000A"/>
            </w:tcBorders>
            <w:shd w:val="clear" w:color="auto" w:fill="FFFFFF"/>
            <w:tcMar>
              <w:left w:w="-5" w:type="dxa"/>
            </w:tcMar>
            <w:vAlign w:val="center"/>
          </w:tcPr>
          <w:p w:rsidR="00080F02" w:rsidRDefault="0060344E">
            <w:pPr>
              <w:pStyle w:val="Other0"/>
              <w:spacing w:after="0" w:line="290" w:lineRule="auto"/>
              <w:jc w:val="center"/>
              <w:rPr>
                <w:rStyle w:val="Other"/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>
              <w:rPr>
                <w:rStyle w:val="Other"/>
                <w:rFonts w:ascii="Arial" w:hAnsi="Arial" w:cs="Arial"/>
                <w:b/>
                <w:bCs/>
                <w:color w:val="000000"/>
                <w:sz w:val="24"/>
                <w:szCs w:val="24"/>
              </w:rPr>
              <w:t>Hodnota pohľadávky</w:t>
            </w:r>
          </w:p>
        </w:tc>
      </w:tr>
      <w:tr w:rsidR="00080F02">
        <w:trPr>
          <w:trHeight w:hRule="exact" w:val="533"/>
          <w:jc w:val="center"/>
        </w:trPr>
        <w:tc>
          <w:tcPr>
            <w:tcW w:w="4891" w:type="dxa"/>
            <w:tcBorders>
              <w:top w:val="single" w:sz="4" w:space="0" w:color="00000A"/>
              <w:left w:val="single" w:sz="4" w:space="0" w:color="00000A"/>
              <w:bottom w:val="nil"/>
              <w:right w:val="nil"/>
            </w:tcBorders>
            <w:shd w:val="clear" w:color="auto" w:fill="FFFFFF"/>
            <w:tcMar>
              <w:left w:w="-5" w:type="dxa"/>
            </w:tcMar>
            <w:vAlign w:val="bottom"/>
          </w:tcPr>
          <w:p w:rsidR="00080F02" w:rsidRDefault="0060344E">
            <w:pPr>
              <w:pStyle w:val="Other0"/>
              <w:spacing w:after="0"/>
              <w:rPr>
                <w:rStyle w:val="Other"/>
                <w:color w:val="000000"/>
                <w:sz w:val="24"/>
                <w:szCs w:val="24"/>
              </w:rPr>
            </w:pPr>
            <w:r>
              <w:rPr>
                <w:rStyle w:val="Other"/>
                <w:color w:val="000000"/>
                <w:sz w:val="24"/>
                <w:szCs w:val="24"/>
              </w:rPr>
              <w:t>Pohľadávky kryté záložným právom alebo inou formou zabezpečenia</w:t>
            </w:r>
          </w:p>
        </w:tc>
        <w:tc>
          <w:tcPr>
            <w:tcW w:w="2327" w:type="dxa"/>
            <w:tcBorders>
              <w:top w:val="single" w:sz="4" w:space="0" w:color="00000A"/>
              <w:left w:val="single" w:sz="4" w:space="0" w:color="00000A"/>
              <w:bottom w:val="nil"/>
              <w:right w:val="nil"/>
            </w:tcBorders>
            <w:shd w:val="clear" w:color="auto" w:fill="FFFFFF"/>
            <w:tcMar>
              <w:left w:w="-5" w:type="dxa"/>
            </w:tcMar>
            <w:vAlign w:val="center"/>
          </w:tcPr>
          <w:p w:rsidR="00080F02" w:rsidRDefault="00080F02">
            <w:pPr>
              <w:jc w:val="center"/>
              <w:rPr>
                <w:color w:val="00000A"/>
              </w:rPr>
            </w:pPr>
          </w:p>
        </w:tc>
        <w:tc>
          <w:tcPr>
            <w:tcW w:w="2280" w:type="dxa"/>
            <w:tcBorders>
              <w:top w:val="single" w:sz="4" w:space="0" w:color="00000A"/>
              <w:left w:val="single" w:sz="4" w:space="0" w:color="00000A"/>
              <w:bottom w:val="nil"/>
              <w:right w:val="single" w:sz="4" w:space="0" w:color="00000A"/>
            </w:tcBorders>
            <w:shd w:val="clear" w:color="auto" w:fill="FFFFFF"/>
            <w:tcMar>
              <w:left w:w="-5" w:type="dxa"/>
            </w:tcMar>
            <w:vAlign w:val="center"/>
          </w:tcPr>
          <w:p w:rsidR="00080F02" w:rsidRDefault="00080F02">
            <w:pPr>
              <w:jc w:val="center"/>
              <w:rPr>
                <w:color w:val="00000A"/>
              </w:rPr>
            </w:pPr>
          </w:p>
        </w:tc>
      </w:tr>
      <w:tr w:rsidR="00080F02">
        <w:trPr>
          <w:trHeight w:hRule="exact" w:val="797"/>
          <w:jc w:val="center"/>
        </w:trPr>
        <w:tc>
          <w:tcPr>
            <w:tcW w:w="48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nil"/>
            </w:tcBorders>
            <w:shd w:val="clear" w:color="auto" w:fill="FFFFFF"/>
            <w:tcMar>
              <w:left w:w="-5" w:type="dxa"/>
            </w:tcMar>
            <w:vAlign w:val="center"/>
          </w:tcPr>
          <w:p w:rsidR="00080F02" w:rsidRDefault="0060344E">
            <w:pPr>
              <w:pStyle w:val="Other0"/>
              <w:spacing w:after="0"/>
              <w:rPr>
                <w:rStyle w:val="Other"/>
                <w:color w:val="000000"/>
                <w:sz w:val="24"/>
                <w:szCs w:val="24"/>
              </w:rPr>
            </w:pPr>
            <w:r>
              <w:rPr>
                <w:rStyle w:val="Other"/>
                <w:color w:val="000000"/>
                <w:sz w:val="24"/>
                <w:szCs w:val="24"/>
              </w:rPr>
              <w:t>Hodnota pohľadávok, na ktoré sa zriadilo záložné právo</w:t>
            </w:r>
          </w:p>
        </w:tc>
        <w:tc>
          <w:tcPr>
            <w:tcW w:w="23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nil"/>
            </w:tcBorders>
            <w:shd w:val="clear" w:color="auto" w:fill="FFFFFF"/>
            <w:tcMar>
              <w:left w:w="-5" w:type="dxa"/>
            </w:tcMar>
            <w:vAlign w:val="center"/>
          </w:tcPr>
          <w:p w:rsidR="00080F02" w:rsidRDefault="0060344E">
            <w:pPr>
              <w:pStyle w:val="Other0"/>
              <w:spacing w:after="0"/>
              <w:jc w:val="center"/>
              <w:rPr>
                <w:rStyle w:val="Other"/>
                <w:color w:val="000000"/>
                <w:sz w:val="24"/>
                <w:szCs w:val="24"/>
              </w:rPr>
            </w:pPr>
            <w:r>
              <w:rPr>
                <w:rStyle w:val="Other"/>
                <w:color w:val="000000"/>
                <w:sz w:val="24"/>
                <w:szCs w:val="24"/>
              </w:rPr>
              <w:t>x</w:t>
            </w:r>
          </w:p>
        </w:tc>
        <w:tc>
          <w:tcPr>
            <w:tcW w:w="22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-5" w:type="dxa"/>
            </w:tcMar>
            <w:vAlign w:val="center"/>
          </w:tcPr>
          <w:p w:rsidR="00080F02" w:rsidRDefault="0060344E">
            <w:pPr>
              <w:pStyle w:val="Other0"/>
              <w:spacing w:after="0"/>
              <w:jc w:val="center"/>
              <w:rPr>
                <w:rStyle w:val="Other"/>
                <w:color w:val="000000"/>
                <w:sz w:val="24"/>
                <w:szCs w:val="24"/>
              </w:rPr>
            </w:pPr>
            <w:r>
              <w:rPr>
                <w:rStyle w:val="Other"/>
                <w:color w:val="000000"/>
                <w:sz w:val="24"/>
                <w:szCs w:val="24"/>
              </w:rPr>
              <w:t>0</w:t>
            </w:r>
          </w:p>
          <w:p w:rsidR="00080F02" w:rsidRDefault="00080F02">
            <w:pPr>
              <w:pStyle w:val="Other0"/>
              <w:spacing w:after="0"/>
              <w:jc w:val="center"/>
              <w:rPr>
                <w:rFonts w:ascii="Microsoft Sans Serif" w:hAnsi="Microsoft Sans Serif" w:cs="Microsoft Sans Serif"/>
                <w:sz w:val="24"/>
                <w:szCs w:val="24"/>
              </w:rPr>
            </w:pPr>
          </w:p>
        </w:tc>
      </w:tr>
    </w:tbl>
    <w:p w:rsidR="00080F02" w:rsidRDefault="0060344E">
      <w:pPr>
        <w:pStyle w:val="Telotextu"/>
        <w:spacing w:after="260"/>
        <w:ind w:left="440" w:firstLine="380"/>
        <w:rPr>
          <w:rStyle w:val="ZkladntextChar1"/>
          <w:b/>
          <w:bCs/>
          <w:color w:val="000000"/>
          <w:sz w:val="24"/>
          <w:szCs w:val="24"/>
        </w:rPr>
      </w:pPr>
      <w:r>
        <w:rPr>
          <w:rStyle w:val="ZkladntextChar1"/>
          <w:b/>
          <w:bCs/>
          <w:color w:val="000000"/>
          <w:sz w:val="24"/>
          <w:szCs w:val="24"/>
        </w:rPr>
        <w:t>INFORMÁCIE O NÁKLADOCH A VÝNOSOCH</w:t>
      </w:r>
    </w:p>
    <w:p w:rsidR="00080F02" w:rsidRDefault="0060344E">
      <w:pPr>
        <w:pStyle w:val="Heading20"/>
        <w:keepNext/>
        <w:keepLines/>
        <w:numPr>
          <w:ilvl w:val="0"/>
          <w:numId w:val="7"/>
        </w:numPr>
        <w:tabs>
          <w:tab w:val="left" w:pos="350"/>
        </w:tabs>
        <w:spacing w:after="200"/>
        <w:ind w:left="440"/>
        <w:rPr>
          <w:rStyle w:val="Heading2"/>
          <w:b/>
          <w:bCs/>
          <w:color w:val="000000"/>
          <w:sz w:val="24"/>
          <w:szCs w:val="24"/>
        </w:rPr>
      </w:pPr>
      <w:bookmarkStart w:id="29" w:name="bookmark62"/>
      <w:bookmarkEnd w:id="29"/>
      <w:r>
        <w:rPr>
          <w:rStyle w:val="Heading2"/>
          <w:b/>
          <w:bCs/>
          <w:color w:val="000000"/>
          <w:sz w:val="24"/>
          <w:szCs w:val="24"/>
        </w:rPr>
        <w:t xml:space="preserve">Informácia o nákladoch a výnosoch, ktoré majú </w:t>
      </w:r>
      <w:r>
        <w:rPr>
          <w:rStyle w:val="Heading2"/>
          <w:b/>
          <w:bCs/>
          <w:color w:val="000000"/>
          <w:sz w:val="24"/>
          <w:szCs w:val="24"/>
        </w:rPr>
        <w:t>výnimočný rozsah alebo výskyt:</w:t>
      </w:r>
    </w:p>
    <w:p w:rsidR="00080F02" w:rsidRDefault="0060344E">
      <w:pPr>
        <w:pStyle w:val="Telotextu"/>
        <w:spacing w:after="520"/>
        <w:ind w:left="440" w:firstLine="44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Nenastali</w:t>
      </w:r>
    </w:p>
    <w:p w:rsidR="00080F02" w:rsidRDefault="0060344E">
      <w:pPr>
        <w:pStyle w:val="Heading20"/>
        <w:keepNext/>
        <w:keepLines/>
        <w:spacing w:after="260"/>
        <w:ind w:left="440" w:firstLine="380"/>
        <w:rPr>
          <w:rStyle w:val="Heading2"/>
          <w:b/>
          <w:bCs/>
          <w:color w:val="000000"/>
          <w:sz w:val="24"/>
          <w:szCs w:val="24"/>
        </w:rPr>
      </w:pPr>
      <w:bookmarkStart w:id="30" w:name="bookmark64"/>
      <w:bookmarkEnd w:id="30"/>
      <w:r>
        <w:rPr>
          <w:rStyle w:val="Heading2"/>
          <w:b/>
          <w:bCs/>
          <w:color w:val="000000"/>
          <w:sz w:val="24"/>
          <w:szCs w:val="24"/>
        </w:rPr>
        <w:t>INFORMÁCIE O INÝCH AKTÍVACH A INÝCH PASÍVACH</w:t>
      </w:r>
    </w:p>
    <w:p w:rsidR="00080F02" w:rsidRDefault="0060344E">
      <w:pPr>
        <w:pStyle w:val="Telotextu"/>
        <w:spacing w:after="62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Spoločnosť neeviduje iné aktíva a iné pasíva</w:t>
      </w:r>
    </w:p>
    <w:p w:rsidR="00080F02" w:rsidRDefault="0060344E">
      <w:pPr>
        <w:pStyle w:val="Heading20"/>
        <w:keepNext/>
        <w:keepLines/>
        <w:numPr>
          <w:ilvl w:val="0"/>
          <w:numId w:val="7"/>
        </w:numPr>
        <w:tabs>
          <w:tab w:val="left" w:pos="350"/>
        </w:tabs>
        <w:spacing w:after="200"/>
        <w:ind w:left="440"/>
        <w:rPr>
          <w:rStyle w:val="Heading2"/>
          <w:b/>
          <w:bCs/>
          <w:color w:val="000000"/>
          <w:sz w:val="24"/>
          <w:szCs w:val="24"/>
        </w:rPr>
      </w:pPr>
      <w:bookmarkStart w:id="31" w:name="bookmark66"/>
      <w:bookmarkEnd w:id="31"/>
      <w:r>
        <w:rPr>
          <w:rStyle w:val="Heading2"/>
          <w:b/>
          <w:bCs/>
          <w:color w:val="000000"/>
          <w:sz w:val="24"/>
          <w:szCs w:val="24"/>
        </w:rPr>
        <w:t>Významné položky prenajatého majetku</w:t>
      </w:r>
    </w:p>
    <w:p w:rsidR="00080F02" w:rsidRDefault="0060344E">
      <w:pPr>
        <w:pStyle w:val="Telotextu"/>
        <w:ind w:left="440" w:firstLine="44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 xml:space="preserve">Spoločnosť na základe nájomnej zmluvy si prenajíma nehnuteľnosť - - Budovu v ktorej </w:t>
      </w:r>
      <w:r>
        <w:rPr>
          <w:rStyle w:val="ZkladntextChar1"/>
          <w:color w:val="000000"/>
          <w:sz w:val="24"/>
          <w:szCs w:val="24"/>
        </w:rPr>
        <w:t>sídli.</w:t>
      </w:r>
    </w:p>
    <w:p w:rsidR="00080F02" w:rsidRDefault="0060344E">
      <w:pPr>
        <w:pStyle w:val="Heading20"/>
        <w:keepNext/>
        <w:keepLines/>
        <w:numPr>
          <w:ilvl w:val="0"/>
          <w:numId w:val="7"/>
        </w:numPr>
        <w:tabs>
          <w:tab w:val="left" w:pos="350"/>
        </w:tabs>
        <w:spacing w:after="200"/>
        <w:ind w:left="440"/>
        <w:rPr>
          <w:rStyle w:val="Heading2"/>
          <w:b/>
          <w:bCs/>
          <w:color w:val="000000"/>
          <w:sz w:val="24"/>
          <w:szCs w:val="24"/>
        </w:rPr>
      </w:pPr>
      <w:bookmarkStart w:id="32" w:name="bookmark68"/>
      <w:bookmarkEnd w:id="32"/>
      <w:r>
        <w:rPr>
          <w:rStyle w:val="Heading2"/>
          <w:b/>
          <w:bCs/>
          <w:color w:val="000000"/>
          <w:sz w:val="24"/>
          <w:szCs w:val="24"/>
        </w:rPr>
        <w:t>Informácia o odpísaných pohľadávkach</w:t>
      </w:r>
    </w:p>
    <w:p w:rsidR="00080F02" w:rsidRDefault="0060344E">
      <w:pPr>
        <w:pStyle w:val="Telotextu"/>
        <w:spacing w:after="400"/>
        <w:ind w:left="440" w:firstLine="44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Spoločnosť na podsúvahovej evidencii eviduje odpísané pohľadávky vo hodnote 56 844,28,- EUR</w:t>
      </w:r>
    </w:p>
    <w:p w:rsidR="00080F02" w:rsidRDefault="0060344E">
      <w:pPr>
        <w:pStyle w:val="Heading20"/>
        <w:keepNext/>
        <w:keepLines/>
        <w:ind w:left="440" w:firstLine="0"/>
        <w:rPr>
          <w:rStyle w:val="Heading2"/>
          <w:color w:val="000000"/>
          <w:sz w:val="24"/>
          <w:szCs w:val="24"/>
        </w:rPr>
      </w:pPr>
      <w:bookmarkStart w:id="33" w:name="bookmark70"/>
      <w:r>
        <w:rPr>
          <w:rStyle w:val="Heading2"/>
          <w:b/>
          <w:bCs/>
          <w:color w:val="000000"/>
          <w:sz w:val="24"/>
          <w:szCs w:val="24"/>
        </w:rPr>
        <w:t>Informácia o poistení majetk</w:t>
      </w:r>
      <w:bookmarkEnd w:id="33"/>
      <w:r>
        <w:rPr>
          <w:rStyle w:val="Heading2"/>
          <w:color w:val="000000"/>
          <w:sz w:val="24"/>
          <w:szCs w:val="24"/>
        </w:rPr>
        <w:t>u:</w:t>
      </w:r>
    </w:p>
    <w:p w:rsidR="00080F02" w:rsidRDefault="0060344E">
      <w:pPr>
        <w:pStyle w:val="Telotextu"/>
        <w:spacing w:after="32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 xml:space="preserve">Celý majetok spoločnosti </w:t>
      </w:r>
      <w:proofErr w:type="spellStart"/>
      <w:r>
        <w:rPr>
          <w:rStyle w:val="ZkladntextChar1"/>
          <w:color w:val="000000"/>
          <w:sz w:val="24"/>
          <w:szCs w:val="24"/>
        </w:rPr>
        <w:t>Stroptel</w:t>
      </w:r>
      <w:proofErr w:type="spellEnd"/>
      <w:r>
        <w:rPr>
          <w:rStyle w:val="ZkladntextChar1"/>
          <w:color w:val="000000"/>
          <w:sz w:val="24"/>
          <w:szCs w:val="24"/>
        </w:rPr>
        <w:t xml:space="preserve"> s.r.o., je poistený v spoločnosti KOOPERATÍVA poisťovňa</w:t>
      </w:r>
      <w:r>
        <w:rPr>
          <w:rStyle w:val="ZkladntextChar1"/>
          <w:color w:val="000000"/>
          <w:sz w:val="24"/>
          <w:szCs w:val="24"/>
        </w:rPr>
        <w:t xml:space="preserve"> a.s.</w:t>
      </w:r>
    </w:p>
    <w:p w:rsidR="00080F02" w:rsidRDefault="0060344E">
      <w:pPr>
        <w:pStyle w:val="Heading20"/>
        <w:keepNext/>
        <w:keepLines/>
        <w:ind w:left="440" w:firstLine="380"/>
        <w:rPr>
          <w:rStyle w:val="Heading2"/>
          <w:b/>
          <w:bCs/>
          <w:color w:val="000000"/>
          <w:sz w:val="24"/>
          <w:szCs w:val="24"/>
        </w:rPr>
      </w:pPr>
      <w:bookmarkStart w:id="34" w:name="bookmark72"/>
      <w:bookmarkEnd w:id="34"/>
      <w:r>
        <w:rPr>
          <w:rStyle w:val="Heading2"/>
          <w:b/>
          <w:bCs/>
          <w:color w:val="000000"/>
          <w:sz w:val="24"/>
          <w:szCs w:val="24"/>
        </w:rPr>
        <w:t>INFORMÁCIE O SKUTOČNOSTIACH, KTORÉ NASTALI PO DNI, KU KTORÉMU SA ZOSTAVUJE ÚČTOVNÁ</w:t>
      </w:r>
    </w:p>
    <w:p w:rsidR="00080F02" w:rsidRDefault="0060344E">
      <w:pPr>
        <w:pStyle w:val="Heading20"/>
        <w:keepNext/>
        <w:keepLines/>
        <w:spacing w:after="260"/>
        <w:ind w:left="440" w:firstLine="380"/>
        <w:rPr>
          <w:rStyle w:val="Heading2"/>
          <w:b/>
          <w:bCs/>
          <w:color w:val="000000"/>
          <w:sz w:val="24"/>
          <w:szCs w:val="24"/>
        </w:rPr>
      </w:pPr>
      <w:r>
        <w:rPr>
          <w:rStyle w:val="Heading2"/>
          <w:b/>
          <w:bCs/>
          <w:color w:val="000000"/>
          <w:sz w:val="24"/>
          <w:szCs w:val="24"/>
        </w:rPr>
        <w:t>ZÁVIERKA, DO DŇA ZOSTAVENIA ÚČTOVNEJ ZÁVIERKY</w:t>
      </w:r>
    </w:p>
    <w:p w:rsidR="00080F02" w:rsidRDefault="0060344E">
      <w:pPr>
        <w:pStyle w:val="Telotextu"/>
        <w:ind w:left="440" w:hanging="44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Po 31. decembri 202</w:t>
      </w:r>
      <w:r w:rsidR="00573965">
        <w:rPr>
          <w:rStyle w:val="ZkladntextChar1"/>
          <w:color w:val="000000"/>
          <w:sz w:val="24"/>
          <w:szCs w:val="24"/>
        </w:rPr>
        <w:t>4</w:t>
      </w:r>
      <w:bookmarkStart w:id="35" w:name="_GoBack"/>
      <w:bookmarkEnd w:id="35"/>
      <w:r>
        <w:rPr>
          <w:rStyle w:val="ZkladntextChar1"/>
          <w:color w:val="000000"/>
          <w:sz w:val="24"/>
          <w:szCs w:val="24"/>
        </w:rPr>
        <w:t xml:space="preserve"> nenastali žiadne zmeny, ktoré by mali významný vplyv na verné zobrazenie skutočnosti, ktoré sú predm</w:t>
      </w:r>
      <w:r>
        <w:rPr>
          <w:rStyle w:val="ZkladntextChar1"/>
          <w:color w:val="000000"/>
          <w:sz w:val="24"/>
          <w:szCs w:val="24"/>
        </w:rPr>
        <w:t>etom účtovníctva.</w:t>
      </w:r>
    </w:p>
    <w:p w:rsidR="00080F02" w:rsidRDefault="0060344E">
      <w:pPr>
        <w:pStyle w:val="Telotextu"/>
        <w:ind w:left="440" w:hanging="44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Účtovná závierka bola zostavená za predpokladu, že spoločnosť bude nepretržite pokračovať vo svojej činnosti (</w:t>
      </w:r>
      <w:proofErr w:type="spellStart"/>
      <w:r>
        <w:rPr>
          <w:rStyle w:val="ZkladntextChar1"/>
          <w:color w:val="000000"/>
          <w:sz w:val="24"/>
          <w:szCs w:val="24"/>
        </w:rPr>
        <w:t>going</w:t>
      </w:r>
      <w:proofErr w:type="spellEnd"/>
      <w:r>
        <w:rPr>
          <w:rStyle w:val="ZkladntextChar1"/>
          <w:color w:val="000000"/>
          <w:sz w:val="24"/>
          <w:szCs w:val="24"/>
        </w:rPr>
        <w:t xml:space="preserve"> </w:t>
      </w:r>
      <w:proofErr w:type="spellStart"/>
      <w:r>
        <w:rPr>
          <w:rStyle w:val="ZkladntextChar1"/>
          <w:color w:val="000000"/>
          <w:sz w:val="24"/>
          <w:szCs w:val="24"/>
        </w:rPr>
        <w:t>concern</w:t>
      </w:r>
      <w:proofErr w:type="spellEnd"/>
      <w:r>
        <w:rPr>
          <w:rStyle w:val="ZkladntextChar1"/>
          <w:color w:val="000000"/>
          <w:sz w:val="24"/>
          <w:szCs w:val="24"/>
        </w:rPr>
        <w:t>).</w:t>
      </w:r>
    </w:p>
    <w:p w:rsidR="00080F02" w:rsidRDefault="00080F02">
      <w:pPr>
        <w:pStyle w:val="Telotextu"/>
        <w:spacing w:after="260"/>
        <w:ind w:left="440" w:hanging="440"/>
      </w:pPr>
    </w:p>
    <w:p w:rsidR="00080F02" w:rsidRDefault="00080F02">
      <w:pPr>
        <w:pStyle w:val="Telotextu"/>
        <w:spacing w:after="260"/>
        <w:ind w:left="440" w:hanging="440"/>
      </w:pPr>
    </w:p>
    <w:p w:rsidR="00080F02" w:rsidRDefault="00080F02">
      <w:pPr>
        <w:pStyle w:val="Telotextu"/>
        <w:spacing w:after="260"/>
        <w:ind w:left="440" w:hanging="440"/>
      </w:pPr>
    </w:p>
    <w:p w:rsidR="00080F02" w:rsidRDefault="00080F02">
      <w:pPr>
        <w:pStyle w:val="Telotextu"/>
        <w:spacing w:after="260"/>
        <w:ind w:left="440" w:hanging="440"/>
      </w:pPr>
    </w:p>
    <w:sectPr w:rsidR="00080F02">
      <w:headerReference w:type="default" r:id="rId8"/>
      <w:footerReference w:type="default" r:id="rId9"/>
      <w:pgSz w:w="11906" w:h="16838"/>
      <w:pgMar w:top="1633" w:right="957" w:bottom="1427" w:left="1387" w:header="567" w:footer="0" w:gutter="0"/>
      <w:pgNumType w:start="1"/>
      <w:cols w:space="708"/>
      <w:formProt w:val="0"/>
      <w:docGrid w:linePitch="360" w:charSpace="-614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0344E" w:rsidRDefault="0060344E">
      <w:r>
        <w:separator/>
      </w:r>
    </w:p>
  </w:endnote>
  <w:endnote w:type="continuationSeparator" w:id="0">
    <w:p w:rsidR="0060344E" w:rsidRDefault="006034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00"/>
    <w:family w:val="roman"/>
    <w:notTrueType/>
    <w:pitch w:val="default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0F02" w:rsidRDefault="0060344E">
    <w:pPr>
      <w:spacing w:line="1" w:lineRule="exact"/>
      <w:rPr>
        <w:color w:val="00000A"/>
      </w:rPr>
    </w:pPr>
    <w:r>
      <w:pict>
        <v:rect id="_x0000_s2049" style="position:absolute;margin-left:541.65pt;margin-top:801.2pt;width:5.05pt;height:11.55pt;z-index:251657728;mso-wrap-distance-left:0;mso-wrap-distance-top:0;mso-wrap-distance-right:0;mso-wrap-distance-bottom:0" stroked="f" strokeweight="0">
          <v:textbox inset="0,0,0,0">
            <w:txbxContent>
              <w:p w:rsidR="00080F02" w:rsidRDefault="0060344E">
                <w:pPr>
                  <w:pStyle w:val="Headerorfooter20"/>
                </w:pPr>
                <w:r>
                  <w:fldChar w:fldCharType="begin"/>
                </w:r>
                <w:r>
                  <w:instrText>PAGE</w:instrText>
                </w:r>
                <w:r>
                  <w:fldChar w:fldCharType="separate"/>
                </w:r>
                <w:r w:rsidR="00573965">
                  <w:rPr>
                    <w:noProof/>
                  </w:rPr>
                  <w:t>2</w:t>
                </w:r>
                <w:r>
                  <w:fldChar w:fldCharType="end"/>
                </w:r>
              </w:p>
            </w:txbxContent>
          </v:textbox>
        </v:rect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0344E" w:rsidRDefault="0060344E">
      <w:r>
        <w:separator/>
      </w:r>
    </w:p>
  </w:footnote>
  <w:footnote w:type="continuationSeparator" w:id="0">
    <w:p w:rsidR="0060344E" w:rsidRDefault="0060344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-15" w:type="dxa"/>
      <w:tblBorders>
        <w:top w:val="single" w:sz="4" w:space="0" w:color="00000A"/>
        <w:left w:val="single" w:sz="4" w:space="0" w:color="00000A"/>
        <w:bottom w:val="single" w:sz="4" w:space="0" w:color="00000A"/>
        <w:right w:val="nil"/>
        <w:insideH w:val="single" w:sz="4" w:space="0" w:color="00000A"/>
        <w:insideV w:val="nil"/>
      </w:tblBorders>
      <w:tblCellMar>
        <w:left w:w="-5" w:type="dxa"/>
        <w:right w:w="0" w:type="dxa"/>
      </w:tblCellMar>
      <w:tblLook w:val="04A0" w:firstRow="1" w:lastRow="0" w:firstColumn="1" w:lastColumn="0" w:noHBand="0" w:noVBand="1"/>
    </w:tblPr>
    <w:tblGrid>
      <w:gridCol w:w="2766"/>
      <w:gridCol w:w="913"/>
      <w:gridCol w:w="272"/>
      <w:gridCol w:w="276"/>
      <w:gridCol w:w="272"/>
      <w:gridCol w:w="276"/>
      <w:gridCol w:w="275"/>
      <w:gridCol w:w="271"/>
      <w:gridCol w:w="275"/>
      <w:gridCol w:w="275"/>
      <w:gridCol w:w="909"/>
      <w:gridCol w:w="275"/>
      <w:gridCol w:w="275"/>
      <w:gridCol w:w="281"/>
      <w:gridCol w:w="275"/>
      <w:gridCol w:w="274"/>
      <w:gridCol w:w="279"/>
      <w:gridCol w:w="275"/>
      <w:gridCol w:w="274"/>
      <w:gridCol w:w="280"/>
      <w:gridCol w:w="319"/>
    </w:tblGrid>
    <w:tr w:rsidR="00080F02">
      <w:trPr>
        <w:trHeight w:hRule="exact" w:val="355"/>
      </w:trPr>
      <w:tc>
        <w:tcPr>
          <w:tcW w:w="2784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nil"/>
          </w:tcBorders>
          <w:shd w:val="clear" w:color="auto" w:fill="FFFFFF"/>
          <w:tcMar>
            <w:left w:w="-5" w:type="dxa"/>
          </w:tcMar>
          <w:vAlign w:val="bottom"/>
        </w:tcPr>
        <w:p w:rsidR="00080F02" w:rsidRDefault="0060344E">
          <w:pPr>
            <w:pStyle w:val="Other0"/>
            <w:spacing w:after="0"/>
            <w:rPr>
              <w:rStyle w:val="Other"/>
              <w:color w:val="000000"/>
              <w:sz w:val="20"/>
              <w:szCs w:val="20"/>
            </w:rPr>
          </w:pPr>
          <w:r>
            <w:rPr>
              <w:rStyle w:val="Other"/>
              <w:color w:val="000000"/>
              <w:sz w:val="20"/>
              <w:szCs w:val="20"/>
            </w:rPr>
            <w:t xml:space="preserve">Poznámky </w:t>
          </w:r>
          <w:proofErr w:type="spellStart"/>
          <w:r>
            <w:rPr>
              <w:rStyle w:val="Other"/>
              <w:color w:val="000000"/>
              <w:sz w:val="20"/>
              <w:szCs w:val="20"/>
            </w:rPr>
            <w:t>Úč</w:t>
          </w:r>
          <w:proofErr w:type="spellEnd"/>
          <w:r>
            <w:rPr>
              <w:rStyle w:val="Other"/>
              <w:color w:val="000000"/>
              <w:sz w:val="20"/>
              <w:szCs w:val="20"/>
            </w:rPr>
            <w:t xml:space="preserve"> POD 3 - 01</w:t>
          </w:r>
        </w:p>
      </w:tc>
      <w:tc>
        <w:tcPr>
          <w:tcW w:w="917" w:type="dxa"/>
          <w:tcBorders>
            <w:top w:val="nil"/>
            <w:left w:val="single" w:sz="4" w:space="0" w:color="00000A"/>
            <w:bottom w:val="nil"/>
            <w:right w:val="nil"/>
          </w:tcBorders>
          <w:shd w:val="clear" w:color="auto" w:fill="FFFFFF"/>
          <w:tcMar>
            <w:left w:w="-5" w:type="dxa"/>
          </w:tcMar>
          <w:vAlign w:val="center"/>
        </w:tcPr>
        <w:p w:rsidR="00080F02" w:rsidRDefault="0060344E">
          <w:pPr>
            <w:pStyle w:val="Other0"/>
            <w:spacing w:after="0"/>
            <w:jc w:val="right"/>
            <w:rPr>
              <w:rStyle w:val="Other"/>
              <w:color w:val="000000"/>
              <w:sz w:val="20"/>
              <w:szCs w:val="20"/>
            </w:rPr>
          </w:pPr>
          <w:r>
            <w:rPr>
              <w:rStyle w:val="Other"/>
              <w:color w:val="000000"/>
              <w:sz w:val="20"/>
              <w:szCs w:val="20"/>
            </w:rPr>
            <w:t>IČO</w:t>
          </w:r>
        </w:p>
      </w:tc>
      <w:tc>
        <w:tcPr>
          <w:tcW w:w="273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nil"/>
          </w:tcBorders>
          <w:shd w:val="clear" w:color="auto" w:fill="FFFFFF"/>
          <w:tcMar>
            <w:left w:w="-5" w:type="dxa"/>
          </w:tcMar>
          <w:vAlign w:val="center"/>
        </w:tcPr>
        <w:p w:rsidR="00080F02" w:rsidRDefault="0060344E">
          <w:pPr>
            <w:pStyle w:val="Other0"/>
            <w:spacing w:after="0"/>
            <w:jc w:val="center"/>
            <w:rPr>
              <w:rStyle w:val="Other"/>
              <w:color w:val="000000"/>
              <w:sz w:val="20"/>
              <w:szCs w:val="20"/>
            </w:rPr>
          </w:pPr>
          <w:r>
            <w:rPr>
              <w:rStyle w:val="Other"/>
              <w:color w:val="000000"/>
              <w:sz w:val="20"/>
              <w:szCs w:val="20"/>
            </w:rPr>
            <w:t>3</w:t>
          </w:r>
        </w:p>
      </w:tc>
      <w:tc>
        <w:tcPr>
          <w:tcW w:w="27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nil"/>
          </w:tcBorders>
          <w:shd w:val="clear" w:color="auto" w:fill="FFFFFF"/>
          <w:tcMar>
            <w:left w:w="-5" w:type="dxa"/>
          </w:tcMar>
          <w:vAlign w:val="center"/>
        </w:tcPr>
        <w:p w:rsidR="00080F02" w:rsidRDefault="0060344E">
          <w:pPr>
            <w:pStyle w:val="Other0"/>
            <w:spacing w:after="0"/>
            <w:jc w:val="center"/>
            <w:rPr>
              <w:rStyle w:val="Other"/>
              <w:color w:val="000000"/>
              <w:sz w:val="20"/>
              <w:szCs w:val="20"/>
            </w:rPr>
          </w:pPr>
          <w:r>
            <w:rPr>
              <w:rStyle w:val="Other"/>
              <w:color w:val="000000"/>
              <w:sz w:val="20"/>
              <w:szCs w:val="20"/>
            </w:rPr>
            <w:t>1</w:t>
          </w:r>
        </w:p>
      </w:tc>
      <w:tc>
        <w:tcPr>
          <w:tcW w:w="273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nil"/>
          </w:tcBorders>
          <w:shd w:val="clear" w:color="auto" w:fill="FFFFFF"/>
          <w:tcMar>
            <w:left w:w="-5" w:type="dxa"/>
          </w:tcMar>
          <w:vAlign w:val="center"/>
        </w:tcPr>
        <w:p w:rsidR="00080F02" w:rsidRDefault="0060344E">
          <w:pPr>
            <w:pStyle w:val="Other0"/>
            <w:spacing w:after="0"/>
            <w:jc w:val="center"/>
            <w:rPr>
              <w:rStyle w:val="Other"/>
              <w:color w:val="000000"/>
              <w:sz w:val="20"/>
              <w:szCs w:val="20"/>
            </w:rPr>
          </w:pPr>
          <w:r>
            <w:rPr>
              <w:rStyle w:val="Other"/>
              <w:color w:val="000000"/>
              <w:sz w:val="20"/>
              <w:szCs w:val="20"/>
            </w:rPr>
            <w:t>7</w:t>
          </w:r>
        </w:p>
      </w:tc>
      <w:tc>
        <w:tcPr>
          <w:tcW w:w="27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nil"/>
          </w:tcBorders>
          <w:shd w:val="clear" w:color="auto" w:fill="FFFFFF"/>
          <w:tcMar>
            <w:left w:w="-5" w:type="dxa"/>
          </w:tcMar>
          <w:vAlign w:val="center"/>
        </w:tcPr>
        <w:p w:rsidR="00080F02" w:rsidRDefault="0060344E">
          <w:pPr>
            <w:pStyle w:val="Other0"/>
            <w:spacing w:after="0"/>
            <w:jc w:val="center"/>
            <w:rPr>
              <w:rStyle w:val="Other"/>
              <w:color w:val="000000"/>
              <w:sz w:val="20"/>
              <w:szCs w:val="20"/>
            </w:rPr>
          </w:pPr>
          <w:r>
            <w:rPr>
              <w:rStyle w:val="Other"/>
              <w:color w:val="000000"/>
              <w:sz w:val="20"/>
              <w:szCs w:val="20"/>
            </w:rPr>
            <w:t>1</w:t>
          </w:r>
        </w:p>
      </w:tc>
      <w:tc>
        <w:tcPr>
          <w:tcW w:w="27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nil"/>
          </w:tcBorders>
          <w:shd w:val="clear" w:color="auto" w:fill="FFFFFF"/>
          <w:tcMar>
            <w:left w:w="-5" w:type="dxa"/>
          </w:tcMar>
          <w:vAlign w:val="center"/>
        </w:tcPr>
        <w:p w:rsidR="00080F02" w:rsidRDefault="0060344E">
          <w:pPr>
            <w:pStyle w:val="Other0"/>
            <w:spacing w:after="0"/>
            <w:jc w:val="center"/>
            <w:rPr>
              <w:rStyle w:val="Other"/>
              <w:color w:val="000000"/>
              <w:sz w:val="20"/>
              <w:szCs w:val="20"/>
            </w:rPr>
          </w:pPr>
          <w:r>
            <w:rPr>
              <w:rStyle w:val="Other"/>
              <w:color w:val="000000"/>
              <w:sz w:val="20"/>
              <w:szCs w:val="20"/>
            </w:rPr>
            <w:t>8</w:t>
          </w:r>
        </w:p>
      </w:tc>
      <w:tc>
        <w:tcPr>
          <w:tcW w:w="273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nil"/>
          </w:tcBorders>
          <w:shd w:val="clear" w:color="auto" w:fill="FFFFFF"/>
          <w:tcMar>
            <w:left w:w="-5" w:type="dxa"/>
          </w:tcMar>
          <w:vAlign w:val="center"/>
        </w:tcPr>
        <w:p w:rsidR="00080F02" w:rsidRDefault="0060344E">
          <w:pPr>
            <w:pStyle w:val="Other0"/>
            <w:spacing w:after="0"/>
            <w:jc w:val="center"/>
            <w:rPr>
              <w:rStyle w:val="Other"/>
              <w:color w:val="000000"/>
              <w:sz w:val="20"/>
              <w:szCs w:val="20"/>
            </w:rPr>
          </w:pPr>
          <w:r>
            <w:rPr>
              <w:rStyle w:val="Other"/>
              <w:color w:val="000000"/>
              <w:sz w:val="20"/>
              <w:szCs w:val="20"/>
            </w:rPr>
            <w:t>5</w:t>
          </w:r>
        </w:p>
      </w:tc>
      <w:tc>
        <w:tcPr>
          <w:tcW w:w="27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nil"/>
          </w:tcBorders>
          <w:shd w:val="clear" w:color="auto" w:fill="FFFFFF"/>
          <w:tcMar>
            <w:left w:w="-5" w:type="dxa"/>
          </w:tcMar>
          <w:vAlign w:val="center"/>
        </w:tcPr>
        <w:p w:rsidR="00080F02" w:rsidRDefault="0060344E">
          <w:pPr>
            <w:pStyle w:val="Other0"/>
            <w:spacing w:after="0"/>
            <w:jc w:val="center"/>
            <w:rPr>
              <w:rStyle w:val="Other"/>
              <w:color w:val="000000"/>
              <w:sz w:val="20"/>
              <w:szCs w:val="20"/>
            </w:rPr>
          </w:pPr>
          <w:r>
            <w:rPr>
              <w:rStyle w:val="Other"/>
              <w:color w:val="000000"/>
              <w:sz w:val="20"/>
              <w:szCs w:val="20"/>
            </w:rPr>
            <w:t>4</w:t>
          </w:r>
        </w:p>
      </w:tc>
      <w:tc>
        <w:tcPr>
          <w:tcW w:w="27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nil"/>
          </w:tcBorders>
          <w:shd w:val="clear" w:color="auto" w:fill="FFFFFF"/>
          <w:tcMar>
            <w:left w:w="-5" w:type="dxa"/>
          </w:tcMar>
          <w:vAlign w:val="center"/>
        </w:tcPr>
        <w:p w:rsidR="00080F02" w:rsidRDefault="0060344E">
          <w:pPr>
            <w:pStyle w:val="Other0"/>
            <w:spacing w:after="0"/>
            <w:jc w:val="center"/>
            <w:rPr>
              <w:rStyle w:val="Other"/>
              <w:color w:val="000000"/>
              <w:sz w:val="20"/>
              <w:szCs w:val="20"/>
            </w:rPr>
          </w:pPr>
          <w:r>
            <w:rPr>
              <w:rStyle w:val="Other"/>
              <w:color w:val="000000"/>
              <w:sz w:val="20"/>
              <w:szCs w:val="20"/>
            </w:rPr>
            <w:t>0</w:t>
          </w:r>
        </w:p>
      </w:tc>
      <w:tc>
        <w:tcPr>
          <w:tcW w:w="914" w:type="dxa"/>
          <w:tcBorders>
            <w:top w:val="nil"/>
            <w:left w:val="single" w:sz="4" w:space="0" w:color="00000A"/>
            <w:bottom w:val="nil"/>
            <w:right w:val="nil"/>
          </w:tcBorders>
          <w:shd w:val="clear" w:color="auto" w:fill="FFFFFF"/>
          <w:tcMar>
            <w:left w:w="-5" w:type="dxa"/>
          </w:tcMar>
          <w:vAlign w:val="center"/>
        </w:tcPr>
        <w:p w:rsidR="00080F02" w:rsidRDefault="0060344E">
          <w:pPr>
            <w:pStyle w:val="Other0"/>
            <w:spacing w:after="0"/>
            <w:jc w:val="center"/>
            <w:rPr>
              <w:rStyle w:val="Other"/>
              <w:color w:val="000000"/>
              <w:sz w:val="20"/>
              <w:szCs w:val="20"/>
            </w:rPr>
          </w:pPr>
          <w:r>
            <w:rPr>
              <w:rStyle w:val="Other"/>
              <w:sz w:val="24"/>
              <w:szCs w:val="20"/>
            </w:rPr>
            <w:t>|</w:t>
          </w:r>
          <w:r>
            <w:rPr>
              <w:rStyle w:val="Other"/>
              <w:color w:val="000000"/>
              <w:sz w:val="20"/>
              <w:szCs w:val="20"/>
            </w:rPr>
            <w:t xml:space="preserve">  DIČ</w:t>
          </w:r>
        </w:p>
      </w:tc>
      <w:tc>
        <w:tcPr>
          <w:tcW w:w="27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nil"/>
          </w:tcBorders>
          <w:shd w:val="clear" w:color="auto" w:fill="FFFFFF"/>
          <w:tcMar>
            <w:left w:w="-5" w:type="dxa"/>
          </w:tcMar>
          <w:vAlign w:val="center"/>
        </w:tcPr>
        <w:p w:rsidR="00080F02" w:rsidRDefault="0060344E">
          <w:pPr>
            <w:pStyle w:val="Other0"/>
            <w:spacing w:after="0"/>
            <w:jc w:val="center"/>
            <w:rPr>
              <w:rStyle w:val="Other"/>
              <w:color w:val="000000"/>
              <w:sz w:val="20"/>
              <w:szCs w:val="20"/>
            </w:rPr>
          </w:pPr>
          <w:r>
            <w:rPr>
              <w:rStyle w:val="Other"/>
              <w:color w:val="000000"/>
              <w:sz w:val="20"/>
              <w:szCs w:val="20"/>
            </w:rPr>
            <w:t>2</w:t>
          </w:r>
        </w:p>
      </w:tc>
      <w:tc>
        <w:tcPr>
          <w:tcW w:w="27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nil"/>
          </w:tcBorders>
          <w:shd w:val="clear" w:color="auto" w:fill="FFFFFF"/>
          <w:tcMar>
            <w:left w:w="-5" w:type="dxa"/>
          </w:tcMar>
          <w:vAlign w:val="center"/>
        </w:tcPr>
        <w:p w:rsidR="00080F02" w:rsidRDefault="0060344E">
          <w:pPr>
            <w:pStyle w:val="Other0"/>
            <w:spacing w:after="0"/>
            <w:jc w:val="center"/>
            <w:rPr>
              <w:rStyle w:val="Other"/>
              <w:color w:val="000000"/>
              <w:sz w:val="20"/>
              <w:szCs w:val="20"/>
            </w:rPr>
          </w:pPr>
          <w:r>
            <w:rPr>
              <w:rStyle w:val="Other"/>
              <w:color w:val="000000"/>
              <w:sz w:val="20"/>
              <w:szCs w:val="20"/>
            </w:rPr>
            <w:t>0</w:t>
          </w:r>
        </w:p>
      </w:tc>
      <w:tc>
        <w:tcPr>
          <w:tcW w:w="283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nil"/>
          </w:tcBorders>
          <w:shd w:val="clear" w:color="auto" w:fill="FFFFFF"/>
          <w:tcMar>
            <w:left w:w="-5" w:type="dxa"/>
          </w:tcMar>
          <w:vAlign w:val="center"/>
        </w:tcPr>
        <w:p w:rsidR="00080F02" w:rsidRDefault="0060344E">
          <w:pPr>
            <w:pStyle w:val="Other0"/>
            <w:spacing w:after="0"/>
            <w:jc w:val="center"/>
            <w:rPr>
              <w:rStyle w:val="Other"/>
              <w:color w:val="000000"/>
              <w:sz w:val="20"/>
              <w:szCs w:val="20"/>
            </w:rPr>
          </w:pPr>
          <w:r>
            <w:rPr>
              <w:rStyle w:val="Other"/>
              <w:color w:val="000000"/>
              <w:sz w:val="20"/>
              <w:szCs w:val="20"/>
            </w:rPr>
            <w:t>2</w:t>
          </w:r>
        </w:p>
      </w:tc>
      <w:tc>
        <w:tcPr>
          <w:tcW w:w="27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nil"/>
          </w:tcBorders>
          <w:shd w:val="clear" w:color="auto" w:fill="FFFFFF"/>
          <w:tcMar>
            <w:left w:w="-5" w:type="dxa"/>
          </w:tcMar>
          <w:vAlign w:val="center"/>
        </w:tcPr>
        <w:p w:rsidR="00080F02" w:rsidRDefault="0060344E">
          <w:pPr>
            <w:pStyle w:val="Other0"/>
            <w:spacing w:after="0"/>
            <w:jc w:val="center"/>
            <w:rPr>
              <w:rStyle w:val="Other"/>
              <w:color w:val="000000"/>
              <w:sz w:val="20"/>
              <w:szCs w:val="20"/>
            </w:rPr>
          </w:pPr>
          <w:r>
            <w:rPr>
              <w:rStyle w:val="Other"/>
              <w:color w:val="000000"/>
              <w:sz w:val="20"/>
              <w:szCs w:val="20"/>
            </w:rPr>
            <w:t>0</w:t>
          </w:r>
        </w:p>
      </w:tc>
      <w:tc>
        <w:tcPr>
          <w:tcW w:w="276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nil"/>
          </w:tcBorders>
          <w:shd w:val="clear" w:color="auto" w:fill="FFFFFF"/>
          <w:tcMar>
            <w:left w:w="-5" w:type="dxa"/>
          </w:tcMar>
          <w:vAlign w:val="center"/>
        </w:tcPr>
        <w:p w:rsidR="00080F02" w:rsidRDefault="0060344E">
          <w:pPr>
            <w:pStyle w:val="Other0"/>
            <w:spacing w:after="0"/>
            <w:jc w:val="center"/>
            <w:rPr>
              <w:rStyle w:val="Other"/>
              <w:color w:val="000000"/>
              <w:sz w:val="20"/>
              <w:szCs w:val="20"/>
            </w:rPr>
          </w:pPr>
          <w:r>
            <w:rPr>
              <w:rStyle w:val="Other"/>
              <w:color w:val="000000"/>
              <w:sz w:val="20"/>
              <w:szCs w:val="20"/>
            </w:rPr>
            <w:t>5</w:t>
          </w:r>
        </w:p>
      </w:tc>
      <w:tc>
        <w:tcPr>
          <w:tcW w:w="281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nil"/>
          </w:tcBorders>
          <w:shd w:val="clear" w:color="auto" w:fill="FFFFFF"/>
          <w:tcMar>
            <w:left w:w="-5" w:type="dxa"/>
          </w:tcMar>
          <w:vAlign w:val="center"/>
        </w:tcPr>
        <w:p w:rsidR="00080F02" w:rsidRDefault="0060344E">
          <w:pPr>
            <w:pStyle w:val="Other0"/>
            <w:spacing w:after="0"/>
            <w:jc w:val="center"/>
            <w:rPr>
              <w:rStyle w:val="Other"/>
              <w:color w:val="000000"/>
              <w:sz w:val="20"/>
              <w:szCs w:val="20"/>
            </w:rPr>
          </w:pPr>
          <w:r>
            <w:rPr>
              <w:rStyle w:val="Other"/>
              <w:color w:val="000000"/>
              <w:sz w:val="20"/>
              <w:szCs w:val="20"/>
            </w:rPr>
            <w:t>2</w:t>
          </w:r>
        </w:p>
      </w:tc>
      <w:tc>
        <w:tcPr>
          <w:tcW w:w="27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nil"/>
          </w:tcBorders>
          <w:shd w:val="clear" w:color="auto" w:fill="FFFFFF"/>
          <w:tcMar>
            <w:left w:w="-5" w:type="dxa"/>
          </w:tcMar>
          <w:vAlign w:val="center"/>
        </w:tcPr>
        <w:p w:rsidR="00080F02" w:rsidRDefault="0060344E">
          <w:pPr>
            <w:pStyle w:val="Other0"/>
            <w:spacing w:after="0"/>
            <w:jc w:val="center"/>
            <w:rPr>
              <w:rStyle w:val="Other"/>
              <w:color w:val="000000"/>
              <w:sz w:val="20"/>
              <w:szCs w:val="20"/>
            </w:rPr>
          </w:pPr>
          <w:r>
            <w:rPr>
              <w:rStyle w:val="Other"/>
              <w:color w:val="000000"/>
              <w:sz w:val="20"/>
              <w:szCs w:val="20"/>
            </w:rPr>
            <w:t>6</w:t>
          </w:r>
        </w:p>
      </w:tc>
      <w:tc>
        <w:tcPr>
          <w:tcW w:w="276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nil"/>
          </w:tcBorders>
          <w:shd w:val="clear" w:color="auto" w:fill="FFFFFF"/>
          <w:tcMar>
            <w:left w:w="-5" w:type="dxa"/>
          </w:tcMar>
          <w:vAlign w:val="center"/>
        </w:tcPr>
        <w:p w:rsidR="00080F02" w:rsidRDefault="0060344E">
          <w:pPr>
            <w:pStyle w:val="Other0"/>
            <w:spacing w:after="0"/>
            <w:jc w:val="center"/>
            <w:rPr>
              <w:rStyle w:val="Other"/>
              <w:color w:val="000000"/>
              <w:sz w:val="20"/>
              <w:szCs w:val="20"/>
            </w:rPr>
          </w:pPr>
          <w:r>
            <w:rPr>
              <w:rStyle w:val="Other"/>
              <w:color w:val="000000"/>
              <w:sz w:val="20"/>
              <w:szCs w:val="20"/>
            </w:rPr>
            <w:t>5</w:t>
          </w:r>
        </w:p>
      </w:tc>
      <w:tc>
        <w:tcPr>
          <w:tcW w:w="282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nil"/>
          </w:tcBorders>
          <w:shd w:val="clear" w:color="auto" w:fill="FFFFFF"/>
          <w:tcMar>
            <w:left w:w="-5" w:type="dxa"/>
          </w:tcMar>
          <w:vAlign w:val="center"/>
        </w:tcPr>
        <w:p w:rsidR="00080F02" w:rsidRDefault="0060344E">
          <w:pPr>
            <w:pStyle w:val="Other0"/>
            <w:spacing w:after="0"/>
            <w:jc w:val="center"/>
            <w:rPr>
              <w:rStyle w:val="Other"/>
              <w:color w:val="000000"/>
              <w:sz w:val="20"/>
              <w:szCs w:val="20"/>
            </w:rPr>
          </w:pPr>
          <w:r>
            <w:rPr>
              <w:rStyle w:val="Other"/>
              <w:color w:val="000000"/>
              <w:sz w:val="20"/>
              <w:szCs w:val="20"/>
            </w:rPr>
            <w:t>6</w:t>
          </w:r>
        </w:p>
      </w:tc>
      <w:tc>
        <w:tcPr>
          <w:tcW w:w="321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FFFFFF"/>
          <w:tcMar>
            <w:left w:w="-5" w:type="dxa"/>
          </w:tcMar>
          <w:vAlign w:val="center"/>
        </w:tcPr>
        <w:p w:rsidR="00080F02" w:rsidRDefault="0060344E">
          <w:pPr>
            <w:pStyle w:val="Other0"/>
            <w:spacing w:after="0"/>
            <w:jc w:val="center"/>
            <w:rPr>
              <w:rStyle w:val="Other"/>
              <w:color w:val="000000"/>
              <w:sz w:val="20"/>
              <w:szCs w:val="20"/>
            </w:rPr>
          </w:pPr>
          <w:r>
            <w:rPr>
              <w:rStyle w:val="Other"/>
              <w:color w:val="000000"/>
              <w:sz w:val="20"/>
              <w:szCs w:val="20"/>
            </w:rPr>
            <w:t>3</w:t>
          </w:r>
        </w:p>
      </w:tc>
    </w:tr>
  </w:tbl>
  <w:p w:rsidR="00080F02" w:rsidRDefault="00080F02">
    <w:pPr>
      <w:spacing w:line="1" w:lineRule="exact"/>
      <w:rPr>
        <w:color w:val="00000A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113E03"/>
    <w:multiLevelType w:val="multilevel"/>
    <w:tmpl w:val="9198EE72"/>
    <w:lvl w:ilvl="0">
      <w:start w:val="1"/>
      <w:numFmt w:val="decimal"/>
      <w:lvlText w:val="%1."/>
      <w:lvlJc w:val="left"/>
      <w:pPr>
        <w:ind w:left="72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1">
      <w:start w:val="1"/>
      <w:numFmt w:val="decimal"/>
      <w:lvlText w:val="%1.%2."/>
      <w:lvlJc w:val="left"/>
      <w:pPr>
        <w:ind w:left="108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2">
      <w:start w:val="1"/>
      <w:numFmt w:val="decimal"/>
      <w:lvlText w:val="%1.%2.%3."/>
      <w:lvlJc w:val="left"/>
      <w:pPr>
        <w:ind w:left="144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3">
      <w:start w:val="1"/>
      <w:numFmt w:val="decimal"/>
      <w:lvlText w:val="%1.%2.%3.%4."/>
      <w:lvlJc w:val="left"/>
      <w:pPr>
        <w:ind w:left="180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4">
      <w:start w:val="1"/>
      <w:numFmt w:val="decimal"/>
      <w:lvlText w:val="%1.%2.%3.%4.%5."/>
      <w:lvlJc w:val="left"/>
      <w:pPr>
        <w:ind w:left="216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5">
      <w:start w:val="1"/>
      <w:numFmt w:val="decimal"/>
      <w:lvlText w:val="%1.%2.%3.%4.%5.%6."/>
      <w:lvlJc w:val="left"/>
      <w:pPr>
        <w:ind w:left="252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6">
      <w:start w:val="1"/>
      <w:numFmt w:val="decimal"/>
      <w:lvlText w:val="%1.%2.%3.%4.%5.%6.%7."/>
      <w:lvlJc w:val="left"/>
      <w:pPr>
        <w:ind w:left="288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7">
      <w:start w:val="1"/>
      <w:numFmt w:val="decimal"/>
      <w:lvlText w:val="%1.%2.%3.%4.%5.%6.%7.%8."/>
      <w:lvlJc w:val="left"/>
      <w:pPr>
        <w:ind w:left="324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8">
      <w:start w:val="1"/>
      <w:numFmt w:val="decimal"/>
      <w:lvlText w:val="%1.%2.%3.%4.%5.%6.%7.%8.%9."/>
      <w:lvlJc w:val="left"/>
      <w:pPr>
        <w:ind w:left="360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</w:abstractNum>
  <w:abstractNum w:abstractNumId="1">
    <w:nsid w:val="08944C88"/>
    <w:multiLevelType w:val="multilevel"/>
    <w:tmpl w:val="8D3C9ADE"/>
    <w:lvl w:ilvl="0">
      <w:start w:val="1"/>
      <w:numFmt w:val="decimal"/>
      <w:lvlText w:val="%1."/>
      <w:lvlJc w:val="left"/>
      <w:pPr>
        <w:ind w:left="72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1">
      <w:start w:val="1"/>
      <w:numFmt w:val="decimal"/>
      <w:lvlText w:val="%1.%2."/>
      <w:lvlJc w:val="left"/>
      <w:pPr>
        <w:ind w:left="108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2">
      <w:start w:val="1"/>
      <w:numFmt w:val="decimal"/>
      <w:lvlText w:val="%1.%2.%3."/>
      <w:lvlJc w:val="left"/>
      <w:pPr>
        <w:ind w:left="144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3">
      <w:start w:val="1"/>
      <w:numFmt w:val="decimal"/>
      <w:lvlText w:val="%1.%2.%3.%4."/>
      <w:lvlJc w:val="left"/>
      <w:pPr>
        <w:ind w:left="180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4">
      <w:start w:val="1"/>
      <w:numFmt w:val="decimal"/>
      <w:lvlText w:val="%1.%2.%3.%4.%5."/>
      <w:lvlJc w:val="left"/>
      <w:pPr>
        <w:ind w:left="216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5">
      <w:start w:val="1"/>
      <w:numFmt w:val="decimal"/>
      <w:lvlText w:val="%1.%2.%3.%4.%5.%6."/>
      <w:lvlJc w:val="left"/>
      <w:pPr>
        <w:ind w:left="252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6">
      <w:start w:val="1"/>
      <w:numFmt w:val="decimal"/>
      <w:lvlText w:val="%1.%2.%3.%4.%5.%6.%7."/>
      <w:lvlJc w:val="left"/>
      <w:pPr>
        <w:ind w:left="288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7">
      <w:start w:val="1"/>
      <w:numFmt w:val="decimal"/>
      <w:lvlText w:val="%1.%2.%3.%4.%5.%6.%7.%8."/>
      <w:lvlJc w:val="left"/>
      <w:pPr>
        <w:ind w:left="324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8">
      <w:start w:val="1"/>
      <w:numFmt w:val="decimal"/>
      <w:lvlText w:val="%1.%2.%3.%4.%5.%6.%7.%8.%9."/>
      <w:lvlJc w:val="left"/>
      <w:pPr>
        <w:ind w:left="360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</w:abstractNum>
  <w:abstractNum w:abstractNumId="2">
    <w:nsid w:val="0F6E1206"/>
    <w:multiLevelType w:val="multilevel"/>
    <w:tmpl w:val="4178FEF0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>
    <w:nsid w:val="46043D91"/>
    <w:multiLevelType w:val="multilevel"/>
    <w:tmpl w:val="3E3A86E2"/>
    <w:lvl w:ilvl="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1">
      <w:start w:val="1"/>
      <w:numFmt w:val="bullet"/>
      <w:lvlText w:val="-"/>
      <w:lvlJc w:val="left"/>
      <w:pPr>
        <w:ind w:left="1080" w:hanging="360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2">
      <w:start w:val="1"/>
      <w:numFmt w:val="bullet"/>
      <w:lvlText w:val="-"/>
      <w:lvlJc w:val="left"/>
      <w:pPr>
        <w:ind w:left="1440" w:hanging="360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3">
      <w:start w:val="1"/>
      <w:numFmt w:val="bullet"/>
      <w:lvlText w:val="-"/>
      <w:lvlJc w:val="left"/>
      <w:pPr>
        <w:ind w:left="1800" w:hanging="360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4">
      <w:start w:val="1"/>
      <w:numFmt w:val="bullet"/>
      <w:lvlText w:val="-"/>
      <w:lvlJc w:val="left"/>
      <w:pPr>
        <w:ind w:left="2160" w:hanging="360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5">
      <w:start w:val="1"/>
      <w:numFmt w:val="bullet"/>
      <w:lvlText w:val="-"/>
      <w:lvlJc w:val="left"/>
      <w:pPr>
        <w:ind w:left="2520" w:hanging="360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6">
      <w:start w:val="1"/>
      <w:numFmt w:val="bullet"/>
      <w:lvlText w:val="-"/>
      <w:lvlJc w:val="left"/>
      <w:pPr>
        <w:ind w:left="2880" w:hanging="360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7">
      <w:start w:val="1"/>
      <w:numFmt w:val="bullet"/>
      <w:lvlText w:val="-"/>
      <w:lvlJc w:val="left"/>
      <w:pPr>
        <w:ind w:left="3240" w:hanging="360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8">
      <w:start w:val="1"/>
      <w:numFmt w:val="bullet"/>
      <w:lvlText w:val="-"/>
      <w:lvlJc w:val="left"/>
      <w:pPr>
        <w:ind w:left="3600" w:hanging="360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</w:abstractNum>
  <w:abstractNum w:abstractNumId="4">
    <w:nsid w:val="61387CC9"/>
    <w:multiLevelType w:val="multilevel"/>
    <w:tmpl w:val="F58EECBE"/>
    <w:lvl w:ilvl="0">
      <w:start w:val="1"/>
      <w:numFmt w:val="lowerLetter"/>
      <w:lvlText w:val="%1)"/>
      <w:lvlJc w:val="left"/>
      <w:pPr>
        <w:ind w:left="720" w:hanging="360"/>
      </w:pPr>
      <w:rPr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1">
      <w:start w:val="1"/>
      <w:numFmt w:val="lowerLetter"/>
      <w:lvlText w:val="%1.%2)"/>
      <w:lvlJc w:val="left"/>
      <w:pPr>
        <w:ind w:left="1080" w:hanging="360"/>
      </w:pPr>
      <w:rPr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2">
      <w:start w:val="1"/>
      <w:numFmt w:val="lowerLetter"/>
      <w:lvlText w:val="%1.%2.%3)"/>
      <w:lvlJc w:val="left"/>
      <w:pPr>
        <w:ind w:left="1440" w:hanging="360"/>
      </w:pPr>
      <w:rPr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3">
      <w:start w:val="1"/>
      <w:numFmt w:val="lowerLetter"/>
      <w:lvlText w:val="%1.%2.%3.%4)"/>
      <w:lvlJc w:val="left"/>
      <w:pPr>
        <w:ind w:left="1800" w:hanging="360"/>
      </w:pPr>
      <w:rPr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4">
      <w:start w:val="1"/>
      <w:numFmt w:val="lowerLetter"/>
      <w:lvlText w:val="%1.%2.%3.%4.%5)"/>
      <w:lvlJc w:val="left"/>
      <w:pPr>
        <w:ind w:left="2160" w:hanging="360"/>
      </w:pPr>
      <w:rPr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5">
      <w:start w:val="1"/>
      <w:numFmt w:val="lowerLetter"/>
      <w:lvlText w:val="%1.%2.%3.%4.%5.%6)"/>
      <w:lvlJc w:val="left"/>
      <w:pPr>
        <w:ind w:left="2520" w:hanging="360"/>
      </w:pPr>
      <w:rPr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6">
      <w:start w:val="1"/>
      <w:numFmt w:val="lowerLetter"/>
      <w:lvlText w:val="%1.%2.%3.%4.%5.%6.%7)"/>
      <w:lvlJc w:val="left"/>
      <w:pPr>
        <w:ind w:left="2880" w:hanging="360"/>
      </w:pPr>
      <w:rPr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7">
      <w:start w:val="1"/>
      <w:numFmt w:val="lowerLetter"/>
      <w:lvlText w:val="%1.%2.%3.%4.%5.%6.%7.%8)"/>
      <w:lvlJc w:val="left"/>
      <w:pPr>
        <w:ind w:left="3240" w:hanging="360"/>
      </w:pPr>
      <w:rPr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8">
      <w:start w:val="1"/>
      <w:numFmt w:val="lowerLetter"/>
      <w:lvlText w:val="%1.%2.%3.%4.%5.%6.%7.%8.%9)"/>
      <w:lvlJc w:val="left"/>
      <w:pPr>
        <w:ind w:left="3600" w:hanging="360"/>
      </w:pPr>
      <w:rPr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</w:abstractNum>
  <w:abstractNum w:abstractNumId="5">
    <w:nsid w:val="6B903814"/>
    <w:multiLevelType w:val="multilevel"/>
    <w:tmpl w:val="37425652"/>
    <w:lvl w:ilvl="0">
      <w:start w:val="1"/>
      <w:numFmt w:val="lowerLetter"/>
      <w:lvlText w:val="(%1)"/>
      <w:lvlJc w:val="left"/>
      <w:pPr>
        <w:ind w:left="72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1">
      <w:start w:val="1"/>
      <w:numFmt w:val="lowerLetter"/>
      <w:lvlText w:val="(%1.%2)"/>
      <w:lvlJc w:val="left"/>
      <w:pPr>
        <w:ind w:left="108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2">
      <w:start w:val="1"/>
      <w:numFmt w:val="lowerLetter"/>
      <w:lvlText w:val="(%1.%2.%3)"/>
      <w:lvlJc w:val="left"/>
      <w:pPr>
        <w:ind w:left="144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3">
      <w:start w:val="1"/>
      <w:numFmt w:val="lowerLetter"/>
      <w:lvlText w:val="(%1.%2.%3.%4)"/>
      <w:lvlJc w:val="left"/>
      <w:pPr>
        <w:ind w:left="180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4">
      <w:start w:val="1"/>
      <w:numFmt w:val="lowerLetter"/>
      <w:lvlText w:val="(%1.%2.%3.%4.%5)"/>
      <w:lvlJc w:val="left"/>
      <w:pPr>
        <w:ind w:left="216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5">
      <w:start w:val="1"/>
      <w:numFmt w:val="lowerLetter"/>
      <w:lvlText w:val="(%1.%2.%3.%4.%5.%6)"/>
      <w:lvlJc w:val="left"/>
      <w:pPr>
        <w:ind w:left="252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6">
      <w:start w:val="1"/>
      <w:numFmt w:val="lowerLetter"/>
      <w:lvlText w:val="(%1.%2.%3.%4.%5.%6.%7)"/>
      <w:lvlJc w:val="left"/>
      <w:pPr>
        <w:ind w:left="288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7">
      <w:start w:val="1"/>
      <w:numFmt w:val="lowerLetter"/>
      <w:lvlText w:val="(%1.%2.%3.%4.%5.%6.%7.%8)"/>
      <w:lvlJc w:val="left"/>
      <w:pPr>
        <w:ind w:left="324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8">
      <w:start w:val="1"/>
      <w:numFmt w:val="lowerLetter"/>
      <w:lvlText w:val="(%1.%2.%3.%4.%5.%6.%7.%8.%9)"/>
      <w:lvlJc w:val="left"/>
      <w:pPr>
        <w:ind w:left="360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</w:abstractNum>
  <w:abstractNum w:abstractNumId="6">
    <w:nsid w:val="72D765A7"/>
    <w:multiLevelType w:val="multilevel"/>
    <w:tmpl w:val="1C181B70"/>
    <w:lvl w:ilvl="0">
      <w:start w:val="2"/>
      <w:numFmt w:val="lowerLetter"/>
      <w:lvlText w:val="(%1)"/>
      <w:lvlJc w:val="left"/>
      <w:pPr>
        <w:ind w:left="72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1">
      <w:start w:val="2"/>
      <w:numFmt w:val="lowerLetter"/>
      <w:lvlText w:val="(%1.%2)"/>
      <w:lvlJc w:val="left"/>
      <w:pPr>
        <w:ind w:left="108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2">
      <w:start w:val="2"/>
      <w:numFmt w:val="lowerLetter"/>
      <w:lvlText w:val="(%1.%2.%3)"/>
      <w:lvlJc w:val="left"/>
      <w:pPr>
        <w:ind w:left="144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3">
      <w:start w:val="2"/>
      <w:numFmt w:val="lowerLetter"/>
      <w:lvlText w:val="(%1.%2.%3.%4)"/>
      <w:lvlJc w:val="left"/>
      <w:pPr>
        <w:ind w:left="180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4">
      <w:start w:val="2"/>
      <w:numFmt w:val="lowerLetter"/>
      <w:lvlText w:val="(%1.%2.%3.%4.%5)"/>
      <w:lvlJc w:val="left"/>
      <w:pPr>
        <w:ind w:left="216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5">
      <w:start w:val="2"/>
      <w:numFmt w:val="lowerLetter"/>
      <w:lvlText w:val="(%1.%2.%3.%4.%5.%6)"/>
      <w:lvlJc w:val="left"/>
      <w:pPr>
        <w:ind w:left="252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6">
      <w:start w:val="2"/>
      <w:numFmt w:val="lowerLetter"/>
      <w:lvlText w:val="(%1.%2.%3.%4.%5.%6.%7)"/>
      <w:lvlJc w:val="left"/>
      <w:pPr>
        <w:ind w:left="288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7">
      <w:start w:val="2"/>
      <w:numFmt w:val="lowerLetter"/>
      <w:lvlText w:val="(%1.%2.%3.%4.%5.%6.%7.%8)"/>
      <w:lvlJc w:val="left"/>
      <w:pPr>
        <w:ind w:left="324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8">
      <w:start w:val="2"/>
      <w:numFmt w:val="lowerLetter"/>
      <w:lvlText w:val="(%1.%2.%3.%4.%5.%6.%7.%8.%9)"/>
      <w:lvlJc w:val="left"/>
      <w:pPr>
        <w:ind w:left="360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</w:abstractNum>
  <w:abstractNum w:abstractNumId="7">
    <w:nsid w:val="789F3CE3"/>
    <w:multiLevelType w:val="multilevel"/>
    <w:tmpl w:val="3F9CAE1A"/>
    <w:lvl w:ilvl="0">
      <w:start w:val="1"/>
      <w:numFmt w:val="decimal"/>
      <w:lvlText w:val="%1."/>
      <w:lvlJc w:val="left"/>
      <w:pPr>
        <w:ind w:left="72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1">
      <w:start w:val="1"/>
      <w:numFmt w:val="decimal"/>
      <w:lvlText w:val="%1.%2."/>
      <w:lvlJc w:val="left"/>
      <w:pPr>
        <w:ind w:left="108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2">
      <w:start w:val="1"/>
      <w:numFmt w:val="decimal"/>
      <w:lvlText w:val="%1.%2.%3."/>
      <w:lvlJc w:val="left"/>
      <w:pPr>
        <w:ind w:left="144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3">
      <w:start w:val="1"/>
      <w:numFmt w:val="decimal"/>
      <w:lvlText w:val="%1.%2.%3.%4."/>
      <w:lvlJc w:val="left"/>
      <w:pPr>
        <w:ind w:left="180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4">
      <w:start w:val="1"/>
      <w:numFmt w:val="decimal"/>
      <w:lvlText w:val="%1.%2.%3.%4.%5."/>
      <w:lvlJc w:val="left"/>
      <w:pPr>
        <w:ind w:left="216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5">
      <w:start w:val="1"/>
      <w:numFmt w:val="decimal"/>
      <w:lvlText w:val="%1.%2.%3.%4.%5.%6."/>
      <w:lvlJc w:val="left"/>
      <w:pPr>
        <w:ind w:left="252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6">
      <w:start w:val="1"/>
      <w:numFmt w:val="decimal"/>
      <w:lvlText w:val="%1.%2.%3.%4.%5.%6.%7."/>
      <w:lvlJc w:val="left"/>
      <w:pPr>
        <w:ind w:left="288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7">
      <w:start w:val="1"/>
      <w:numFmt w:val="decimal"/>
      <w:lvlText w:val="%1.%2.%3.%4.%5.%6.%7.%8."/>
      <w:lvlJc w:val="left"/>
      <w:pPr>
        <w:ind w:left="324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8">
      <w:start w:val="1"/>
      <w:numFmt w:val="decimal"/>
      <w:lvlText w:val="%1.%2.%3.%4.%5.%6.%7.%8.%9."/>
      <w:lvlJc w:val="left"/>
      <w:pPr>
        <w:ind w:left="360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</w:abstractNum>
  <w:num w:numId="1">
    <w:abstractNumId w:val="1"/>
  </w:num>
  <w:num w:numId="2">
    <w:abstractNumId w:val="4"/>
  </w:num>
  <w:num w:numId="3">
    <w:abstractNumId w:val="5"/>
  </w:num>
  <w:num w:numId="4">
    <w:abstractNumId w:val="6"/>
  </w:num>
  <w:num w:numId="5">
    <w:abstractNumId w:val="7"/>
  </w:num>
  <w:num w:numId="6">
    <w:abstractNumId w:val="3"/>
  </w:num>
  <w:num w:numId="7">
    <w:abstractNumId w:val="0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embedSystemFonts/>
  <w:proofState w:spelling="clean" w:grammar="clean"/>
  <w:defaultTabStop w:val="720"/>
  <w:hyphenationZone w:val="425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80F02"/>
    <w:rsid w:val="00080F02"/>
    <w:rsid w:val="00573965"/>
    <w:rsid w:val="006034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Microsoft Sans Serif" w:eastAsia="Times New Roman" w:hAnsi="Microsoft Sans Serif" w:cs="Times New Roman"/>
        <w:sz w:val="24"/>
        <w:szCs w:val="24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  <w:suppressAutoHyphens/>
    </w:pPr>
    <w:rPr>
      <w:rFonts w:cs="Microsoft Sans Serif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ZkladntextChar1">
    <w:name w:val="Základný text Char1"/>
    <w:basedOn w:val="Predvolenpsmoodseku"/>
    <w:link w:val="Telotextu"/>
    <w:uiPriority w:val="99"/>
    <w:rPr>
      <w:rFonts w:ascii="Times New Roman" w:hAnsi="Times New Roman" w:cs="Times New Roman"/>
      <w:sz w:val="18"/>
      <w:szCs w:val="18"/>
      <w:u w:val="none"/>
    </w:rPr>
  </w:style>
  <w:style w:type="character" w:customStyle="1" w:styleId="Headerorfooter2">
    <w:name w:val="Header or footer (2)_"/>
    <w:basedOn w:val="Predvolenpsmoodseku"/>
    <w:link w:val="Headerorfooter20"/>
    <w:uiPriority w:val="99"/>
    <w:rPr>
      <w:rFonts w:ascii="Times New Roman" w:hAnsi="Times New Roman" w:cs="Times New Roman"/>
      <w:sz w:val="20"/>
      <w:szCs w:val="20"/>
      <w:u w:val="none"/>
      <w:lang w:val="cs-CZ" w:eastAsia="cs-CZ"/>
    </w:rPr>
  </w:style>
  <w:style w:type="character" w:customStyle="1" w:styleId="Heading2">
    <w:name w:val="Heading #2_"/>
    <w:basedOn w:val="Predvolenpsmoodseku"/>
    <w:link w:val="Heading20"/>
    <w:uiPriority w:val="99"/>
    <w:rPr>
      <w:rFonts w:ascii="Times New Roman" w:hAnsi="Times New Roman" w:cs="Times New Roman"/>
      <w:b/>
      <w:bCs/>
      <w:sz w:val="18"/>
      <w:szCs w:val="18"/>
      <w:u w:val="none"/>
    </w:rPr>
  </w:style>
  <w:style w:type="character" w:customStyle="1" w:styleId="Other">
    <w:name w:val="Other_"/>
    <w:basedOn w:val="Predvolenpsmoodseku"/>
    <w:link w:val="Other0"/>
    <w:uiPriority w:val="99"/>
    <w:rPr>
      <w:rFonts w:ascii="Times New Roman" w:hAnsi="Times New Roman" w:cs="Times New Roman"/>
      <w:sz w:val="18"/>
      <w:szCs w:val="18"/>
      <w:u w:val="none"/>
    </w:rPr>
  </w:style>
  <w:style w:type="character" w:customStyle="1" w:styleId="Headerorfooter">
    <w:name w:val="Header or footer_"/>
    <w:basedOn w:val="Predvolenpsmoodseku"/>
    <w:link w:val="Headerorfooter0"/>
    <w:uiPriority w:val="99"/>
    <w:rPr>
      <w:rFonts w:ascii="Times New Roman" w:hAnsi="Times New Roman" w:cs="Times New Roman"/>
      <w:sz w:val="20"/>
      <w:szCs w:val="20"/>
      <w:u w:val="none"/>
    </w:rPr>
  </w:style>
  <w:style w:type="character" w:customStyle="1" w:styleId="Tablecaption">
    <w:name w:val="Table caption_"/>
    <w:basedOn w:val="Predvolenpsmoodseku"/>
    <w:link w:val="Tablecaption0"/>
    <w:uiPriority w:val="99"/>
    <w:rPr>
      <w:rFonts w:ascii="Times New Roman" w:hAnsi="Times New Roman" w:cs="Times New Roman"/>
      <w:sz w:val="18"/>
      <w:szCs w:val="18"/>
      <w:u w:val="none"/>
    </w:rPr>
  </w:style>
  <w:style w:type="character" w:customStyle="1" w:styleId="Heading1">
    <w:name w:val="Heading #1_"/>
    <w:basedOn w:val="Predvolenpsmoodseku"/>
    <w:link w:val="Heading10"/>
    <w:uiPriority w:val="99"/>
    <w:rPr>
      <w:rFonts w:ascii="Arial" w:hAnsi="Arial" w:cs="Arial"/>
      <w:b/>
      <w:bCs/>
      <w:sz w:val="18"/>
      <w:szCs w:val="18"/>
      <w:u w:val="none"/>
    </w:rPr>
  </w:style>
  <w:style w:type="character" w:customStyle="1" w:styleId="ZkladntextChar">
    <w:name w:val="Základný text Char"/>
    <w:basedOn w:val="Predvolenpsmoodseku"/>
    <w:uiPriority w:val="99"/>
    <w:semiHidden/>
    <w:rPr>
      <w:rFonts w:cs="Microsoft Sans Serif"/>
      <w:color w:val="000000"/>
    </w:rPr>
  </w:style>
  <w:style w:type="character" w:customStyle="1" w:styleId="HlavikaChar">
    <w:name w:val="Hlavička Char"/>
    <w:basedOn w:val="Predvolenpsmoodseku"/>
    <w:link w:val="Hlavika"/>
    <w:uiPriority w:val="99"/>
    <w:rsid w:val="004A77FC"/>
    <w:rPr>
      <w:rFonts w:cs="Microsoft Sans Serif"/>
      <w:color w:val="000000"/>
    </w:rPr>
  </w:style>
  <w:style w:type="character" w:customStyle="1" w:styleId="PtaChar">
    <w:name w:val="Päta Char"/>
    <w:basedOn w:val="Predvolenpsmoodseku"/>
    <w:link w:val="Pta"/>
    <w:uiPriority w:val="99"/>
    <w:rsid w:val="004A77FC"/>
    <w:rPr>
      <w:rFonts w:cs="Microsoft Sans Serif"/>
      <w:color w:val="000000"/>
    </w:rPr>
  </w:style>
  <w:style w:type="character" w:customStyle="1" w:styleId="ListLabel1">
    <w:name w:val="ListLabel 1"/>
    <w:rPr>
      <w:rFonts w:cs="Times New Roman"/>
      <w:b/>
      <w:bCs/>
      <w:i w:val="0"/>
      <w:iCs w:val="0"/>
      <w:caps w:val="0"/>
      <w:smallCaps w:val="0"/>
      <w:strike w:val="0"/>
      <w:dstrike w:val="0"/>
      <w:color w:val="000000"/>
      <w:spacing w:val="0"/>
      <w:w w:val="100"/>
      <w:sz w:val="18"/>
      <w:szCs w:val="18"/>
      <w:u w:val="none"/>
    </w:rPr>
  </w:style>
  <w:style w:type="character" w:customStyle="1" w:styleId="ListLabel2">
    <w:name w:val="ListLabel 2"/>
    <w:rPr>
      <w:rFonts w:cs="Times New Roman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sz w:val="18"/>
      <w:szCs w:val="18"/>
      <w:u w:val="none"/>
    </w:rPr>
  </w:style>
  <w:style w:type="character" w:customStyle="1" w:styleId="ListLabel3">
    <w:name w:val="ListLabel 3"/>
    <w:rPr>
      <w:b/>
      <w:bCs/>
      <w:i w:val="0"/>
      <w:iCs w:val="0"/>
      <w:caps w:val="0"/>
      <w:smallCaps w:val="0"/>
      <w:strike w:val="0"/>
      <w:dstrike w:val="0"/>
      <w:color w:val="000000"/>
      <w:spacing w:val="0"/>
      <w:w w:val="100"/>
      <w:sz w:val="18"/>
      <w:szCs w:val="18"/>
      <w:u w:val="none"/>
    </w:rPr>
  </w:style>
  <w:style w:type="character" w:customStyle="1" w:styleId="ListLabel4">
    <w:name w:val="ListLabel 4"/>
    <w:rPr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sz w:val="18"/>
      <w:szCs w:val="18"/>
      <w:u w:val="none"/>
    </w:rPr>
  </w:style>
  <w:style w:type="character" w:customStyle="1" w:styleId="ListLabel5">
    <w:name w:val="ListLabel 5"/>
    <w:rPr>
      <w:rFonts w:cs="Times New Roman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sz w:val="18"/>
      <w:szCs w:val="18"/>
      <w:u w:val="none"/>
    </w:rPr>
  </w:style>
  <w:style w:type="character" w:customStyle="1" w:styleId="ListLabel6">
    <w:name w:val="ListLabel 6"/>
    <w:rPr>
      <w:b/>
      <w:bCs/>
      <w:i w:val="0"/>
      <w:iCs w:val="0"/>
      <w:caps w:val="0"/>
      <w:smallCaps w:val="0"/>
      <w:strike w:val="0"/>
      <w:dstrike w:val="0"/>
      <w:color w:val="000000"/>
      <w:spacing w:val="0"/>
      <w:w w:val="100"/>
      <w:sz w:val="18"/>
      <w:szCs w:val="18"/>
      <w:u w:val="none"/>
    </w:rPr>
  </w:style>
  <w:style w:type="character" w:customStyle="1" w:styleId="ListLabel7">
    <w:name w:val="ListLabel 7"/>
    <w:rPr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sz w:val="18"/>
      <w:szCs w:val="18"/>
      <w:u w:val="none"/>
    </w:rPr>
  </w:style>
  <w:style w:type="character" w:customStyle="1" w:styleId="ListLabel8">
    <w:name w:val="ListLabel 8"/>
    <w:rPr>
      <w:rFonts w:cs="Times New Roman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sz w:val="18"/>
      <w:szCs w:val="18"/>
      <w:u w:val="none"/>
    </w:rPr>
  </w:style>
  <w:style w:type="character" w:customStyle="1" w:styleId="ListLabel9">
    <w:name w:val="ListLabel 9"/>
    <w:rPr>
      <w:b/>
      <w:bCs/>
      <w:i w:val="0"/>
      <w:iCs w:val="0"/>
      <w:caps w:val="0"/>
      <w:smallCaps w:val="0"/>
      <w:strike w:val="0"/>
      <w:dstrike w:val="0"/>
      <w:color w:val="000000"/>
      <w:spacing w:val="0"/>
      <w:w w:val="100"/>
      <w:sz w:val="18"/>
      <w:szCs w:val="18"/>
      <w:u w:val="none"/>
    </w:rPr>
  </w:style>
  <w:style w:type="character" w:customStyle="1" w:styleId="ListLabel10">
    <w:name w:val="ListLabel 10"/>
    <w:rPr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sz w:val="18"/>
      <w:szCs w:val="18"/>
      <w:u w:val="none"/>
    </w:rPr>
  </w:style>
  <w:style w:type="character" w:customStyle="1" w:styleId="ListLabel11">
    <w:name w:val="ListLabel 11"/>
    <w:rPr>
      <w:rFonts w:cs="Times New Roman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sz w:val="18"/>
      <w:szCs w:val="18"/>
      <w:u w:val="none"/>
    </w:rPr>
  </w:style>
  <w:style w:type="character" w:customStyle="1" w:styleId="ListLabel12">
    <w:name w:val="ListLabel 12"/>
    <w:rPr>
      <w:b/>
      <w:bCs/>
      <w:i w:val="0"/>
      <w:iCs w:val="0"/>
      <w:caps w:val="0"/>
      <w:smallCaps w:val="0"/>
      <w:strike w:val="0"/>
      <w:dstrike w:val="0"/>
      <w:color w:val="000000"/>
      <w:spacing w:val="0"/>
      <w:w w:val="100"/>
      <w:sz w:val="18"/>
      <w:szCs w:val="18"/>
      <w:u w:val="none"/>
    </w:rPr>
  </w:style>
  <w:style w:type="character" w:customStyle="1" w:styleId="ListLabel13">
    <w:name w:val="ListLabel 13"/>
    <w:rPr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sz w:val="18"/>
      <w:szCs w:val="18"/>
      <w:u w:val="none"/>
    </w:rPr>
  </w:style>
  <w:style w:type="character" w:customStyle="1" w:styleId="ListLabel14">
    <w:name w:val="ListLabel 14"/>
    <w:rPr>
      <w:rFonts w:cs="Times New Roman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sz w:val="18"/>
      <w:szCs w:val="18"/>
      <w:u w:val="none"/>
    </w:rPr>
  </w:style>
  <w:style w:type="paragraph" w:customStyle="1" w:styleId="Nadpis">
    <w:name w:val="Nadpis"/>
    <w:basedOn w:val="Normlny"/>
    <w:next w:val="Telotextu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Telotextu">
    <w:name w:val="Telo textu"/>
    <w:basedOn w:val="Normlny"/>
    <w:link w:val="ZkladntextChar1"/>
    <w:uiPriority w:val="99"/>
    <w:qFormat/>
    <w:pPr>
      <w:spacing w:after="200" w:line="288" w:lineRule="auto"/>
    </w:pPr>
    <w:rPr>
      <w:rFonts w:ascii="Times New Roman" w:hAnsi="Times New Roman" w:cs="Times New Roman"/>
      <w:color w:val="00000A"/>
      <w:sz w:val="18"/>
      <w:szCs w:val="18"/>
    </w:rPr>
  </w:style>
  <w:style w:type="paragraph" w:styleId="Zoznam">
    <w:name w:val="List"/>
    <w:basedOn w:val="Telotextu"/>
    <w:rPr>
      <w:rFonts w:cs="Mangal"/>
    </w:rPr>
  </w:style>
  <w:style w:type="paragraph" w:styleId="Popis">
    <w:name w:val="caption"/>
    <w:basedOn w:val="Normlny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Headerorfooter20">
    <w:name w:val="Header or footer (2)"/>
    <w:basedOn w:val="Normlny"/>
    <w:link w:val="Headerorfooter2"/>
    <w:uiPriority w:val="99"/>
    <w:rPr>
      <w:rFonts w:ascii="Times New Roman" w:hAnsi="Times New Roman" w:cs="Times New Roman"/>
      <w:color w:val="00000A"/>
      <w:sz w:val="20"/>
      <w:szCs w:val="20"/>
      <w:lang w:val="cs-CZ" w:eastAsia="cs-CZ"/>
    </w:rPr>
  </w:style>
  <w:style w:type="paragraph" w:customStyle="1" w:styleId="Heading20">
    <w:name w:val="Heading #2"/>
    <w:basedOn w:val="Normlny"/>
    <w:link w:val="Heading2"/>
    <w:uiPriority w:val="99"/>
    <w:pPr>
      <w:ind w:firstLine="360"/>
      <w:outlineLvl w:val="1"/>
    </w:pPr>
    <w:rPr>
      <w:rFonts w:ascii="Times New Roman" w:hAnsi="Times New Roman" w:cs="Times New Roman"/>
      <w:b/>
      <w:bCs/>
      <w:color w:val="00000A"/>
      <w:sz w:val="18"/>
      <w:szCs w:val="18"/>
    </w:rPr>
  </w:style>
  <w:style w:type="paragraph" w:customStyle="1" w:styleId="Other0">
    <w:name w:val="Other"/>
    <w:basedOn w:val="Normlny"/>
    <w:link w:val="Other"/>
    <w:uiPriority w:val="99"/>
    <w:pPr>
      <w:spacing w:after="200"/>
    </w:pPr>
    <w:rPr>
      <w:rFonts w:ascii="Times New Roman" w:hAnsi="Times New Roman" w:cs="Times New Roman"/>
      <w:color w:val="00000A"/>
      <w:sz w:val="18"/>
      <w:szCs w:val="18"/>
    </w:rPr>
  </w:style>
  <w:style w:type="paragraph" w:customStyle="1" w:styleId="Headerorfooter0">
    <w:name w:val="Header or footer"/>
    <w:basedOn w:val="Normlny"/>
    <w:link w:val="Headerorfooter"/>
    <w:uiPriority w:val="99"/>
    <w:rPr>
      <w:rFonts w:ascii="Times New Roman" w:hAnsi="Times New Roman" w:cs="Times New Roman"/>
      <w:color w:val="00000A"/>
      <w:sz w:val="20"/>
      <w:szCs w:val="20"/>
    </w:rPr>
  </w:style>
  <w:style w:type="paragraph" w:customStyle="1" w:styleId="Tablecaption0">
    <w:name w:val="Table caption"/>
    <w:basedOn w:val="Normlny"/>
    <w:link w:val="Tablecaption"/>
    <w:uiPriority w:val="99"/>
    <w:rPr>
      <w:rFonts w:ascii="Times New Roman" w:hAnsi="Times New Roman" w:cs="Times New Roman"/>
      <w:color w:val="00000A"/>
      <w:sz w:val="18"/>
      <w:szCs w:val="18"/>
    </w:rPr>
  </w:style>
  <w:style w:type="paragraph" w:customStyle="1" w:styleId="Heading10">
    <w:name w:val="Heading #1"/>
    <w:basedOn w:val="Normlny"/>
    <w:link w:val="Heading1"/>
    <w:uiPriority w:val="99"/>
    <w:pPr>
      <w:spacing w:after="200" w:line="307" w:lineRule="auto"/>
      <w:ind w:left="440" w:hanging="440"/>
      <w:outlineLvl w:val="0"/>
    </w:pPr>
    <w:rPr>
      <w:rFonts w:ascii="Arial" w:hAnsi="Arial" w:cs="Arial"/>
      <w:b/>
      <w:bCs/>
      <w:color w:val="00000A"/>
      <w:sz w:val="18"/>
      <w:szCs w:val="18"/>
    </w:rPr>
  </w:style>
  <w:style w:type="paragraph" w:styleId="Hlavika">
    <w:name w:val="header"/>
    <w:basedOn w:val="Normlny"/>
    <w:link w:val="HlavikaChar"/>
    <w:uiPriority w:val="99"/>
    <w:unhideWhenUsed/>
    <w:rsid w:val="004A77FC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unhideWhenUsed/>
    <w:rsid w:val="004A77FC"/>
    <w:pPr>
      <w:tabs>
        <w:tab w:val="center" w:pos="4536"/>
        <w:tab w:val="right" w:pos="9072"/>
      </w:tabs>
    </w:pPr>
  </w:style>
  <w:style w:type="paragraph" w:customStyle="1" w:styleId="Obsahrmca">
    <w:name w:val="Obsah rámca"/>
    <w:basedOn w:val="Normlny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1892</Words>
  <Characters>10786</Characters>
  <Application>Microsoft Office Word</Application>
  <DocSecurity>0</DocSecurity>
  <Lines>89</Lines>
  <Paragraphs>25</Paragraphs>
  <ScaleCrop>false</ScaleCrop>
  <Company/>
  <LinksUpToDate>false</LinksUpToDate>
  <CharactersWithSpaces>12653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Maria</cp:lastModifiedBy>
  <cp:revision>10</cp:revision>
  <cp:lastPrinted>2021-02-05T09:16:00Z</cp:lastPrinted>
  <dcterms:created xsi:type="dcterms:W3CDTF">2021-02-02T12:30:00Z</dcterms:created>
  <dcterms:modified xsi:type="dcterms:W3CDTF">2025-02-03T12:04:00Z</dcterms:modified>
  <dc:language>sk-SK</dc:language>
</cp:coreProperties>
</file>