
<file path=[Content_Types].xml><?xml version="1.0" encoding="utf-8"?>
<Types xmlns="http://schemas.openxmlformats.org/package/2006/content-types">
  <Override PartName="/customXml/itemProps2.xml" ContentType="application/vnd.openxmlformats-officedocument.customXmlProperties+xml"/>
  <Override PartName="/customXml/itemProps3.xml" ContentType="application/vnd.openxmlformats-officedocument.customXmlProperties+xml"/>
  <Override PartName="/word/footnotes.xml" ContentType="application/vnd.openxmlformats-officedocument.wordprocessingml.footnotes+xml"/>
  <Override PartName="/customXml/itemProps1.xml" ContentType="application/vnd.openxmlformats-officedocument.customXmlProperties+xml"/>
  <Default Extension="emf" ContentType="image/x-emf"/>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Default Extension="xlsx" ContentType="application/vnd.openxmlformats-officedocument.spreadsheetml.sheet"/>
  <Override PartName="/word/header2.xml" ContentType="application/vnd.openxmlformats-officedocument.wordprocessingml.header+xml"/>
  <Override PartName="/word/fontTable.xml" ContentType="application/vnd.openxmlformats-officedocument.wordprocessingml.fontTable+xml"/>
  <Override PartName="/customXml/itemProps4.xml" ContentType="application/vnd.openxmlformats-officedocument.customXmlProperties+xml"/>
  <Override PartName="/customXml/itemProps5.xml" ContentType="application/vnd.openxmlformats-officedocument.customXmlProperties+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D3B4A" w:rsidRDefault="004D3B4A" w:rsidP="004D3B4A">
      <w:pPr>
        <w:pStyle w:val="Nadpis1"/>
        <w:tabs>
          <w:tab w:val="clear" w:pos="450"/>
          <w:tab w:val="num" w:pos="360"/>
        </w:tabs>
        <w:spacing w:before="120" w:after="60"/>
        <w:ind w:left="360"/>
      </w:pPr>
      <w:bookmarkStart w:id="0" w:name="_Toc530739894"/>
      <w:r>
        <w:t>Informácie o účtovnej jednotke</w:t>
      </w:r>
      <w:bookmarkEnd w:id="0"/>
    </w:p>
    <w:p w:rsidR="004D3B4A" w:rsidRDefault="004D3B4A" w:rsidP="004D3B4A">
      <w:pPr>
        <w:pStyle w:val="Zkladntext"/>
      </w:pPr>
    </w:p>
    <w:p w:rsidR="004D3B4A" w:rsidRDefault="00D72087" w:rsidP="004D3B4A">
      <w:pPr>
        <w:pStyle w:val="Nadpis2"/>
        <w:numPr>
          <w:ilvl w:val="0"/>
          <w:numId w:val="2"/>
        </w:numPr>
      </w:pPr>
      <w:r>
        <w:t>Založenie spoločnosti</w:t>
      </w:r>
    </w:p>
    <w:p w:rsidR="00AF55E6" w:rsidRDefault="00AF55E6" w:rsidP="00AF55E6">
      <w:pPr>
        <w:pStyle w:val="Zkladntext"/>
      </w:pPr>
      <w:r>
        <w:t xml:space="preserve">Spoločnosť SETIM s.r.o. (ďalej len Spoločnosť), bola založená 12. januára 2012  a do obchodného registra bola zapísaná 2. februára 2012  (Obchodný register Okresného súdu Bratislava I v Bratislave, oddiel s.r.o., vložka 78900/B). </w:t>
      </w:r>
    </w:p>
    <w:p w:rsidR="004D3B4A" w:rsidRPr="0060790D" w:rsidRDefault="004D3B4A" w:rsidP="004D3B4A">
      <w:pPr>
        <w:rPr>
          <w:sz w:val="18"/>
          <w:szCs w:val="18"/>
        </w:rPr>
      </w:pPr>
    </w:p>
    <w:p w:rsidR="004D3B4A" w:rsidRDefault="004D3B4A" w:rsidP="004D3B4A">
      <w:pPr>
        <w:pStyle w:val="Nadpis2"/>
        <w:numPr>
          <w:ilvl w:val="0"/>
          <w:numId w:val="2"/>
        </w:numPr>
      </w:pPr>
      <w:bookmarkStart w:id="1" w:name="_Toc530739896"/>
      <w:r>
        <w:t>Hlavnými činnosťami Spoločnosti sú:</w:t>
      </w:r>
      <w:bookmarkEnd w:id="1"/>
    </w:p>
    <w:p w:rsidR="004D3B4A" w:rsidRDefault="00AF55E6" w:rsidP="00AF55E6">
      <w:pPr>
        <w:pStyle w:val="Zkladntext"/>
        <w:numPr>
          <w:ilvl w:val="0"/>
          <w:numId w:val="62"/>
        </w:numPr>
      </w:pPr>
      <w:r>
        <w:t>počítačové služby</w:t>
      </w:r>
    </w:p>
    <w:p w:rsidR="004D3B4A" w:rsidRDefault="004D3B4A" w:rsidP="004D3B4A">
      <w:pPr>
        <w:pStyle w:val="Zkladntext"/>
      </w:pPr>
    </w:p>
    <w:p w:rsidR="004D3B4A" w:rsidRDefault="005F5D4F" w:rsidP="004D3B4A">
      <w:pPr>
        <w:pStyle w:val="Nadpis2"/>
        <w:numPr>
          <w:ilvl w:val="0"/>
          <w:numId w:val="2"/>
        </w:numPr>
      </w:pPr>
      <w:r>
        <w:t>P</w:t>
      </w:r>
      <w:r w:rsidR="004D3B4A">
        <w:t xml:space="preserve">očet zamestnancov </w:t>
      </w:r>
    </w:p>
    <w:p w:rsidR="00190013" w:rsidRDefault="00AF55E6" w:rsidP="00AF55E6">
      <w:pPr>
        <w:pStyle w:val="Zkladntext"/>
      </w:pPr>
      <w:r>
        <w:t>Účtovná jednotka nemá náplň pre danú položku.</w:t>
      </w:r>
    </w:p>
    <w:p w:rsidR="004D3B4A" w:rsidRDefault="004D3B4A" w:rsidP="00190013">
      <w:pPr>
        <w:pStyle w:val="Zkladntext"/>
        <w:ind w:left="0"/>
      </w:pPr>
    </w:p>
    <w:p w:rsidR="004D3B4A" w:rsidRDefault="004D3B4A" w:rsidP="004D3B4A">
      <w:pPr>
        <w:pStyle w:val="Nadpis2"/>
        <w:numPr>
          <w:ilvl w:val="0"/>
          <w:numId w:val="2"/>
        </w:numPr>
      </w:pPr>
      <w:r>
        <w:t>Údaje o neobmedzenom ručení</w:t>
      </w:r>
    </w:p>
    <w:p w:rsidR="004D3B4A" w:rsidRDefault="004D3B4A" w:rsidP="004D3B4A">
      <w:pPr>
        <w:ind w:left="450"/>
        <w:jc w:val="both"/>
        <w:rPr>
          <w:sz w:val="18"/>
          <w:szCs w:val="18"/>
        </w:rPr>
      </w:pPr>
      <w:r w:rsidRPr="00D87FBD">
        <w:rPr>
          <w:sz w:val="18"/>
          <w:szCs w:val="18"/>
        </w:rPr>
        <w:t>Spoločnosť nie je neobmedzene ručiacim spoločníkom v</w:t>
      </w:r>
      <w:r w:rsidRPr="00C35B60">
        <w:rPr>
          <w:sz w:val="18"/>
          <w:szCs w:val="18"/>
        </w:rPr>
        <w:t> </w:t>
      </w:r>
      <w:r w:rsidRPr="00D87FBD">
        <w:rPr>
          <w:sz w:val="18"/>
          <w:szCs w:val="18"/>
        </w:rPr>
        <w:t xml:space="preserve">iných </w:t>
      </w:r>
      <w:r>
        <w:rPr>
          <w:sz w:val="18"/>
          <w:szCs w:val="18"/>
        </w:rPr>
        <w:t xml:space="preserve">spoločnostiach podľa </w:t>
      </w:r>
      <w:r w:rsidRPr="00467471">
        <w:rPr>
          <w:sz w:val="18"/>
          <w:szCs w:val="18"/>
        </w:rPr>
        <w:t>§ 56 ods. 5 Obchodného zákonníka</w:t>
      </w:r>
      <w:r w:rsidRPr="00D87FBD">
        <w:rPr>
          <w:sz w:val="18"/>
          <w:szCs w:val="18"/>
        </w:rPr>
        <w:t>.</w:t>
      </w:r>
    </w:p>
    <w:p w:rsidR="004D3B4A" w:rsidRDefault="004D3B4A" w:rsidP="004D3B4A">
      <w:pPr>
        <w:pStyle w:val="Zkladntext"/>
      </w:pPr>
    </w:p>
    <w:p w:rsidR="004D3B4A" w:rsidRDefault="004D3B4A" w:rsidP="004D3B4A">
      <w:pPr>
        <w:pStyle w:val="Nadpis2"/>
        <w:numPr>
          <w:ilvl w:val="0"/>
          <w:numId w:val="2"/>
        </w:numPr>
      </w:pPr>
      <w:r>
        <w:t>Právny dôvod na zostavenie účtovnej závierky</w:t>
      </w:r>
    </w:p>
    <w:p w:rsidR="004D3B4A" w:rsidRDefault="004D3B4A" w:rsidP="004D3B4A">
      <w:pPr>
        <w:pStyle w:val="Zkladntext"/>
        <w:ind w:hanging="426"/>
      </w:pPr>
      <w:r>
        <w:tab/>
        <w:t xml:space="preserve">Účtovná závierka Spoločnosti k 31. decembru </w:t>
      </w:r>
      <w:r w:rsidR="005A5C1B">
        <w:t>202</w:t>
      </w:r>
      <w:r w:rsidR="00476D1F">
        <w:t>4</w:t>
      </w:r>
      <w:r>
        <w:t xml:space="preserve"> je zostavená ako riadna účtovná závierka podľa § 17 ods. 6 zákona </w:t>
      </w:r>
      <w:r w:rsidRPr="009C33CC">
        <w:t>NR</w:t>
      </w:r>
      <w:r>
        <w:t> </w:t>
      </w:r>
      <w:r w:rsidRPr="009C33CC">
        <w:t>SR</w:t>
      </w:r>
      <w:r>
        <w:t xml:space="preserve"> č. 431/2002 Z. z. o účtovníctve za účtovné obdobie od 1. januára </w:t>
      </w:r>
      <w:r w:rsidR="00C4486C">
        <w:t>20</w:t>
      </w:r>
      <w:r w:rsidR="005A5C1B">
        <w:t>2</w:t>
      </w:r>
      <w:r w:rsidR="00476D1F">
        <w:t>4</w:t>
      </w:r>
      <w:r>
        <w:t xml:space="preserve"> do 31. decembra </w:t>
      </w:r>
      <w:r w:rsidR="00C4486C">
        <w:t>20</w:t>
      </w:r>
      <w:r w:rsidR="005A5C1B">
        <w:t>2</w:t>
      </w:r>
      <w:r w:rsidR="00476D1F">
        <w:t>4</w:t>
      </w:r>
      <w:r>
        <w:t>.</w:t>
      </w:r>
    </w:p>
    <w:p w:rsidR="004D3B4A" w:rsidRDefault="004D3B4A" w:rsidP="004D3B4A">
      <w:pPr>
        <w:pStyle w:val="Zkladntext"/>
        <w:ind w:hanging="426"/>
      </w:pPr>
    </w:p>
    <w:p w:rsidR="004D3B4A" w:rsidRDefault="004D3B4A" w:rsidP="004D3B4A">
      <w:pPr>
        <w:pStyle w:val="Nadpis2"/>
        <w:numPr>
          <w:ilvl w:val="0"/>
          <w:numId w:val="2"/>
        </w:numPr>
      </w:pPr>
      <w:r>
        <w:t>Dátum schválenia účtovnej závierky za predchádzajúce účtovné obdobie</w:t>
      </w:r>
    </w:p>
    <w:p w:rsidR="004D3B4A" w:rsidRDefault="004D3B4A" w:rsidP="004D3B4A">
      <w:pPr>
        <w:pStyle w:val="Zkladntext"/>
        <w:ind w:hanging="426"/>
      </w:pPr>
      <w:r>
        <w:tab/>
        <w:t xml:space="preserve">Účtovná závierka Spoločnosti k 31. decembru </w:t>
      </w:r>
      <w:r w:rsidR="00C4486C">
        <w:t>20</w:t>
      </w:r>
      <w:r w:rsidR="005E6A76">
        <w:t>2</w:t>
      </w:r>
      <w:r w:rsidR="00D254D4">
        <w:t>2</w:t>
      </w:r>
      <w:r>
        <w:t xml:space="preserve">, za predchádzajúce účtovné obdobie, bola schválená valným zhromaždením Spoločnosti </w:t>
      </w:r>
      <w:r w:rsidR="00D03709">
        <w:t>.</w:t>
      </w:r>
    </w:p>
    <w:p w:rsidR="004D3B4A" w:rsidRDefault="004D3B4A" w:rsidP="004D3B4A">
      <w:pPr>
        <w:pStyle w:val="Zkladntext"/>
        <w:ind w:hanging="426"/>
      </w:pPr>
    </w:p>
    <w:p w:rsidR="004D3B4A" w:rsidRDefault="004D3B4A" w:rsidP="004D3B4A">
      <w:pPr>
        <w:pStyle w:val="Nadpis2"/>
        <w:numPr>
          <w:ilvl w:val="0"/>
          <w:numId w:val="2"/>
        </w:numPr>
      </w:pPr>
      <w:bookmarkStart w:id="2" w:name="OLE_LINK13"/>
      <w:bookmarkStart w:id="3" w:name="OLE_LINK14"/>
      <w:r>
        <w:t>Zverejnenie účtovnej závierky za predchádzajúce účtovné obdobie</w:t>
      </w:r>
    </w:p>
    <w:p w:rsidR="004D3B4A" w:rsidRDefault="004D3B4A" w:rsidP="004D3B4A">
      <w:pPr>
        <w:pStyle w:val="Zkladntext"/>
      </w:pPr>
      <w:r w:rsidRPr="00194BFD">
        <w:t xml:space="preserve">Účtovná závierka Spoločnosti k 31. decembru </w:t>
      </w:r>
      <w:r w:rsidR="00C4486C">
        <w:t>20</w:t>
      </w:r>
      <w:r w:rsidR="005E6A76">
        <w:t>2</w:t>
      </w:r>
      <w:r w:rsidR="00476D1F">
        <w:t>3</w:t>
      </w:r>
      <w:r w:rsidRPr="00194BFD">
        <w:t xml:space="preserve"> bola uložená do zbi</w:t>
      </w:r>
      <w:r w:rsidR="00D03709">
        <w:t xml:space="preserve">erky listín obchodného registra. </w:t>
      </w:r>
    </w:p>
    <w:p w:rsidR="004D3B4A" w:rsidRDefault="004D3B4A" w:rsidP="004D3B4A">
      <w:pPr>
        <w:pStyle w:val="Zkladntext"/>
      </w:pPr>
    </w:p>
    <w:p w:rsidR="004D3B4A" w:rsidRDefault="004D3B4A" w:rsidP="004D3B4A">
      <w:pPr>
        <w:pStyle w:val="Nadpis2"/>
        <w:numPr>
          <w:ilvl w:val="0"/>
          <w:numId w:val="2"/>
        </w:numPr>
      </w:pPr>
      <w:r>
        <w:t>Schválenie audítora</w:t>
      </w:r>
    </w:p>
    <w:bookmarkEnd w:id="2"/>
    <w:bookmarkEnd w:id="3"/>
    <w:p w:rsidR="00AF55E6" w:rsidRDefault="00AF55E6" w:rsidP="00AF55E6">
      <w:pPr>
        <w:pStyle w:val="Zkladntext"/>
      </w:pPr>
      <w:r>
        <w:t>Účtovná jednotka nemá náplň pre danú položku.</w:t>
      </w:r>
    </w:p>
    <w:p w:rsidR="004D3B4A" w:rsidRDefault="004D3B4A" w:rsidP="004D3B4A">
      <w:pPr>
        <w:pStyle w:val="Zkladntext"/>
        <w:jc w:val="left"/>
      </w:pPr>
    </w:p>
    <w:p w:rsidR="004D3B4A" w:rsidRDefault="004D3B4A" w:rsidP="004D3B4A">
      <w:pPr>
        <w:pStyle w:val="Nadpis1"/>
        <w:tabs>
          <w:tab w:val="clear" w:pos="450"/>
          <w:tab w:val="num" w:pos="360"/>
        </w:tabs>
        <w:spacing w:before="120" w:after="60"/>
        <w:ind w:left="360"/>
      </w:pPr>
      <w:bookmarkStart w:id="4" w:name="_Toc530739897"/>
      <w:r>
        <w:t>Informácie o orgánoch účtovnej jednotky</w:t>
      </w:r>
      <w:bookmarkEnd w:id="4"/>
    </w:p>
    <w:p w:rsidR="004D3B4A" w:rsidRPr="001D5F78" w:rsidRDefault="004D3B4A" w:rsidP="004D3B4A">
      <w:pPr>
        <w:rPr>
          <w:sz w:val="18"/>
          <w:szCs w:val="18"/>
        </w:rPr>
      </w:pPr>
    </w:p>
    <w:p w:rsidR="004D3B4A" w:rsidRDefault="004D3B4A" w:rsidP="00190013">
      <w:pPr>
        <w:pStyle w:val="Zkladntext"/>
      </w:pPr>
      <w:r>
        <w:t>Konatelia</w:t>
      </w:r>
      <w:r>
        <w:tab/>
      </w:r>
      <w:r>
        <w:tab/>
      </w:r>
      <w:r w:rsidR="00AF55E6">
        <w:t>Ing. Juraj Miťko</w:t>
      </w:r>
    </w:p>
    <w:p w:rsidR="004D3B4A" w:rsidRDefault="004D3B4A" w:rsidP="004D3B4A">
      <w:pPr>
        <w:ind w:left="426"/>
        <w:rPr>
          <w:sz w:val="18"/>
        </w:rPr>
      </w:pPr>
      <w:r>
        <w:rPr>
          <w:sz w:val="18"/>
        </w:rPr>
        <w:tab/>
      </w:r>
      <w:r>
        <w:rPr>
          <w:sz w:val="18"/>
        </w:rPr>
        <w:tab/>
      </w:r>
      <w:r>
        <w:rPr>
          <w:sz w:val="18"/>
        </w:rPr>
        <w:tab/>
      </w:r>
      <w:r>
        <w:rPr>
          <w:sz w:val="18"/>
        </w:rPr>
        <w:tab/>
      </w:r>
    </w:p>
    <w:p w:rsidR="00D03709" w:rsidRPr="00D03709" w:rsidRDefault="00D03709" w:rsidP="00D03709">
      <w:pPr>
        <w:pStyle w:val="Bezriadkovania"/>
        <w:numPr>
          <w:ilvl w:val="0"/>
          <w:numId w:val="56"/>
        </w:numPr>
        <w:rPr>
          <w:rFonts w:ascii="Times New Roman" w:hAnsi="Times New Roman" w:cs="Times New Roman"/>
          <w:sz w:val="18"/>
          <w:szCs w:val="18"/>
        </w:rPr>
      </w:pPr>
      <w:bookmarkStart w:id="5" w:name="_Toc530739898"/>
      <w:r w:rsidRPr="00D03709">
        <w:rPr>
          <w:rFonts w:ascii="Times New Roman" w:hAnsi="Times New Roman" w:cs="Times New Roman"/>
          <w:sz w:val="18"/>
          <w:szCs w:val="18"/>
        </w:rPr>
        <w:t xml:space="preserve">výška jednotlivých druhov záruk alebo iných zabezpečení poskytnutých pre členov štatutárneho orgánu, dozorného orgánu  a iného orgánu účtovnej jednotky </w:t>
      </w:r>
      <w:r w:rsidR="00AF55E6">
        <w:rPr>
          <w:rFonts w:ascii="Times New Roman" w:hAnsi="Times New Roman" w:cs="Times New Roman"/>
          <w:sz w:val="18"/>
          <w:szCs w:val="18"/>
        </w:rPr>
        <w:t xml:space="preserve"> - nie je náplň</w:t>
      </w:r>
    </w:p>
    <w:p w:rsidR="00D03709" w:rsidRDefault="00D03709" w:rsidP="00D03709">
      <w:pPr>
        <w:pStyle w:val="Bezriadkovania"/>
        <w:numPr>
          <w:ilvl w:val="0"/>
          <w:numId w:val="56"/>
        </w:numPr>
        <w:rPr>
          <w:rFonts w:ascii="Times New Roman" w:hAnsi="Times New Roman" w:cs="Times New Roman"/>
          <w:sz w:val="18"/>
          <w:szCs w:val="18"/>
        </w:rPr>
      </w:pPr>
      <w:r w:rsidRPr="00D03709">
        <w:rPr>
          <w:rFonts w:ascii="Times New Roman" w:hAnsi="Times New Roman" w:cs="Times New Roman"/>
          <w:sz w:val="18"/>
          <w:szCs w:val="18"/>
        </w:rPr>
        <w:t>pôžičky poskytnuté členom štatutárneho orgánu, dozorného orgánu alebo</w:t>
      </w:r>
      <w:r w:rsidR="00AF55E6">
        <w:rPr>
          <w:rFonts w:ascii="Times New Roman" w:hAnsi="Times New Roman" w:cs="Times New Roman"/>
          <w:sz w:val="18"/>
          <w:szCs w:val="18"/>
        </w:rPr>
        <w:t xml:space="preserve"> iného orgánu účtovnej jednotky:</w:t>
      </w:r>
    </w:p>
    <w:p w:rsidR="00AF55E6" w:rsidRPr="00D03709" w:rsidRDefault="00AF55E6" w:rsidP="00AF55E6">
      <w:pPr>
        <w:pStyle w:val="Bezriadkovania"/>
        <w:ind w:left="720"/>
        <w:rPr>
          <w:rFonts w:ascii="Times New Roman" w:hAnsi="Times New Roman" w:cs="Times New Roman"/>
          <w:sz w:val="18"/>
          <w:szCs w:val="18"/>
        </w:rPr>
      </w:pPr>
      <w:r>
        <w:rPr>
          <w:rFonts w:ascii="Times New Roman" w:hAnsi="Times New Roman" w:cs="Times New Roman"/>
          <w:sz w:val="18"/>
          <w:szCs w:val="18"/>
        </w:rPr>
        <w:t xml:space="preserve">poskytnutá pôžička – </w:t>
      </w:r>
      <w:r w:rsidR="00476D1F">
        <w:rPr>
          <w:rFonts w:ascii="Times New Roman" w:hAnsi="Times New Roman" w:cs="Times New Roman"/>
          <w:sz w:val="18"/>
          <w:szCs w:val="18"/>
        </w:rPr>
        <w:t>9950</w:t>
      </w:r>
      <w:r w:rsidR="00D254D4">
        <w:rPr>
          <w:rFonts w:ascii="Times New Roman" w:hAnsi="Times New Roman" w:cs="Times New Roman"/>
          <w:sz w:val="18"/>
          <w:szCs w:val="18"/>
        </w:rPr>
        <w:t xml:space="preserve"> eur</w:t>
      </w:r>
    </w:p>
    <w:p w:rsidR="00D03709" w:rsidRPr="00D03709" w:rsidRDefault="00D03709" w:rsidP="00D03709">
      <w:pPr>
        <w:pStyle w:val="Bezriadkovania"/>
        <w:numPr>
          <w:ilvl w:val="0"/>
          <w:numId w:val="56"/>
        </w:numPr>
        <w:rPr>
          <w:rFonts w:ascii="Times New Roman" w:hAnsi="Times New Roman" w:cs="Times New Roman"/>
          <w:sz w:val="18"/>
          <w:szCs w:val="18"/>
        </w:rPr>
      </w:pPr>
      <w:r w:rsidRPr="00D03709">
        <w:rPr>
          <w:rFonts w:ascii="Times New Roman" w:hAnsi="Times New Roman" w:cs="Times New Roman"/>
          <w:sz w:val="18"/>
          <w:szCs w:val="18"/>
        </w:rPr>
        <w:t xml:space="preserve">hlavné podmienky na základe ktorých boli osobám uvedených v písmene a) poskytnuté záruky alebo iné zabezpečenie a pôžičky poskytnuté, </w:t>
      </w:r>
      <w:r w:rsidR="00AF55E6">
        <w:rPr>
          <w:rFonts w:ascii="Times New Roman" w:hAnsi="Times New Roman" w:cs="Times New Roman"/>
          <w:sz w:val="18"/>
          <w:szCs w:val="18"/>
        </w:rPr>
        <w:t>- nie je náplň</w:t>
      </w:r>
    </w:p>
    <w:p w:rsidR="00D03709" w:rsidRPr="00D03709" w:rsidRDefault="00D03709" w:rsidP="00D03709">
      <w:pPr>
        <w:pStyle w:val="Bezriadkovania"/>
        <w:numPr>
          <w:ilvl w:val="0"/>
          <w:numId w:val="56"/>
        </w:numPr>
        <w:rPr>
          <w:rFonts w:ascii="Times New Roman" w:hAnsi="Times New Roman" w:cs="Times New Roman"/>
          <w:sz w:val="18"/>
          <w:szCs w:val="18"/>
        </w:rPr>
      </w:pPr>
      <w:r w:rsidRPr="00D03709">
        <w:rPr>
          <w:rFonts w:ascii="Times New Roman" w:hAnsi="Times New Roman" w:cs="Times New Roman"/>
          <w:sz w:val="18"/>
          <w:szCs w:val="18"/>
        </w:rPr>
        <w:t>celkovej sume požičaných finančných prostriedkov alebo iného plnenia na súkromné účely členmi štatutárneho orgánu, dozorného orgánu a iného orgánu účtovnej jednotky, ktoré j</w:t>
      </w:r>
      <w:r w:rsidR="00AF55E6">
        <w:rPr>
          <w:rFonts w:ascii="Times New Roman" w:hAnsi="Times New Roman" w:cs="Times New Roman"/>
          <w:sz w:val="18"/>
          <w:szCs w:val="18"/>
        </w:rPr>
        <w:t>e potrebné vyúčtovať - nie je náplň</w:t>
      </w:r>
    </w:p>
    <w:p w:rsidR="00D03709" w:rsidRDefault="00D03709" w:rsidP="00D03709">
      <w:pPr>
        <w:pStyle w:val="Bezriadkovania"/>
        <w:ind w:left="720"/>
      </w:pPr>
    </w:p>
    <w:p w:rsidR="004D3B4A" w:rsidRDefault="004D3B4A" w:rsidP="004D3B4A">
      <w:pPr>
        <w:pStyle w:val="Nadpis1"/>
        <w:tabs>
          <w:tab w:val="clear" w:pos="450"/>
          <w:tab w:val="num" w:pos="360"/>
        </w:tabs>
        <w:spacing w:before="120" w:after="60"/>
        <w:ind w:left="360"/>
      </w:pPr>
      <w:r>
        <w:t>informácie o spoločníkoch účtovnej jednotky</w:t>
      </w:r>
      <w:bookmarkEnd w:id="5"/>
    </w:p>
    <w:p w:rsidR="00D54563" w:rsidRDefault="00D54563" w:rsidP="00D54563">
      <w:pPr>
        <w:pStyle w:val="Zkladntext"/>
      </w:pPr>
    </w:p>
    <w:bookmarkStart w:id="6" w:name="_MON_1410865165"/>
    <w:bookmarkStart w:id="7" w:name="_MON_1423217994"/>
    <w:bookmarkEnd w:id="6"/>
    <w:bookmarkEnd w:id="7"/>
    <w:p w:rsidR="00AF55E6" w:rsidRDefault="00AF55E6" w:rsidP="00AF55E6">
      <w:pPr>
        <w:pStyle w:val="Zkladntext"/>
      </w:pPr>
      <w:r>
        <w:object w:dxaOrig="9239" w:dyaOrig="234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33.5pt;height:122pt" o:ole="" o:preferrelative="f">
            <v:imagedata r:id="rId12" o:title=""/>
            <o:lock v:ext="edit" aspectratio="f"/>
          </v:shape>
          <o:OLEObject Type="Embed" ProgID="Excel.Sheet.12" ShapeID="_x0000_i1025" DrawAspect="Content" ObjectID="_1803023908" r:id="rId13"/>
        </w:object>
      </w:r>
    </w:p>
    <w:p w:rsidR="00AF55E6" w:rsidRDefault="00AF55E6" w:rsidP="00D54563">
      <w:pPr>
        <w:pStyle w:val="Zkladntext"/>
      </w:pPr>
    </w:p>
    <w:p w:rsidR="00D54563" w:rsidRDefault="00D54563" w:rsidP="00D03709">
      <w:pPr>
        <w:pStyle w:val="Zkladntext"/>
        <w:ind w:left="0"/>
      </w:pPr>
    </w:p>
    <w:p w:rsidR="00AF55E6" w:rsidRDefault="00AF55E6" w:rsidP="00D03709">
      <w:pPr>
        <w:pStyle w:val="Zkladntext"/>
        <w:ind w:left="0"/>
      </w:pPr>
    </w:p>
    <w:p w:rsidR="00AF55E6" w:rsidRDefault="00AF55E6" w:rsidP="00D03709">
      <w:pPr>
        <w:pStyle w:val="Zkladntext"/>
        <w:ind w:left="0"/>
      </w:pPr>
    </w:p>
    <w:p w:rsidR="00AF55E6" w:rsidRDefault="00AF55E6" w:rsidP="00D03709">
      <w:pPr>
        <w:pStyle w:val="Zkladntext"/>
        <w:ind w:left="0"/>
      </w:pPr>
    </w:p>
    <w:p w:rsidR="004D3B4A" w:rsidRDefault="004D3B4A" w:rsidP="004D3B4A">
      <w:pPr>
        <w:pStyle w:val="Nadpis1"/>
        <w:tabs>
          <w:tab w:val="clear" w:pos="450"/>
          <w:tab w:val="num" w:pos="360"/>
        </w:tabs>
        <w:spacing w:before="120" w:after="60"/>
        <w:ind w:left="360"/>
      </w:pPr>
      <w:r>
        <w:lastRenderedPageBreak/>
        <w:t>Informácie o konsolidovanom celku</w:t>
      </w:r>
    </w:p>
    <w:p w:rsidR="004D3B4A" w:rsidRDefault="004D3B4A" w:rsidP="004D3B4A">
      <w:pPr>
        <w:pStyle w:val="Zkladntext"/>
      </w:pPr>
    </w:p>
    <w:p w:rsidR="004D3B4A" w:rsidRDefault="00D03709" w:rsidP="004D3B4A">
      <w:pPr>
        <w:pStyle w:val="Zkladntext"/>
      </w:pPr>
      <w:r w:rsidRPr="00AF55E6">
        <w:t>Spoločnosť nie je materskou účtovnou jednotkou.  Spoločnosť je oslobodená od zostavenia konsolidovanej účtovnej závierky.</w:t>
      </w:r>
    </w:p>
    <w:p w:rsidR="00D03709" w:rsidRDefault="00D03709" w:rsidP="004D3B4A">
      <w:pPr>
        <w:pStyle w:val="Zkladntext"/>
      </w:pPr>
    </w:p>
    <w:p w:rsidR="004D3B4A" w:rsidRDefault="004D3B4A" w:rsidP="004D3B4A">
      <w:pPr>
        <w:pStyle w:val="Nadpis1"/>
        <w:tabs>
          <w:tab w:val="clear" w:pos="450"/>
          <w:tab w:val="num" w:pos="360"/>
        </w:tabs>
        <w:spacing w:before="120" w:after="60"/>
        <w:ind w:left="360"/>
      </w:pPr>
      <w:bookmarkStart w:id="8" w:name="_Toc530739899"/>
      <w:r>
        <w:t xml:space="preserve">Informácie o účtovných zásadách a účtovných metódach  </w:t>
      </w:r>
      <w:bookmarkEnd w:id="8"/>
    </w:p>
    <w:p w:rsidR="004D3B4A" w:rsidRDefault="004D3B4A" w:rsidP="004D3B4A">
      <w:pPr>
        <w:pStyle w:val="Zkladntext"/>
      </w:pPr>
    </w:p>
    <w:p w:rsidR="004D3B4A" w:rsidRDefault="004D3B4A" w:rsidP="00251BF2">
      <w:pPr>
        <w:pStyle w:val="Pismenka"/>
        <w:tabs>
          <w:tab w:val="clear" w:pos="426"/>
        </w:tabs>
        <w:ind w:left="426"/>
      </w:pPr>
      <w:r>
        <w:t>Východiská pre zostavenie účtovnej závierky</w:t>
      </w:r>
    </w:p>
    <w:p w:rsidR="004D3B4A" w:rsidRDefault="004D3B4A" w:rsidP="004D3B4A">
      <w:pPr>
        <w:pStyle w:val="Zkladntext"/>
        <w:ind w:left="450"/>
      </w:pPr>
      <w:r>
        <w:t>Účtovná závierka bola zostavená za predpokladu</w:t>
      </w:r>
      <w:r w:rsidR="008D48E9">
        <w:t>, že Spoločnosť bude</w:t>
      </w:r>
      <w:r>
        <w:t xml:space="preserve"> nepretržit</w:t>
      </w:r>
      <w:r w:rsidR="008D48E9">
        <w:t>e pokračovať vo svojej činnosti</w:t>
      </w:r>
      <w:r>
        <w:t xml:space="preserve"> (goingconcern).</w:t>
      </w:r>
    </w:p>
    <w:p w:rsidR="00081356" w:rsidRDefault="00081356" w:rsidP="00081356">
      <w:pPr>
        <w:pStyle w:val="Zkladntext"/>
      </w:pPr>
      <w:r>
        <w:t xml:space="preserve">Kríza spôsobená pandémiou Covid19 stále pretrváva. Koncom februára 2022 došlo k vojnovému konfliktu na Ukrajine. V čase zostavenia tejto účtovnej závierky vedenie účtovnej jednotky nezaznamenalo významný pokles predaja, z dôvodu COVID19 ani z dôvodu vojnového konfliktu na Ukrajine,  nakoľko sa však situácia stále mení, nemožno predvídať budúce dopady. </w:t>
      </w:r>
    </w:p>
    <w:p w:rsidR="00081356" w:rsidRDefault="00081356" w:rsidP="00081356">
      <w:pPr>
        <w:pStyle w:val="Zkladntext"/>
        <w:rPr>
          <w:szCs w:val="18"/>
        </w:rPr>
      </w:pPr>
      <w:r>
        <w:t>Manažment bude pokračovať v monitorovaní potenciálneho dopadu pandémie Covid19 a vojnového konfliktu na Ukrajine a podnikne všetky možné kroky na zmiernenie akýchkoľvek negatívnych účinkov na spoločnosť.</w:t>
      </w:r>
    </w:p>
    <w:p w:rsidR="004317F0" w:rsidRDefault="004317F0" w:rsidP="00D03709">
      <w:pPr>
        <w:pStyle w:val="Zkladntext"/>
        <w:ind w:left="0"/>
      </w:pPr>
    </w:p>
    <w:p w:rsidR="00D03709" w:rsidRPr="00D03709" w:rsidRDefault="00D03709" w:rsidP="00D03709">
      <w:pPr>
        <w:pStyle w:val="Bezriadkovania"/>
        <w:ind w:left="426"/>
        <w:rPr>
          <w:rFonts w:ascii="Times New Roman" w:hAnsi="Times New Roman" w:cs="Times New Roman"/>
          <w:b/>
          <w:sz w:val="18"/>
          <w:szCs w:val="18"/>
        </w:rPr>
      </w:pPr>
      <w:r w:rsidRPr="00D03709">
        <w:rPr>
          <w:rFonts w:ascii="Times New Roman" w:hAnsi="Times New Roman" w:cs="Times New Roman"/>
          <w:b/>
          <w:sz w:val="18"/>
          <w:szCs w:val="18"/>
        </w:rPr>
        <w:t>Oprava chýb minulých období:</w:t>
      </w:r>
    </w:p>
    <w:p w:rsidR="00D03709" w:rsidRPr="00D03709" w:rsidRDefault="00D03709" w:rsidP="00D03709">
      <w:pPr>
        <w:pStyle w:val="Bezriadkovania"/>
        <w:ind w:left="426"/>
        <w:jc w:val="both"/>
        <w:rPr>
          <w:rFonts w:ascii="Times New Roman" w:hAnsi="Times New Roman" w:cs="Times New Roman"/>
          <w:sz w:val="18"/>
          <w:szCs w:val="18"/>
        </w:rPr>
      </w:pPr>
      <w:r w:rsidRPr="00D03709">
        <w:rPr>
          <w:rFonts w:ascii="Times New Roman" w:hAnsi="Times New Roman" w:cs="Times New Roman"/>
          <w:sz w:val="18"/>
          <w:szCs w:val="18"/>
        </w:rPr>
        <w:t>Ak Spoločnosť zistí v bežnom účtovnom období významnú chybu týkajúcu sa minulých účtovných období, opraví túto chybu na účtoch 428 – Nerozdelený zisk minulých rokov a 429 – Neuhradená strata minulých rokov, t.j. bez vplyvu na výsledok hospodárenia v bežnom účtovnom období. Opravy nevýznamných chýb minulých účtovných období sa účtujú v bežnom účtovnom období na príslušný nákladový alebo výnosový účet.</w:t>
      </w:r>
    </w:p>
    <w:p w:rsidR="00D03709" w:rsidRPr="00D03709" w:rsidRDefault="00D03709" w:rsidP="00D03709">
      <w:pPr>
        <w:pStyle w:val="Bezriadkovania"/>
        <w:ind w:left="426"/>
        <w:jc w:val="both"/>
        <w:rPr>
          <w:rFonts w:ascii="Times New Roman" w:hAnsi="Times New Roman" w:cs="Times New Roman"/>
          <w:sz w:val="18"/>
          <w:szCs w:val="18"/>
        </w:rPr>
      </w:pPr>
      <w:r w:rsidRPr="00D03709">
        <w:rPr>
          <w:rFonts w:ascii="Times New Roman" w:hAnsi="Times New Roman" w:cs="Times New Roman"/>
          <w:sz w:val="18"/>
          <w:szCs w:val="18"/>
        </w:rPr>
        <w:t>V roku 20</w:t>
      </w:r>
      <w:r w:rsidR="005A5C1B">
        <w:rPr>
          <w:rFonts w:ascii="Times New Roman" w:hAnsi="Times New Roman" w:cs="Times New Roman"/>
          <w:sz w:val="18"/>
          <w:szCs w:val="18"/>
        </w:rPr>
        <w:t>2</w:t>
      </w:r>
      <w:r w:rsidR="00476D1F">
        <w:rPr>
          <w:rFonts w:ascii="Times New Roman" w:hAnsi="Times New Roman" w:cs="Times New Roman"/>
          <w:sz w:val="18"/>
          <w:szCs w:val="18"/>
        </w:rPr>
        <w:t>4</w:t>
      </w:r>
      <w:r w:rsidRPr="00D03709">
        <w:rPr>
          <w:rFonts w:ascii="Times New Roman" w:hAnsi="Times New Roman" w:cs="Times New Roman"/>
          <w:sz w:val="18"/>
          <w:szCs w:val="18"/>
        </w:rPr>
        <w:t xml:space="preserve"> Spoločnosť neúčtovala o oprave významných chýb minulých období.</w:t>
      </w:r>
    </w:p>
    <w:p w:rsidR="00D03709" w:rsidRDefault="00D03709" w:rsidP="00D03709">
      <w:pPr>
        <w:pStyle w:val="Zkladntext"/>
        <w:ind w:left="450"/>
      </w:pPr>
    </w:p>
    <w:p w:rsidR="00D03709" w:rsidRPr="000F038C" w:rsidRDefault="00D03709" w:rsidP="00D03709">
      <w:pPr>
        <w:pStyle w:val="Zkladntext"/>
        <w:ind w:left="450"/>
      </w:pPr>
      <w:r w:rsidRPr="000F038C">
        <w:t>Účtovné metódy a všeobecné účtovné zásady boli účtovnou jednotkou konzistentne</w:t>
      </w:r>
      <w:r>
        <w:t xml:space="preserve"> aplikované.</w:t>
      </w:r>
    </w:p>
    <w:p w:rsidR="00D03709" w:rsidRPr="00D03709" w:rsidRDefault="00D03709" w:rsidP="00AF55E6">
      <w:pPr>
        <w:pStyle w:val="Bezriadkovania"/>
        <w:rPr>
          <w:rFonts w:ascii="Times New Roman" w:hAnsi="Times New Roman" w:cs="Times New Roman"/>
          <w:sz w:val="18"/>
          <w:szCs w:val="18"/>
        </w:rPr>
      </w:pPr>
    </w:p>
    <w:p w:rsidR="00D03709" w:rsidRPr="00D03709" w:rsidRDefault="00D03709" w:rsidP="00D03709">
      <w:pPr>
        <w:pStyle w:val="Bezriadkovania"/>
        <w:ind w:left="426"/>
        <w:rPr>
          <w:rFonts w:ascii="Times New Roman" w:hAnsi="Times New Roman" w:cs="Times New Roman"/>
          <w:b/>
          <w:sz w:val="18"/>
          <w:szCs w:val="18"/>
        </w:rPr>
      </w:pPr>
      <w:r w:rsidRPr="00D03709">
        <w:rPr>
          <w:rFonts w:ascii="Times New Roman" w:hAnsi="Times New Roman" w:cs="Times New Roman"/>
          <w:b/>
          <w:sz w:val="18"/>
          <w:szCs w:val="18"/>
        </w:rPr>
        <w:t>Informácie o charaktere a účele transakcií, ktoré sa neuvádzajú v súvahe:</w:t>
      </w:r>
    </w:p>
    <w:p w:rsidR="00D03709" w:rsidRPr="00D03709" w:rsidRDefault="00D03709" w:rsidP="00D03709">
      <w:pPr>
        <w:pStyle w:val="Bezriadkovania"/>
        <w:ind w:left="426"/>
        <w:jc w:val="both"/>
        <w:rPr>
          <w:rFonts w:ascii="Times New Roman" w:hAnsi="Times New Roman" w:cs="Times New Roman"/>
          <w:sz w:val="18"/>
          <w:szCs w:val="18"/>
        </w:rPr>
      </w:pPr>
      <w:r w:rsidRPr="00D03709">
        <w:rPr>
          <w:rFonts w:ascii="Times New Roman" w:hAnsi="Times New Roman" w:cs="Times New Roman"/>
          <w:sz w:val="18"/>
          <w:szCs w:val="18"/>
        </w:rPr>
        <w:t xml:space="preserve">Informácie o transakciách, ktoré dlhodobo nie sú vykázané v súvahe, a preto je kvôli transparentnosti potrebné uviesť ich vplyv na finančnú situáciu účtovnej jednotky. </w:t>
      </w:r>
    </w:p>
    <w:p w:rsidR="00D03709" w:rsidRPr="00D03709" w:rsidRDefault="00D03709" w:rsidP="00D03709">
      <w:pPr>
        <w:pStyle w:val="Bezriadkovania"/>
        <w:ind w:left="426"/>
        <w:jc w:val="both"/>
        <w:rPr>
          <w:rFonts w:ascii="Times New Roman" w:hAnsi="Times New Roman" w:cs="Times New Roman"/>
          <w:i/>
          <w:sz w:val="18"/>
          <w:szCs w:val="18"/>
        </w:rPr>
      </w:pPr>
    </w:p>
    <w:p w:rsidR="00D03709" w:rsidRPr="00D03709" w:rsidRDefault="00D03709" w:rsidP="00D03709">
      <w:pPr>
        <w:pStyle w:val="Bezriadkovania"/>
        <w:ind w:left="426"/>
        <w:jc w:val="both"/>
        <w:rPr>
          <w:rFonts w:ascii="Times New Roman" w:hAnsi="Times New Roman" w:cs="Times New Roman"/>
          <w:sz w:val="18"/>
          <w:szCs w:val="18"/>
        </w:rPr>
      </w:pPr>
      <w:r w:rsidRPr="00D03709">
        <w:rPr>
          <w:rFonts w:ascii="Times New Roman" w:hAnsi="Times New Roman" w:cs="Times New Roman"/>
          <w:sz w:val="18"/>
          <w:szCs w:val="18"/>
        </w:rPr>
        <w:t>Účtovná jednotka, okrem informácií uvedených na iných miestach poznámo</w:t>
      </w:r>
      <w:r>
        <w:rPr>
          <w:rFonts w:ascii="Times New Roman" w:hAnsi="Times New Roman" w:cs="Times New Roman"/>
          <w:sz w:val="18"/>
          <w:szCs w:val="18"/>
        </w:rPr>
        <w:t>k, nemá náplň pre danú položku.</w:t>
      </w:r>
    </w:p>
    <w:p w:rsidR="00D03709" w:rsidRPr="00D03709" w:rsidRDefault="00D03709" w:rsidP="00D03709">
      <w:pPr>
        <w:pStyle w:val="Bezriadkovania"/>
        <w:ind w:left="426"/>
        <w:jc w:val="both"/>
        <w:rPr>
          <w:rFonts w:ascii="Times New Roman" w:hAnsi="Times New Roman" w:cs="Times New Roman"/>
          <w:sz w:val="18"/>
          <w:szCs w:val="18"/>
        </w:rPr>
      </w:pPr>
      <w:r w:rsidRPr="00D03709">
        <w:rPr>
          <w:rFonts w:ascii="Times New Roman" w:hAnsi="Times New Roman" w:cs="Times New Roman"/>
          <w:sz w:val="18"/>
          <w:szCs w:val="18"/>
        </w:rPr>
        <w:t>Niektoré z týchto informácií sú uvádzané na iných miestach poznámok na základe opatrenia k účtovnej závierke (napr. v časti údaje o iných aktívach a pasívach).</w:t>
      </w:r>
    </w:p>
    <w:p w:rsidR="00A777E1" w:rsidRDefault="00A777E1">
      <w:pPr>
        <w:pStyle w:val="Zkladntext"/>
        <w:ind w:left="450"/>
      </w:pPr>
    </w:p>
    <w:p w:rsidR="00D03709" w:rsidRPr="000B5536" w:rsidRDefault="00D03709" w:rsidP="00D03709">
      <w:pPr>
        <w:pStyle w:val="Bezriadkovania"/>
        <w:ind w:left="426"/>
        <w:rPr>
          <w:rFonts w:ascii="Times New Roman" w:hAnsi="Times New Roman" w:cs="Times New Roman"/>
          <w:b/>
          <w:sz w:val="18"/>
          <w:szCs w:val="18"/>
        </w:rPr>
      </w:pPr>
      <w:r w:rsidRPr="000B5536">
        <w:rPr>
          <w:rFonts w:ascii="Times New Roman" w:hAnsi="Times New Roman" w:cs="Times New Roman"/>
          <w:b/>
          <w:sz w:val="18"/>
          <w:szCs w:val="18"/>
        </w:rPr>
        <w:t>Použitie odhadov a úsudkov</w:t>
      </w:r>
    </w:p>
    <w:p w:rsidR="00D03709" w:rsidRPr="00D03709" w:rsidRDefault="00D03709" w:rsidP="00D03709">
      <w:pPr>
        <w:pStyle w:val="Bezriadkovania"/>
        <w:ind w:left="426"/>
        <w:jc w:val="both"/>
        <w:rPr>
          <w:rFonts w:ascii="Times New Roman" w:hAnsi="Times New Roman" w:cs="Times New Roman"/>
          <w:sz w:val="18"/>
          <w:szCs w:val="18"/>
        </w:rPr>
      </w:pPr>
      <w:r w:rsidRPr="00D03709">
        <w:rPr>
          <w:rFonts w:ascii="Times New Roman" w:hAnsi="Times New Roman" w:cs="Times New Roman"/>
          <w:sz w:val="18"/>
          <w:szCs w:val="18"/>
        </w:rPr>
        <w:t>Zostavenie účtovnej závierky si vyžaduje, aby manažment Spoločnosti urobil úsudky, odhady a predpoklady, ktoré ovplyvňujú aplikáciu účtovných metód a účtovných zásad a hodnotu vykazovaného majetku, záväzkov, výnosov a nákladov. Odhady a súvisiace predpoklady sú založené na minulých skúsenostiach a iných rozličných faktoroch, považovaných za primerané okolnostiam, na základe ktorých sa formuje východisko pre posúdenie účtovných hodnôt majetku a záväzkov, ktoré nie sú zrejmé z iných zdrojov. Skutočné výsledky sa preto môžu líšiť od odhadov.</w:t>
      </w:r>
    </w:p>
    <w:p w:rsidR="00D03709" w:rsidRPr="00D03709" w:rsidRDefault="00D03709" w:rsidP="00D03709">
      <w:pPr>
        <w:pStyle w:val="Bezriadkovania"/>
        <w:ind w:left="426"/>
        <w:jc w:val="both"/>
        <w:rPr>
          <w:rFonts w:ascii="Times New Roman" w:hAnsi="Times New Roman" w:cs="Times New Roman"/>
          <w:sz w:val="18"/>
          <w:szCs w:val="18"/>
        </w:rPr>
      </w:pPr>
      <w:r w:rsidRPr="00D03709">
        <w:rPr>
          <w:rFonts w:ascii="Times New Roman" w:hAnsi="Times New Roman" w:cs="Times New Roman"/>
          <w:sz w:val="18"/>
          <w:szCs w:val="18"/>
        </w:rPr>
        <w:t>Odhady a súvisiace predpoklady sú neustále prehodnocované. Korekcie účtovných odhadov nie sú vykázané retrospektívne, ale sú vykázané v období, v ktorom je odhad korigovaný, ak korekcia ovplyvňuje iba toto obdobie, alebo v období korekcie a v budúcich obdobiach, ak korekcia ovplyvňuje toto aj budúce obdobia.</w:t>
      </w:r>
    </w:p>
    <w:p w:rsidR="00D03709" w:rsidRPr="00D03709" w:rsidRDefault="00D03709" w:rsidP="00D03709">
      <w:pPr>
        <w:pStyle w:val="Bezriadkovania"/>
        <w:ind w:left="426"/>
        <w:jc w:val="both"/>
        <w:rPr>
          <w:rFonts w:ascii="Times New Roman" w:hAnsi="Times New Roman" w:cs="Times New Roman"/>
          <w:sz w:val="18"/>
          <w:szCs w:val="18"/>
        </w:rPr>
      </w:pPr>
      <w:r w:rsidRPr="00D03709">
        <w:rPr>
          <w:rFonts w:ascii="Times New Roman" w:hAnsi="Times New Roman" w:cs="Times New Roman"/>
          <w:sz w:val="18"/>
          <w:szCs w:val="18"/>
        </w:rPr>
        <w:t>Informácie  o úsudkoch použitých v súvislosti s aplikáciou účtovných metód a účtovných zásad, ktoré majú významný dopad na hodnoty vykázané v účtovnej závierke – ÚJ nemá náplň.</w:t>
      </w:r>
    </w:p>
    <w:p w:rsidR="00D03709" w:rsidRPr="00D03709" w:rsidRDefault="00D03709" w:rsidP="00D03709">
      <w:pPr>
        <w:pStyle w:val="Bezriadkovania"/>
        <w:ind w:left="426"/>
        <w:jc w:val="both"/>
        <w:rPr>
          <w:rFonts w:ascii="Times New Roman" w:hAnsi="Times New Roman" w:cs="Times New Roman"/>
          <w:sz w:val="18"/>
          <w:szCs w:val="18"/>
        </w:rPr>
      </w:pPr>
      <w:r w:rsidRPr="00D03709">
        <w:rPr>
          <w:rFonts w:ascii="Times New Roman" w:hAnsi="Times New Roman" w:cs="Times New Roman"/>
          <w:sz w:val="18"/>
          <w:szCs w:val="18"/>
        </w:rPr>
        <w:t>Informácie o tých neistotách v predpokladoch a odhadoch, pri ktorých existuje signifikačné riziko, že by mohli viesť k významnej úprave v nasledujúcom účtovnom období – ÚJ nemá náplň.</w:t>
      </w:r>
    </w:p>
    <w:p w:rsidR="00D03709" w:rsidRDefault="00D03709" w:rsidP="00D03709">
      <w:pPr>
        <w:pStyle w:val="Zkladntext"/>
        <w:ind w:left="0"/>
      </w:pPr>
    </w:p>
    <w:p w:rsidR="00D03709" w:rsidRDefault="00D03709" w:rsidP="00D03709">
      <w:pPr>
        <w:pStyle w:val="Zkladntext"/>
        <w:ind w:left="0"/>
      </w:pPr>
    </w:p>
    <w:p w:rsidR="004D3B4A" w:rsidRDefault="004D3B4A" w:rsidP="00251BF2">
      <w:pPr>
        <w:pStyle w:val="Pismenka"/>
        <w:tabs>
          <w:tab w:val="clear" w:pos="426"/>
        </w:tabs>
        <w:ind w:left="426"/>
      </w:pPr>
      <w:r>
        <w:t>Dlhodobý nehmotný majetok a dlhodobý hmotný majetok</w:t>
      </w:r>
    </w:p>
    <w:p w:rsidR="004D3B4A" w:rsidRDefault="004D3B4A" w:rsidP="004D3B4A">
      <w:pPr>
        <w:pStyle w:val="Zkladntext"/>
      </w:pPr>
      <w:r>
        <w:t xml:space="preserve">Dlhodobý majetok nakupovaný sa oceňuje obstarávacou cenou, ktorá zahŕňa cenu obstarania a náklady súvisiace s obstaraním (clo, prepravu, montáž, poistné a pod.). </w:t>
      </w:r>
    </w:p>
    <w:p w:rsidR="004D3B4A" w:rsidRDefault="004D3B4A" w:rsidP="004D3B4A">
      <w:pPr>
        <w:pStyle w:val="Zkladntext"/>
      </w:pPr>
    </w:p>
    <w:p w:rsidR="004D3B4A" w:rsidRDefault="004D3B4A" w:rsidP="004D3B4A">
      <w:pPr>
        <w:pStyle w:val="Zkladntext"/>
      </w:pPr>
      <w:r>
        <w:t>Súčasťou obstarávacej ceny dlhodobého hmotného majetku nie sú úroky z cudzích zdrojov ani realizované kurzové rozdiely, ktoré vznikli do momentu uvedenia dlhodobého majetku do používania.</w:t>
      </w:r>
    </w:p>
    <w:p w:rsidR="004D3B4A" w:rsidRDefault="004D3B4A" w:rsidP="004D3B4A">
      <w:pPr>
        <w:pStyle w:val="Zkladntext"/>
      </w:pPr>
    </w:p>
    <w:p w:rsidR="004D3B4A" w:rsidRDefault="004D3B4A" w:rsidP="004D3B4A">
      <w:pPr>
        <w:pStyle w:val="Zkladntext"/>
      </w:pPr>
      <w:r>
        <w:t>Súčasťou obstarávacej ceny dlhodobého nehmotného majetku nie sú úroky z cudzích zdrojov, ktoré vznikli do momentu zaradenia dlhodobého nehmotného majetku do používania.</w:t>
      </w:r>
    </w:p>
    <w:p w:rsidR="004D3B4A" w:rsidRDefault="004D3B4A" w:rsidP="004D3B4A">
      <w:pPr>
        <w:pStyle w:val="Zkladntext"/>
      </w:pPr>
    </w:p>
    <w:p w:rsidR="004D3B4A" w:rsidRDefault="004D3B4A" w:rsidP="004D3B4A">
      <w:pPr>
        <w:pStyle w:val="Zkladntext"/>
      </w:pPr>
      <w:r>
        <w:t xml:space="preserve">Dlhodobý majetok vytvorený vlastnou činnosťou sa oceňuje vlastnými nákladmi. Vlastnými nákladmi sú všetky priame náklady vynaložené na výrobu alebo inú činnosť a nepriame náklady, ktoré sa vzťahujú na výrobu alebo inú činnosť. </w:t>
      </w:r>
    </w:p>
    <w:p w:rsidR="0058479C" w:rsidRDefault="0058479C" w:rsidP="004D3B4A">
      <w:pPr>
        <w:pStyle w:val="Zkladntext"/>
      </w:pPr>
    </w:p>
    <w:p w:rsidR="004D3B4A" w:rsidRDefault="004D3B4A" w:rsidP="004D3B4A">
      <w:pPr>
        <w:pStyle w:val="Zkladntext"/>
      </w:pPr>
      <w:r>
        <w:t xml:space="preserve">Náklady na výskum sa neaktivujú, účtujú sa do nákladov účtovného obdobia, v ktorom vznikli. Náklady na vývoj sa účtujú do obdobia, v ktorom vznikli, ale tie náklady na vývoj, ktoré sa vzťahujú na jasne definovaný výrobok alebo proces, pri ktorých je možné preukázať technickú realizovateľnosť a možnosť predaja a spoločnosť má dostatočné zdroje </w:t>
      </w:r>
      <w:r>
        <w:lastRenderedPageBreak/>
        <w:t>na dokončenie projektu, jeho predaj alebo na vnútorné využitie jeho výsledkov, sa aktivujú, a to vo výške, ktorá je pravdepodobná, že sa získa späť z budúcich ekonomických úžitkov.</w:t>
      </w:r>
    </w:p>
    <w:p w:rsidR="004D3B4A" w:rsidRDefault="004D3B4A" w:rsidP="004D3B4A">
      <w:pPr>
        <w:pStyle w:val="Zkladntext"/>
      </w:pPr>
    </w:p>
    <w:p w:rsidR="004D3B4A" w:rsidRDefault="004D3B4A" w:rsidP="004D3B4A">
      <w:pPr>
        <w:pStyle w:val="Zkladntext"/>
      </w:pPr>
      <w:r>
        <w:t>Aktivované náklady na vývoj sa odpisujú počas maximálne 5 rokov, a to v tých účtovných obdobiach, v ktorých sa očakáva predaj produktu alebo využívanie procesu. Ak sa zníži ich hodnota, odpisujú sa na sumu, ktorá je pravdepodobná, že sa získa späť z budúcich ekonomických úžitkov.</w:t>
      </w:r>
    </w:p>
    <w:p w:rsidR="004D3B4A" w:rsidRDefault="004D3B4A" w:rsidP="004D3B4A">
      <w:pPr>
        <w:pStyle w:val="Zkladntext"/>
      </w:pPr>
    </w:p>
    <w:p w:rsidR="004D3B4A" w:rsidRDefault="004D3B4A" w:rsidP="004D3B4A">
      <w:pPr>
        <w:pStyle w:val="Zkladntext"/>
      </w:pPr>
      <w:r>
        <w:t xml:space="preserve">Odpisy dlhodobého nehmotného majetku sú stanovené vychádzajúc z predpokladanej doby jeho používania a predpokladaného priebehu jeho opotrebenia. Odpisovať sa začína prvým dňom mesiaca nasledujúceho po uvedení dlhodobého majetku do používania. Drobný dlhodobý nehmotný majetok, ktorého obstarávacia cena (resp. vlastné náklady) je </w:t>
      </w:r>
      <w:r w:rsidRPr="00F7710B">
        <w:t>2</w:t>
      </w:r>
      <w:r w:rsidRPr="00DF04B4">
        <w:t> </w:t>
      </w:r>
      <w:r>
        <w:t>400</w:t>
      </w:r>
      <w:r w:rsidRPr="00DF04B4">
        <w:t xml:space="preserve"> EUR</w:t>
      </w:r>
      <w:r>
        <w:t xml:space="preserve"> a nižšia, sa odpisuje jednorazovo pri uvedení do používania. Predpokladaná doba používania, metóda odpisovania a odpisová sadzba sú uvedené v nasledujúcej tabuľke:</w:t>
      </w:r>
    </w:p>
    <w:p w:rsidR="004D3B4A" w:rsidRDefault="004D3B4A" w:rsidP="004D3B4A">
      <w:pPr>
        <w:pStyle w:val="Zkladntext"/>
      </w:pPr>
    </w:p>
    <w:tbl>
      <w:tblPr>
        <w:tblW w:w="0" w:type="auto"/>
        <w:tblInd w:w="456" w:type="dxa"/>
        <w:tblCellMar>
          <w:left w:w="30" w:type="dxa"/>
          <w:right w:w="30" w:type="dxa"/>
        </w:tblCellMar>
        <w:tblLook w:val="0000"/>
      </w:tblPr>
      <w:tblGrid>
        <w:gridCol w:w="2915"/>
        <w:gridCol w:w="418"/>
        <w:gridCol w:w="1547"/>
        <w:gridCol w:w="222"/>
        <w:gridCol w:w="1821"/>
        <w:gridCol w:w="222"/>
        <w:gridCol w:w="1701"/>
      </w:tblGrid>
      <w:tr w:rsidR="004D3B4A" w:rsidTr="0000290B">
        <w:trPr>
          <w:trHeight w:val="250"/>
        </w:trPr>
        <w:tc>
          <w:tcPr>
            <w:tcW w:w="3402" w:type="dxa"/>
            <w:gridSpan w:val="2"/>
          </w:tcPr>
          <w:p w:rsidR="004D3B4A" w:rsidRDefault="004D3B4A" w:rsidP="0000290B">
            <w:pPr>
              <w:pStyle w:val="Tabulka"/>
            </w:pPr>
            <w:r>
              <w:br w:type="page"/>
            </w:r>
          </w:p>
        </w:tc>
        <w:tc>
          <w:tcPr>
            <w:tcW w:w="1559" w:type="dxa"/>
          </w:tcPr>
          <w:p w:rsidR="004D3B4A" w:rsidRDefault="004D3B4A" w:rsidP="0000290B">
            <w:pPr>
              <w:pStyle w:val="Tabulka"/>
              <w:jc w:val="center"/>
            </w:pPr>
            <w:r>
              <w:t>Predpokladaná</w:t>
            </w:r>
          </w:p>
        </w:tc>
        <w:tc>
          <w:tcPr>
            <w:tcW w:w="142" w:type="dxa"/>
          </w:tcPr>
          <w:p w:rsidR="004D3B4A" w:rsidRDefault="004D3B4A" w:rsidP="0000290B">
            <w:pPr>
              <w:pStyle w:val="Tabulka"/>
              <w:jc w:val="center"/>
            </w:pPr>
          </w:p>
        </w:tc>
        <w:tc>
          <w:tcPr>
            <w:tcW w:w="1842" w:type="dxa"/>
          </w:tcPr>
          <w:p w:rsidR="004D3B4A" w:rsidRDefault="004D3B4A" w:rsidP="0000290B">
            <w:pPr>
              <w:pStyle w:val="Tabulka"/>
              <w:jc w:val="center"/>
            </w:pPr>
            <w:r>
              <w:t>Metóda</w:t>
            </w:r>
          </w:p>
        </w:tc>
        <w:tc>
          <w:tcPr>
            <w:tcW w:w="142" w:type="dxa"/>
          </w:tcPr>
          <w:p w:rsidR="004D3B4A" w:rsidRDefault="004D3B4A" w:rsidP="0000290B">
            <w:pPr>
              <w:pStyle w:val="Tabulka"/>
              <w:jc w:val="center"/>
            </w:pPr>
          </w:p>
        </w:tc>
        <w:tc>
          <w:tcPr>
            <w:tcW w:w="1730" w:type="dxa"/>
          </w:tcPr>
          <w:p w:rsidR="004D3B4A" w:rsidRDefault="004D3B4A" w:rsidP="0000290B">
            <w:pPr>
              <w:pStyle w:val="Tabulka"/>
              <w:jc w:val="center"/>
            </w:pPr>
            <w:r>
              <w:t>Ročná odpisová</w:t>
            </w:r>
          </w:p>
        </w:tc>
      </w:tr>
      <w:tr w:rsidR="005B316E" w:rsidTr="0000290B">
        <w:trPr>
          <w:trHeight w:val="250"/>
        </w:trPr>
        <w:tc>
          <w:tcPr>
            <w:tcW w:w="2976" w:type="dxa"/>
            <w:tcBorders>
              <w:bottom w:val="single" w:sz="4" w:space="0" w:color="auto"/>
            </w:tcBorders>
          </w:tcPr>
          <w:p w:rsidR="004D3B4A" w:rsidRDefault="004D3B4A" w:rsidP="0000290B">
            <w:pPr>
              <w:pStyle w:val="Tabulka"/>
            </w:pPr>
          </w:p>
        </w:tc>
        <w:tc>
          <w:tcPr>
            <w:tcW w:w="426" w:type="dxa"/>
            <w:tcBorders>
              <w:bottom w:val="single" w:sz="4" w:space="0" w:color="auto"/>
            </w:tcBorders>
          </w:tcPr>
          <w:p w:rsidR="004D3B4A" w:rsidRDefault="004D3B4A" w:rsidP="0000290B">
            <w:pPr>
              <w:pStyle w:val="Tabulka"/>
            </w:pPr>
          </w:p>
        </w:tc>
        <w:tc>
          <w:tcPr>
            <w:tcW w:w="1559" w:type="dxa"/>
            <w:tcBorders>
              <w:bottom w:val="single" w:sz="4" w:space="0" w:color="auto"/>
            </w:tcBorders>
          </w:tcPr>
          <w:p w:rsidR="004D3B4A" w:rsidRDefault="004D3B4A" w:rsidP="0000290B">
            <w:pPr>
              <w:pStyle w:val="Tabulka"/>
              <w:jc w:val="center"/>
            </w:pPr>
            <w:r>
              <w:t>doba používania</w:t>
            </w:r>
            <w:r>
              <w:br/>
              <w:t>v rokoch</w:t>
            </w:r>
          </w:p>
        </w:tc>
        <w:tc>
          <w:tcPr>
            <w:tcW w:w="142" w:type="dxa"/>
            <w:tcBorders>
              <w:bottom w:val="single" w:sz="4" w:space="0" w:color="auto"/>
            </w:tcBorders>
          </w:tcPr>
          <w:p w:rsidR="004D3B4A" w:rsidRDefault="004D3B4A" w:rsidP="0000290B">
            <w:pPr>
              <w:pStyle w:val="Tabulka"/>
              <w:jc w:val="center"/>
            </w:pPr>
          </w:p>
        </w:tc>
        <w:tc>
          <w:tcPr>
            <w:tcW w:w="1842" w:type="dxa"/>
            <w:tcBorders>
              <w:bottom w:val="single" w:sz="4" w:space="0" w:color="auto"/>
            </w:tcBorders>
          </w:tcPr>
          <w:p w:rsidR="004D3B4A" w:rsidRDefault="004D3B4A" w:rsidP="0000290B">
            <w:pPr>
              <w:pStyle w:val="Tabulka"/>
              <w:jc w:val="center"/>
            </w:pPr>
            <w:r>
              <w:t>odpisovania</w:t>
            </w:r>
          </w:p>
        </w:tc>
        <w:tc>
          <w:tcPr>
            <w:tcW w:w="142" w:type="dxa"/>
            <w:tcBorders>
              <w:bottom w:val="single" w:sz="4" w:space="0" w:color="auto"/>
            </w:tcBorders>
          </w:tcPr>
          <w:p w:rsidR="004D3B4A" w:rsidRDefault="004D3B4A" w:rsidP="0000290B">
            <w:pPr>
              <w:pStyle w:val="Tabulka"/>
              <w:jc w:val="center"/>
            </w:pPr>
          </w:p>
        </w:tc>
        <w:tc>
          <w:tcPr>
            <w:tcW w:w="1730" w:type="dxa"/>
            <w:tcBorders>
              <w:bottom w:val="single" w:sz="4" w:space="0" w:color="auto"/>
            </w:tcBorders>
          </w:tcPr>
          <w:p w:rsidR="004D3B4A" w:rsidRDefault="004D3B4A" w:rsidP="0000290B">
            <w:pPr>
              <w:pStyle w:val="Tabulka"/>
              <w:jc w:val="center"/>
            </w:pPr>
            <w:r>
              <w:t>sadzba v %</w:t>
            </w:r>
          </w:p>
        </w:tc>
      </w:tr>
      <w:tr w:rsidR="004D3B4A" w:rsidTr="0000290B">
        <w:trPr>
          <w:trHeight w:val="250"/>
        </w:trPr>
        <w:tc>
          <w:tcPr>
            <w:tcW w:w="3402" w:type="dxa"/>
            <w:gridSpan w:val="2"/>
          </w:tcPr>
          <w:p w:rsidR="004D3B4A" w:rsidRDefault="004D3B4A" w:rsidP="0000290B">
            <w:pPr>
              <w:pStyle w:val="Tabulka"/>
            </w:pPr>
            <w:r>
              <w:t>Aktivované náklady na vývoj</w:t>
            </w:r>
          </w:p>
        </w:tc>
        <w:tc>
          <w:tcPr>
            <w:tcW w:w="1559" w:type="dxa"/>
          </w:tcPr>
          <w:p w:rsidR="004D3B4A" w:rsidRDefault="004D3B4A" w:rsidP="0000290B">
            <w:pPr>
              <w:pStyle w:val="Tabulka"/>
              <w:jc w:val="center"/>
            </w:pPr>
            <w:r>
              <w:t>5</w:t>
            </w:r>
          </w:p>
        </w:tc>
        <w:tc>
          <w:tcPr>
            <w:tcW w:w="142" w:type="dxa"/>
          </w:tcPr>
          <w:p w:rsidR="004D3B4A" w:rsidRDefault="004D3B4A" w:rsidP="0000290B">
            <w:pPr>
              <w:pStyle w:val="Tabulka"/>
              <w:jc w:val="center"/>
            </w:pPr>
          </w:p>
        </w:tc>
        <w:tc>
          <w:tcPr>
            <w:tcW w:w="1842" w:type="dxa"/>
          </w:tcPr>
          <w:p w:rsidR="004D3B4A" w:rsidRDefault="004D3B4A" w:rsidP="0000290B">
            <w:pPr>
              <w:pStyle w:val="Tabulka"/>
              <w:jc w:val="center"/>
            </w:pPr>
            <w:r>
              <w:t>lineárna</w:t>
            </w:r>
          </w:p>
        </w:tc>
        <w:tc>
          <w:tcPr>
            <w:tcW w:w="142" w:type="dxa"/>
          </w:tcPr>
          <w:p w:rsidR="004D3B4A" w:rsidRDefault="004D3B4A" w:rsidP="0000290B">
            <w:pPr>
              <w:pStyle w:val="Tabulka"/>
              <w:jc w:val="center"/>
            </w:pPr>
          </w:p>
        </w:tc>
        <w:tc>
          <w:tcPr>
            <w:tcW w:w="1730" w:type="dxa"/>
          </w:tcPr>
          <w:p w:rsidR="004D3B4A" w:rsidRDefault="004D3B4A" w:rsidP="0000290B">
            <w:pPr>
              <w:pStyle w:val="Tabulka"/>
              <w:jc w:val="center"/>
            </w:pPr>
            <w:r>
              <w:t>20</w:t>
            </w:r>
          </w:p>
        </w:tc>
      </w:tr>
      <w:tr w:rsidR="004D3B4A" w:rsidTr="0000290B">
        <w:trPr>
          <w:trHeight w:val="250"/>
        </w:trPr>
        <w:tc>
          <w:tcPr>
            <w:tcW w:w="3402" w:type="dxa"/>
            <w:gridSpan w:val="2"/>
          </w:tcPr>
          <w:p w:rsidR="004D3B4A" w:rsidRDefault="004D3B4A" w:rsidP="0000290B">
            <w:pPr>
              <w:pStyle w:val="Tabulka"/>
            </w:pPr>
            <w:r>
              <w:t>Softvér</w:t>
            </w:r>
          </w:p>
        </w:tc>
        <w:tc>
          <w:tcPr>
            <w:tcW w:w="1559" w:type="dxa"/>
          </w:tcPr>
          <w:p w:rsidR="004D3B4A" w:rsidRDefault="004D3B4A" w:rsidP="0000290B">
            <w:pPr>
              <w:pStyle w:val="Tabulka"/>
              <w:jc w:val="center"/>
            </w:pPr>
            <w:r>
              <w:t>4</w:t>
            </w:r>
          </w:p>
        </w:tc>
        <w:tc>
          <w:tcPr>
            <w:tcW w:w="142" w:type="dxa"/>
          </w:tcPr>
          <w:p w:rsidR="004D3B4A" w:rsidRDefault="004D3B4A" w:rsidP="0000290B">
            <w:pPr>
              <w:pStyle w:val="Tabulka"/>
              <w:jc w:val="center"/>
            </w:pPr>
          </w:p>
        </w:tc>
        <w:tc>
          <w:tcPr>
            <w:tcW w:w="1842" w:type="dxa"/>
          </w:tcPr>
          <w:p w:rsidR="004D3B4A" w:rsidRDefault="004D3B4A" w:rsidP="0000290B">
            <w:pPr>
              <w:pStyle w:val="Tabulka"/>
              <w:jc w:val="center"/>
            </w:pPr>
            <w:r>
              <w:t>lineárna</w:t>
            </w:r>
          </w:p>
        </w:tc>
        <w:tc>
          <w:tcPr>
            <w:tcW w:w="142" w:type="dxa"/>
          </w:tcPr>
          <w:p w:rsidR="004D3B4A" w:rsidRDefault="004D3B4A" w:rsidP="0000290B">
            <w:pPr>
              <w:pStyle w:val="Tabulka"/>
              <w:jc w:val="center"/>
            </w:pPr>
          </w:p>
        </w:tc>
        <w:tc>
          <w:tcPr>
            <w:tcW w:w="1730" w:type="dxa"/>
          </w:tcPr>
          <w:p w:rsidR="004D3B4A" w:rsidRDefault="004D3B4A" w:rsidP="0000290B">
            <w:pPr>
              <w:pStyle w:val="Tabulka"/>
              <w:jc w:val="center"/>
            </w:pPr>
            <w:r>
              <w:t>25</w:t>
            </w:r>
          </w:p>
        </w:tc>
      </w:tr>
      <w:tr w:rsidR="004D3B4A" w:rsidTr="0000290B">
        <w:tblPrEx>
          <w:tblCellMar>
            <w:left w:w="108" w:type="dxa"/>
            <w:right w:w="108" w:type="dxa"/>
          </w:tblCellMar>
        </w:tblPrEx>
        <w:trPr>
          <w:trHeight w:val="245"/>
        </w:trPr>
        <w:tc>
          <w:tcPr>
            <w:tcW w:w="3402" w:type="dxa"/>
            <w:gridSpan w:val="2"/>
          </w:tcPr>
          <w:p w:rsidR="004D3B4A" w:rsidRDefault="004D3B4A" w:rsidP="0000290B">
            <w:pPr>
              <w:pStyle w:val="Tabulka"/>
              <w:ind w:hanging="84"/>
            </w:pPr>
            <w:r>
              <w:t>Oceniteľné práva (licencia)</w:t>
            </w:r>
          </w:p>
        </w:tc>
        <w:tc>
          <w:tcPr>
            <w:tcW w:w="1559" w:type="dxa"/>
          </w:tcPr>
          <w:p w:rsidR="004D3B4A" w:rsidRDefault="004D3B4A" w:rsidP="0000290B">
            <w:pPr>
              <w:pStyle w:val="Tabulka"/>
              <w:jc w:val="center"/>
            </w:pPr>
            <w:r>
              <w:t>8</w:t>
            </w:r>
          </w:p>
        </w:tc>
        <w:tc>
          <w:tcPr>
            <w:tcW w:w="142" w:type="dxa"/>
          </w:tcPr>
          <w:p w:rsidR="004D3B4A" w:rsidRDefault="004D3B4A" w:rsidP="0000290B">
            <w:pPr>
              <w:pStyle w:val="Tabulka"/>
              <w:jc w:val="center"/>
            </w:pPr>
          </w:p>
        </w:tc>
        <w:tc>
          <w:tcPr>
            <w:tcW w:w="1842" w:type="dxa"/>
          </w:tcPr>
          <w:p w:rsidR="004D3B4A" w:rsidRDefault="004D3B4A" w:rsidP="0000290B">
            <w:pPr>
              <w:pStyle w:val="Tabulka"/>
              <w:jc w:val="center"/>
            </w:pPr>
            <w:r>
              <w:t>lineárna</w:t>
            </w:r>
          </w:p>
        </w:tc>
        <w:tc>
          <w:tcPr>
            <w:tcW w:w="142" w:type="dxa"/>
          </w:tcPr>
          <w:p w:rsidR="004D3B4A" w:rsidRDefault="004D3B4A" w:rsidP="0000290B">
            <w:pPr>
              <w:pStyle w:val="Tabulka"/>
              <w:jc w:val="center"/>
            </w:pPr>
          </w:p>
        </w:tc>
        <w:tc>
          <w:tcPr>
            <w:tcW w:w="1730" w:type="dxa"/>
          </w:tcPr>
          <w:p w:rsidR="004D3B4A" w:rsidRDefault="004D3B4A" w:rsidP="0000290B">
            <w:pPr>
              <w:pStyle w:val="Tabulka"/>
              <w:jc w:val="center"/>
            </w:pPr>
            <w:r>
              <w:t>12,5</w:t>
            </w:r>
          </w:p>
        </w:tc>
      </w:tr>
      <w:tr w:rsidR="004D3B4A" w:rsidTr="0000290B">
        <w:tblPrEx>
          <w:tblCellMar>
            <w:left w:w="108" w:type="dxa"/>
            <w:right w:w="108" w:type="dxa"/>
          </w:tblCellMar>
        </w:tblPrEx>
        <w:trPr>
          <w:trHeight w:val="245"/>
        </w:trPr>
        <w:tc>
          <w:tcPr>
            <w:tcW w:w="3402" w:type="dxa"/>
            <w:gridSpan w:val="2"/>
          </w:tcPr>
          <w:p w:rsidR="004D3B4A" w:rsidRDefault="004D3B4A" w:rsidP="0000290B">
            <w:pPr>
              <w:pStyle w:val="Tabulka"/>
              <w:ind w:hanging="84"/>
            </w:pPr>
            <w:r>
              <w:t>Drobný dlhodobý nehmotný majetok</w:t>
            </w:r>
          </w:p>
        </w:tc>
        <w:tc>
          <w:tcPr>
            <w:tcW w:w="1559" w:type="dxa"/>
          </w:tcPr>
          <w:p w:rsidR="004D3B4A" w:rsidRDefault="004D3B4A" w:rsidP="0000290B">
            <w:pPr>
              <w:pStyle w:val="Tabulka"/>
              <w:jc w:val="center"/>
            </w:pPr>
            <w:r>
              <w:t>rôzna</w:t>
            </w:r>
          </w:p>
        </w:tc>
        <w:tc>
          <w:tcPr>
            <w:tcW w:w="142" w:type="dxa"/>
          </w:tcPr>
          <w:p w:rsidR="004D3B4A" w:rsidRDefault="004D3B4A" w:rsidP="0000290B">
            <w:pPr>
              <w:pStyle w:val="Tabulka"/>
              <w:jc w:val="center"/>
            </w:pPr>
          </w:p>
        </w:tc>
        <w:tc>
          <w:tcPr>
            <w:tcW w:w="1842" w:type="dxa"/>
          </w:tcPr>
          <w:p w:rsidR="004D3B4A" w:rsidRDefault="004D3B4A" w:rsidP="0000290B">
            <w:pPr>
              <w:pStyle w:val="Tabulka"/>
              <w:jc w:val="center"/>
            </w:pPr>
            <w:r>
              <w:t>jednorazový odpis</w:t>
            </w:r>
          </w:p>
        </w:tc>
        <w:tc>
          <w:tcPr>
            <w:tcW w:w="142" w:type="dxa"/>
          </w:tcPr>
          <w:p w:rsidR="004D3B4A" w:rsidRDefault="004D3B4A" w:rsidP="0000290B">
            <w:pPr>
              <w:pStyle w:val="Tabulka"/>
              <w:jc w:val="center"/>
            </w:pPr>
          </w:p>
        </w:tc>
        <w:tc>
          <w:tcPr>
            <w:tcW w:w="1730" w:type="dxa"/>
          </w:tcPr>
          <w:p w:rsidR="004D3B4A" w:rsidRDefault="004D3B4A" w:rsidP="0000290B">
            <w:pPr>
              <w:pStyle w:val="Tabulka"/>
              <w:jc w:val="center"/>
            </w:pPr>
            <w:r>
              <w:t>100</w:t>
            </w:r>
          </w:p>
        </w:tc>
      </w:tr>
    </w:tbl>
    <w:p w:rsidR="004D3B4A" w:rsidRDefault="004D3B4A" w:rsidP="004D3B4A">
      <w:pPr>
        <w:pStyle w:val="Zkladntext"/>
      </w:pPr>
    </w:p>
    <w:p w:rsidR="004D3B4A" w:rsidRDefault="004D3B4A" w:rsidP="004D3B4A">
      <w:pPr>
        <w:pStyle w:val="Zkladntext"/>
      </w:pPr>
      <w:r>
        <w:t>Odpisy dlhodobého hmotného majetku sú stanovené vychádzajúc z predpokladanej doby jeho používania a predpokladaného priebehu jeho opotrebenia. Odpisovať sa začína prvým dňom mesiaca nasledujúceho po uvedení dlhodobého majetku do používania. Drobný dlhodobý hmotný majetok, ktorého obstarávacia cena (resp. vlastné náklady) je 1 700 EUR a nižšia, sa odpisuje jednorazovo pri uvedení do používania. Pozemky sa neodpisujú. Predpokladaná doba používania, metóda odpisovania a odpisová sadzba sú uvedené v nasledujúcej tabuľke:</w:t>
      </w:r>
    </w:p>
    <w:p w:rsidR="004D3B4A" w:rsidRDefault="004D3B4A" w:rsidP="004D3B4A">
      <w:pPr>
        <w:pStyle w:val="Zkladntext"/>
      </w:pPr>
    </w:p>
    <w:tbl>
      <w:tblPr>
        <w:tblW w:w="0" w:type="auto"/>
        <w:tblInd w:w="456" w:type="dxa"/>
        <w:tblLayout w:type="fixed"/>
        <w:tblCellMar>
          <w:left w:w="30" w:type="dxa"/>
          <w:right w:w="30" w:type="dxa"/>
        </w:tblCellMar>
        <w:tblLook w:val="0000"/>
      </w:tblPr>
      <w:tblGrid>
        <w:gridCol w:w="2976"/>
        <w:gridCol w:w="142"/>
        <w:gridCol w:w="1985"/>
        <w:gridCol w:w="141"/>
        <w:gridCol w:w="1701"/>
        <w:gridCol w:w="142"/>
        <w:gridCol w:w="1701"/>
      </w:tblGrid>
      <w:tr w:rsidR="004D3B4A" w:rsidTr="0000290B">
        <w:trPr>
          <w:trHeight w:val="250"/>
        </w:trPr>
        <w:tc>
          <w:tcPr>
            <w:tcW w:w="3118" w:type="dxa"/>
            <w:gridSpan w:val="2"/>
          </w:tcPr>
          <w:p w:rsidR="004D3B4A" w:rsidRDefault="004D3B4A" w:rsidP="0000290B">
            <w:pPr>
              <w:pStyle w:val="Tabulka"/>
            </w:pPr>
          </w:p>
        </w:tc>
        <w:tc>
          <w:tcPr>
            <w:tcW w:w="1985" w:type="dxa"/>
          </w:tcPr>
          <w:p w:rsidR="004D3B4A" w:rsidRDefault="004D3B4A" w:rsidP="0000290B">
            <w:pPr>
              <w:pStyle w:val="Tabulka"/>
              <w:jc w:val="center"/>
            </w:pPr>
            <w:r>
              <w:t>Predpokladaná</w:t>
            </w:r>
          </w:p>
        </w:tc>
        <w:tc>
          <w:tcPr>
            <w:tcW w:w="141" w:type="dxa"/>
          </w:tcPr>
          <w:p w:rsidR="004D3B4A" w:rsidRDefault="004D3B4A" w:rsidP="0000290B">
            <w:pPr>
              <w:pStyle w:val="Tabulka"/>
              <w:jc w:val="center"/>
            </w:pPr>
          </w:p>
        </w:tc>
        <w:tc>
          <w:tcPr>
            <w:tcW w:w="1701" w:type="dxa"/>
          </w:tcPr>
          <w:p w:rsidR="004D3B4A" w:rsidRDefault="004D3B4A" w:rsidP="0000290B">
            <w:pPr>
              <w:pStyle w:val="Tabulka"/>
              <w:jc w:val="center"/>
            </w:pPr>
            <w:r>
              <w:t>Metóda</w:t>
            </w:r>
          </w:p>
        </w:tc>
        <w:tc>
          <w:tcPr>
            <w:tcW w:w="142" w:type="dxa"/>
          </w:tcPr>
          <w:p w:rsidR="004D3B4A" w:rsidRDefault="004D3B4A" w:rsidP="0000290B">
            <w:pPr>
              <w:pStyle w:val="Tabulka"/>
              <w:jc w:val="center"/>
            </w:pPr>
          </w:p>
        </w:tc>
        <w:tc>
          <w:tcPr>
            <w:tcW w:w="1701" w:type="dxa"/>
          </w:tcPr>
          <w:p w:rsidR="004D3B4A" w:rsidRDefault="004D3B4A" w:rsidP="0000290B">
            <w:pPr>
              <w:pStyle w:val="Tabulka"/>
              <w:jc w:val="center"/>
            </w:pPr>
            <w:r>
              <w:t>Ročná odpisová</w:t>
            </w:r>
          </w:p>
        </w:tc>
      </w:tr>
      <w:tr w:rsidR="004D3B4A" w:rsidTr="0000290B">
        <w:trPr>
          <w:trHeight w:val="250"/>
        </w:trPr>
        <w:tc>
          <w:tcPr>
            <w:tcW w:w="2976" w:type="dxa"/>
            <w:tcBorders>
              <w:bottom w:val="single" w:sz="4" w:space="0" w:color="auto"/>
            </w:tcBorders>
          </w:tcPr>
          <w:p w:rsidR="004D3B4A" w:rsidRDefault="004D3B4A" w:rsidP="0000290B">
            <w:pPr>
              <w:pStyle w:val="Tabulka"/>
            </w:pPr>
          </w:p>
        </w:tc>
        <w:tc>
          <w:tcPr>
            <w:tcW w:w="142" w:type="dxa"/>
            <w:tcBorders>
              <w:bottom w:val="single" w:sz="4" w:space="0" w:color="auto"/>
            </w:tcBorders>
          </w:tcPr>
          <w:p w:rsidR="004D3B4A" w:rsidRDefault="004D3B4A" w:rsidP="0000290B">
            <w:pPr>
              <w:pStyle w:val="Tabulka"/>
            </w:pPr>
          </w:p>
        </w:tc>
        <w:tc>
          <w:tcPr>
            <w:tcW w:w="1985" w:type="dxa"/>
            <w:tcBorders>
              <w:bottom w:val="single" w:sz="4" w:space="0" w:color="auto"/>
            </w:tcBorders>
          </w:tcPr>
          <w:p w:rsidR="004D3B4A" w:rsidRDefault="004D3B4A" w:rsidP="0000290B">
            <w:pPr>
              <w:pStyle w:val="Tabulka"/>
              <w:jc w:val="center"/>
            </w:pPr>
            <w:r>
              <w:t>doba používania v rokoch</w:t>
            </w:r>
          </w:p>
        </w:tc>
        <w:tc>
          <w:tcPr>
            <w:tcW w:w="141" w:type="dxa"/>
            <w:tcBorders>
              <w:bottom w:val="single" w:sz="4" w:space="0" w:color="auto"/>
            </w:tcBorders>
          </w:tcPr>
          <w:p w:rsidR="004D3B4A" w:rsidRDefault="004D3B4A" w:rsidP="0000290B">
            <w:pPr>
              <w:pStyle w:val="Tabulka"/>
              <w:jc w:val="center"/>
            </w:pPr>
          </w:p>
        </w:tc>
        <w:tc>
          <w:tcPr>
            <w:tcW w:w="1701" w:type="dxa"/>
            <w:tcBorders>
              <w:bottom w:val="single" w:sz="4" w:space="0" w:color="auto"/>
            </w:tcBorders>
          </w:tcPr>
          <w:p w:rsidR="004D3B4A" w:rsidRDefault="004D3B4A" w:rsidP="0000290B">
            <w:pPr>
              <w:pStyle w:val="Tabulka"/>
              <w:jc w:val="center"/>
            </w:pPr>
            <w:r>
              <w:t>odpisovania</w:t>
            </w:r>
          </w:p>
        </w:tc>
        <w:tc>
          <w:tcPr>
            <w:tcW w:w="142" w:type="dxa"/>
            <w:tcBorders>
              <w:bottom w:val="single" w:sz="4" w:space="0" w:color="auto"/>
            </w:tcBorders>
          </w:tcPr>
          <w:p w:rsidR="004D3B4A" w:rsidRDefault="004D3B4A" w:rsidP="0000290B">
            <w:pPr>
              <w:pStyle w:val="Tabulka"/>
              <w:jc w:val="center"/>
            </w:pPr>
          </w:p>
        </w:tc>
        <w:tc>
          <w:tcPr>
            <w:tcW w:w="1701" w:type="dxa"/>
            <w:tcBorders>
              <w:bottom w:val="single" w:sz="4" w:space="0" w:color="auto"/>
            </w:tcBorders>
          </w:tcPr>
          <w:p w:rsidR="004D3B4A" w:rsidRDefault="004D3B4A" w:rsidP="0000290B">
            <w:pPr>
              <w:pStyle w:val="Tabulka"/>
              <w:jc w:val="center"/>
            </w:pPr>
            <w:r>
              <w:t>sadzba v %</w:t>
            </w:r>
          </w:p>
        </w:tc>
      </w:tr>
      <w:tr w:rsidR="004D3B4A" w:rsidTr="0000290B">
        <w:trPr>
          <w:trHeight w:val="250"/>
        </w:trPr>
        <w:tc>
          <w:tcPr>
            <w:tcW w:w="3118" w:type="dxa"/>
            <w:gridSpan w:val="2"/>
            <w:tcBorders>
              <w:top w:val="single" w:sz="4" w:space="0" w:color="auto"/>
            </w:tcBorders>
          </w:tcPr>
          <w:p w:rsidR="004D3B4A" w:rsidRDefault="004D3B4A" w:rsidP="0000290B">
            <w:pPr>
              <w:pStyle w:val="Tabulka"/>
            </w:pPr>
            <w:r>
              <w:t>Stavby</w:t>
            </w:r>
          </w:p>
        </w:tc>
        <w:tc>
          <w:tcPr>
            <w:tcW w:w="1985" w:type="dxa"/>
            <w:tcBorders>
              <w:top w:val="single" w:sz="4" w:space="0" w:color="auto"/>
            </w:tcBorders>
          </w:tcPr>
          <w:p w:rsidR="004D3B4A" w:rsidRDefault="006F188E" w:rsidP="0000290B">
            <w:pPr>
              <w:pStyle w:val="Tabulka"/>
              <w:jc w:val="center"/>
            </w:pPr>
            <w:r>
              <w:t>20,</w:t>
            </w:r>
            <w:r w:rsidR="004D3B4A">
              <w:t>40</w:t>
            </w:r>
          </w:p>
        </w:tc>
        <w:tc>
          <w:tcPr>
            <w:tcW w:w="141" w:type="dxa"/>
            <w:tcBorders>
              <w:top w:val="single" w:sz="4" w:space="0" w:color="auto"/>
            </w:tcBorders>
          </w:tcPr>
          <w:p w:rsidR="004D3B4A" w:rsidRDefault="004D3B4A" w:rsidP="0000290B">
            <w:pPr>
              <w:pStyle w:val="Tabulka"/>
              <w:jc w:val="center"/>
            </w:pPr>
          </w:p>
        </w:tc>
        <w:tc>
          <w:tcPr>
            <w:tcW w:w="1701" w:type="dxa"/>
            <w:tcBorders>
              <w:top w:val="single" w:sz="4" w:space="0" w:color="auto"/>
            </w:tcBorders>
          </w:tcPr>
          <w:p w:rsidR="004D3B4A" w:rsidRDefault="004D3B4A" w:rsidP="0000290B">
            <w:pPr>
              <w:pStyle w:val="Tabulka"/>
              <w:jc w:val="center"/>
            </w:pPr>
            <w:r>
              <w:t>lineárna</w:t>
            </w:r>
          </w:p>
        </w:tc>
        <w:tc>
          <w:tcPr>
            <w:tcW w:w="142" w:type="dxa"/>
            <w:tcBorders>
              <w:top w:val="single" w:sz="4" w:space="0" w:color="auto"/>
            </w:tcBorders>
          </w:tcPr>
          <w:p w:rsidR="004D3B4A" w:rsidRDefault="004D3B4A" w:rsidP="0000290B">
            <w:pPr>
              <w:pStyle w:val="Tabulka"/>
              <w:jc w:val="center"/>
            </w:pPr>
          </w:p>
        </w:tc>
        <w:tc>
          <w:tcPr>
            <w:tcW w:w="1701" w:type="dxa"/>
            <w:tcBorders>
              <w:top w:val="single" w:sz="4" w:space="0" w:color="auto"/>
            </w:tcBorders>
          </w:tcPr>
          <w:p w:rsidR="004D3B4A" w:rsidRDefault="004D3B4A" w:rsidP="0000290B">
            <w:pPr>
              <w:pStyle w:val="Tabulka"/>
              <w:jc w:val="center"/>
            </w:pPr>
            <w:r>
              <w:t>2,5</w:t>
            </w:r>
          </w:p>
        </w:tc>
      </w:tr>
      <w:tr w:rsidR="004D3B4A" w:rsidTr="0000290B">
        <w:trPr>
          <w:trHeight w:val="250"/>
        </w:trPr>
        <w:tc>
          <w:tcPr>
            <w:tcW w:w="3118" w:type="dxa"/>
            <w:gridSpan w:val="2"/>
          </w:tcPr>
          <w:p w:rsidR="004D3B4A" w:rsidRDefault="004D3B4A" w:rsidP="0000290B">
            <w:pPr>
              <w:pStyle w:val="Tabulka"/>
            </w:pPr>
            <w:r>
              <w:t>Stroje, prístroje a zariadenia</w:t>
            </w:r>
          </w:p>
        </w:tc>
        <w:tc>
          <w:tcPr>
            <w:tcW w:w="1985" w:type="dxa"/>
          </w:tcPr>
          <w:p w:rsidR="004D3B4A" w:rsidRDefault="004D3B4A" w:rsidP="0000290B">
            <w:pPr>
              <w:pStyle w:val="Tabulka"/>
              <w:jc w:val="center"/>
            </w:pPr>
            <w:r>
              <w:t>8 až 12</w:t>
            </w:r>
          </w:p>
        </w:tc>
        <w:tc>
          <w:tcPr>
            <w:tcW w:w="141" w:type="dxa"/>
          </w:tcPr>
          <w:p w:rsidR="004D3B4A" w:rsidRDefault="004D3B4A" w:rsidP="0000290B">
            <w:pPr>
              <w:pStyle w:val="Tabulka"/>
              <w:jc w:val="center"/>
            </w:pPr>
          </w:p>
        </w:tc>
        <w:tc>
          <w:tcPr>
            <w:tcW w:w="1701" w:type="dxa"/>
          </w:tcPr>
          <w:p w:rsidR="004D3B4A" w:rsidRDefault="004D3B4A" w:rsidP="0000290B">
            <w:pPr>
              <w:pStyle w:val="Tabulka"/>
              <w:jc w:val="center"/>
            </w:pPr>
            <w:r>
              <w:t>lineárna</w:t>
            </w:r>
          </w:p>
        </w:tc>
        <w:tc>
          <w:tcPr>
            <w:tcW w:w="142" w:type="dxa"/>
          </w:tcPr>
          <w:p w:rsidR="004D3B4A" w:rsidRDefault="004D3B4A" w:rsidP="0000290B">
            <w:pPr>
              <w:pStyle w:val="Tabulka"/>
              <w:jc w:val="center"/>
            </w:pPr>
          </w:p>
        </w:tc>
        <w:tc>
          <w:tcPr>
            <w:tcW w:w="1701" w:type="dxa"/>
          </w:tcPr>
          <w:p w:rsidR="004D3B4A" w:rsidRDefault="004D3B4A" w:rsidP="0000290B">
            <w:pPr>
              <w:pStyle w:val="Tabulka"/>
              <w:jc w:val="center"/>
            </w:pPr>
            <w:r>
              <w:t>8,3 až 12,5</w:t>
            </w:r>
          </w:p>
        </w:tc>
      </w:tr>
      <w:tr w:rsidR="004D3B4A" w:rsidTr="0000290B">
        <w:trPr>
          <w:trHeight w:val="250"/>
        </w:trPr>
        <w:tc>
          <w:tcPr>
            <w:tcW w:w="3118" w:type="dxa"/>
            <w:gridSpan w:val="2"/>
          </w:tcPr>
          <w:p w:rsidR="004D3B4A" w:rsidRDefault="004D3B4A" w:rsidP="0000290B">
            <w:pPr>
              <w:pStyle w:val="Tabulka"/>
            </w:pPr>
            <w:r>
              <w:t>Dopravné prostriedky</w:t>
            </w:r>
          </w:p>
        </w:tc>
        <w:tc>
          <w:tcPr>
            <w:tcW w:w="1985" w:type="dxa"/>
          </w:tcPr>
          <w:p w:rsidR="004D3B4A" w:rsidRDefault="004D3B4A" w:rsidP="0000290B">
            <w:pPr>
              <w:pStyle w:val="Tabulka"/>
              <w:jc w:val="center"/>
            </w:pPr>
            <w:r>
              <w:t>4 až 6</w:t>
            </w:r>
          </w:p>
        </w:tc>
        <w:tc>
          <w:tcPr>
            <w:tcW w:w="141" w:type="dxa"/>
          </w:tcPr>
          <w:p w:rsidR="004D3B4A" w:rsidRDefault="004D3B4A" w:rsidP="0000290B">
            <w:pPr>
              <w:pStyle w:val="Tabulka"/>
              <w:jc w:val="center"/>
            </w:pPr>
          </w:p>
        </w:tc>
        <w:tc>
          <w:tcPr>
            <w:tcW w:w="1701" w:type="dxa"/>
          </w:tcPr>
          <w:p w:rsidR="004D3B4A" w:rsidRDefault="006F188E" w:rsidP="0000290B">
            <w:pPr>
              <w:pStyle w:val="Tabulka"/>
              <w:jc w:val="center"/>
            </w:pPr>
            <w:r>
              <w:t>lineárna</w:t>
            </w:r>
          </w:p>
        </w:tc>
        <w:tc>
          <w:tcPr>
            <w:tcW w:w="142" w:type="dxa"/>
          </w:tcPr>
          <w:p w:rsidR="004D3B4A" w:rsidRDefault="004D3B4A" w:rsidP="0000290B">
            <w:pPr>
              <w:pStyle w:val="Tabulka"/>
              <w:jc w:val="center"/>
            </w:pPr>
          </w:p>
        </w:tc>
        <w:tc>
          <w:tcPr>
            <w:tcW w:w="1701" w:type="dxa"/>
          </w:tcPr>
          <w:p w:rsidR="004D3B4A" w:rsidRDefault="004D3B4A" w:rsidP="0000290B">
            <w:pPr>
              <w:pStyle w:val="Tabulka"/>
              <w:jc w:val="center"/>
            </w:pPr>
            <w:r>
              <w:t>16 až 30</w:t>
            </w:r>
          </w:p>
        </w:tc>
      </w:tr>
      <w:tr w:rsidR="004D3B4A" w:rsidTr="0000290B">
        <w:trPr>
          <w:trHeight w:val="250"/>
        </w:trPr>
        <w:tc>
          <w:tcPr>
            <w:tcW w:w="3118" w:type="dxa"/>
            <w:gridSpan w:val="2"/>
          </w:tcPr>
          <w:p w:rsidR="004D3B4A" w:rsidRDefault="004D3B4A" w:rsidP="0000290B">
            <w:pPr>
              <w:pStyle w:val="Tabulka"/>
            </w:pPr>
            <w:r>
              <w:t>Drobný dlhodobý hmotný majetok</w:t>
            </w:r>
          </w:p>
        </w:tc>
        <w:tc>
          <w:tcPr>
            <w:tcW w:w="1985" w:type="dxa"/>
          </w:tcPr>
          <w:p w:rsidR="004D3B4A" w:rsidRDefault="004D3B4A" w:rsidP="0000290B">
            <w:pPr>
              <w:pStyle w:val="Tabulka"/>
              <w:jc w:val="center"/>
            </w:pPr>
            <w:r>
              <w:t>rôzna</w:t>
            </w:r>
          </w:p>
        </w:tc>
        <w:tc>
          <w:tcPr>
            <w:tcW w:w="141" w:type="dxa"/>
          </w:tcPr>
          <w:p w:rsidR="004D3B4A" w:rsidRDefault="004D3B4A" w:rsidP="0000290B">
            <w:pPr>
              <w:pStyle w:val="Tabulka"/>
              <w:jc w:val="center"/>
            </w:pPr>
          </w:p>
        </w:tc>
        <w:tc>
          <w:tcPr>
            <w:tcW w:w="1701" w:type="dxa"/>
          </w:tcPr>
          <w:p w:rsidR="004D3B4A" w:rsidRDefault="004D3B4A" w:rsidP="0000290B">
            <w:pPr>
              <w:pStyle w:val="Tabulka"/>
              <w:jc w:val="center"/>
            </w:pPr>
            <w:r>
              <w:t>jednorazový odpis</w:t>
            </w:r>
          </w:p>
        </w:tc>
        <w:tc>
          <w:tcPr>
            <w:tcW w:w="142" w:type="dxa"/>
          </w:tcPr>
          <w:p w:rsidR="004D3B4A" w:rsidRDefault="004D3B4A" w:rsidP="0000290B">
            <w:pPr>
              <w:pStyle w:val="Tabulka"/>
              <w:jc w:val="center"/>
            </w:pPr>
          </w:p>
        </w:tc>
        <w:tc>
          <w:tcPr>
            <w:tcW w:w="1701" w:type="dxa"/>
          </w:tcPr>
          <w:p w:rsidR="004D3B4A" w:rsidRDefault="004D3B4A" w:rsidP="0000290B">
            <w:pPr>
              <w:pStyle w:val="Tabulka"/>
              <w:jc w:val="center"/>
            </w:pPr>
            <w:r>
              <w:t>100</w:t>
            </w:r>
          </w:p>
        </w:tc>
      </w:tr>
    </w:tbl>
    <w:p w:rsidR="00887683" w:rsidRDefault="00887683" w:rsidP="00251BF2">
      <w:pPr>
        <w:pStyle w:val="Pismenka"/>
        <w:numPr>
          <w:ilvl w:val="0"/>
          <w:numId w:val="0"/>
        </w:numPr>
      </w:pPr>
    </w:p>
    <w:p w:rsidR="00D03709" w:rsidRDefault="00D03709" w:rsidP="00251BF2">
      <w:pPr>
        <w:pStyle w:val="Pismenka"/>
        <w:numPr>
          <w:ilvl w:val="0"/>
          <w:numId w:val="0"/>
        </w:numPr>
      </w:pPr>
    </w:p>
    <w:p w:rsidR="00D03709" w:rsidRPr="00D03709" w:rsidRDefault="00D03709" w:rsidP="00D03709">
      <w:pPr>
        <w:pStyle w:val="Bezriadkovania"/>
        <w:ind w:left="426"/>
        <w:jc w:val="both"/>
        <w:rPr>
          <w:rFonts w:ascii="Times New Roman" w:hAnsi="Times New Roman" w:cs="Times New Roman"/>
          <w:sz w:val="18"/>
          <w:szCs w:val="18"/>
        </w:rPr>
      </w:pPr>
      <w:r w:rsidRPr="00D03709">
        <w:rPr>
          <w:rFonts w:ascii="Times New Roman" w:hAnsi="Times New Roman" w:cs="Times New Roman"/>
          <w:sz w:val="18"/>
          <w:szCs w:val="18"/>
        </w:rPr>
        <w:t>Pozemky sa neodpisujú.</w:t>
      </w:r>
    </w:p>
    <w:p w:rsidR="00D03709" w:rsidRDefault="00D03709" w:rsidP="00D03709">
      <w:pPr>
        <w:pStyle w:val="Bezriadkovania"/>
        <w:ind w:left="426"/>
        <w:jc w:val="both"/>
        <w:rPr>
          <w:rFonts w:ascii="Times New Roman" w:hAnsi="Times New Roman" w:cs="Times New Roman"/>
          <w:sz w:val="18"/>
          <w:szCs w:val="18"/>
        </w:rPr>
      </w:pPr>
      <w:r w:rsidRPr="00D03709">
        <w:rPr>
          <w:rFonts w:ascii="Times New Roman" w:hAnsi="Times New Roman" w:cs="Times New Roman"/>
          <w:sz w:val="18"/>
          <w:szCs w:val="18"/>
        </w:rPr>
        <w:t>Metóda odpisovania, doby použiteľnosti a zostatkové hodnoty sa prehodnocujú ku dňu, ku ktorému sa zostavuje účtovná závierka, a ak je to potrebné, urobia sa úpravy.</w:t>
      </w:r>
    </w:p>
    <w:p w:rsidR="0011546A" w:rsidRDefault="0011546A" w:rsidP="0011546A">
      <w:pPr>
        <w:pStyle w:val="Bezriadkovania"/>
        <w:jc w:val="both"/>
        <w:rPr>
          <w:rFonts w:ascii="Times New Roman" w:hAnsi="Times New Roman" w:cs="Times New Roman"/>
          <w:b/>
          <w:sz w:val="18"/>
          <w:szCs w:val="18"/>
        </w:rPr>
      </w:pPr>
    </w:p>
    <w:p w:rsidR="0011546A" w:rsidRPr="0011546A" w:rsidRDefault="0011546A" w:rsidP="0011546A">
      <w:pPr>
        <w:pStyle w:val="Bezriadkovania"/>
        <w:ind w:left="426"/>
        <w:jc w:val="both"/>
        <w:rPr>
          <w:rFonts w:ascii="Times New Roman" w:hAnsi="Times New Roman" w:cs="Times New Roman"/>
          <w:b/>
          <w:sz w:val="18"/>
          <w:szCs w:val="18"/>
        </w:rPr>
      </w:pPr>
      <w:r w:rsidRPr="0011546A">
        <w:rPr>
          <w:rFonts w:ascii="Times New Roman" w:hAnsi="Times New Roman" w:cs="Times New Roman"/>
          <w:b/>
          <w:sz w:val="18"/>
          <w:szCs w:val="18"/>
        </w:rPr>
        <w:t>Posúdenie zníženia hodnoty majetku</w:t>
      </w:r>
    </w:p>
    <w:p w:rsidR="0011546A" w:rsidRPr="0011546A" w:rsidRDefault="0011546A" w:rsidP="0011546A">
      <w:pPr>
        <w:pStyle w:val="Bezriadkovania"/>
        <w:ind w:left="426"/>
        <w:jc w:val="both"/>
        <w:rPr>
          <w:rFonts w:ascii="Times New Roman" w:hAnsi="Times New Roman" w:cs="Times New Roman"/>
          <w:sz w:val="18"/>
          <w:szCs w:val="18"/>
        </w:rPr>
      </w:pPr>
      <w:r w:rsidRPr="0011546A">
        <w:rPr>
          <w:rFonts w:ascii="Times New Roman" w:hAnsi="Times New Roman" w:cs="Times New Roman"/>
          <w:sz w:val="18"/>
          <w:szCs w:val="18"/>
        </w:rPr>
        <w:t>Opravné položky sa tvoria na základe zásady opatrnosti, ak je opodstatnené predpokladať, že došlo k zníženiu hodnoty majetku oproti jeho oceneniu v účtovníctve. Opravná položka sa účtuje v sume opodstatneného predpokladu zníženia hodnoty majetku oproti jeho oceneniu v účtovníctve.</w:t>
      </w:r>
    </w:p>
    <w:p w:rsidR="0011546A" w:rsidRPr="0011546A" w:rsidRDefault="0011546A" w:rsidP="0011546A">
      <w:pPr>
        <w:pStyle w:val="Bezriadkovania"/>
        <w:ind w:left="426"/>
        <w:jc w:val="both"/>
        <w:rPr>
          <w:rFonts w:ascii="Times New Roman" w:hAnsi="Times New Roman" w:cs="Times New Roman"/>
          <w:sz w:val="18"/>
          <w:szCs w:val="18"/>
        </w:rPr>
      </w:pPr>
      <w:r w:rsidRPr="0011546A">
        <w:rPr>
          <w:rFonts w:ascii="Times New Roman" w:hAnsi="Times New Roman" w:cs="Times New Roman"/>
          <w:sz w:val="18"/>
          <w:szCs w:val="18"/>
        </w:rPr>
        <w:t>Faktory, ktoré sú považované za dôležité pri posudzovaní zníženia hodnoty majetku sú:</w:t>
      </w:r>
    </w:p>
    <w:p w:rsidR="0011546A" w:rsidRPr="0011546A" w:rsidRDefault="0011546A" w:rsidP="0011546A">
      <w:pPr>
        <w:pStyle w:val="Bezriadkovania"/>
        <w:numPr>
          <w:ilvl w:val="0"/>
          <w:numId w:val="57"/>
        </w:numPr>
        <w:ind w:left="426" w:firstLine="0"/>
        <w:jc w:val="both"/>
        <w:rPr>
          <w:rFonts w:ascii="Times New Roman" w:hAnsi="Times New Roman" w:cs="Times New Roman"/>
          <w:sz w:val="18"/>
          <w:szCs w:val="18"/>
        </w:rPr>
      </w:pPr>
      <w:r w:rsidRPr="0011546A">
        <w:rPr>
          <w:rFonts w:ascii="Times New Roman" w:hAnsi="Times New Roman" w:cs="Times New Roman"/>
          <w:sz w:val="18"/>
          <w:szCs w:val="18"/>
        </w:rPr>
        <w:t>technologický pokrok,</w:t>
      </w:r>
    </w:p>
    <w:p w:rsidR="0011546A" w:rsidRPr="0011546A" w:rsidRDefault="0011546A" w:rsidP="0011546A">
      <w:pPr>
        <w:pStyle w:val="Bezriadkovania"/>
        <w:numPr>
          <w:ilvl w:val="0"/>
          <w:numId w:val="57"/>
        </w:numPr>
        <w:ind w:left="426" w:firstLine="0"/>
        <w:jc w:val="both"/>
        <w:rPr>
          <w:rFonts w:ascii="Times New Roman" w:hAnsi="Times New Roman" w:cs="Times New Roman"/>
          <w:sz w:val="18"/>
          <w:szCs w:val="18"/>
        </w:rPr>
      </w:pPr>
      <w:r w:rsidRPr="0011546A">
        <w:rPr>
          <w:rFonts w:ascii="Times New Roman" w:hAnsi="Times New Roman" w:cs="Times New Roman"/>
          <w:sz w:val="18"/>
          <w:szCs w:val="18"/>
        </w:rPr>
        <w:t>významné nedostatočné prevádzkové výsledky v porovnaní s historickými alebo plánovanými prevádzkovými výsledkami,</w:t>
      </w:r>
    </w:p>
    <w:p w:rsidR="0011546A" w:rsidRPr="0011546A" w:rsidRDefault="0011546A" w:rsidP="0011546A">
      <w:pPr>
        <w:pStyle w:val="Bezriadkovania"/>
        <w:numPr>
          <w:ilvl w:val="0"/>
          <w:numId w:val="57"/>
        </w:numPr>
        <w:ind w:left="426" w:firstLine="0"/>
        <w:jc w:val="both"/>
        <w:rPr>
          <w:rFonts w:ascii="Times New Roman" w:hAnsi="Times New Roman" w:cs="Times New Roman"/>
          <w:sz w:val="18"/>
          <w:szCs w:val="18"/>
        </w:rPr>
      </w:pPr>
      <w:r w:rsidRPr="0011546A">
        <w:rPr>
          <w:rFonts w:ascii="Times New Roman" w:hAnsi="Times New Roman" w:cs="Times New Roman"/>
          <w:sz w:val="18"/>
          <w:szCs w:val="18"/>
        </w:rPr>
        <w:t>významné zmeny v spôsobe použitia majetku Spoločnosti alebo celkovej zmeny stratégie Spoločnosti,</w:t>
      </w:r>
    </w:p>
    <w:p w:rsidR="0011546A" w:rsidRPr="0011546A" w:rsidRDefault="0011546A" w:rsidP="0011546A">
      <w:pPr>
        <w:pStyle w:val="Bezriadkovania"/>
        <w:numPr>
          <w:ilvl w:val="0"/>
          <w:numId w:val="57"/>
        </w:numPr>
        <w:ind w:left="426" w:firstLine="0"/>
        <w:jc w:val="both"/>
        <w:rPr>
          <w:rFonts w:ascii="Times New Roman" w:hAnsi="Times New Roman" w:cs="Times New Roman"/>
          <w:sz w:val="18"/>
          <w:szCs w:val="18"/>
        </w:rPr>
      </w:pPr>
      <w:r w:rsidRPr="0011546A">
        <w:rPr>
          <w:rFonts w:ascii="Times New Roman" w:hAnsi="Times New Roman" w:cs="Times New Roman"/>
          <w:sz w:val="18"/>
          <w:szCs w:val="18"/>
        </w:rPr>
        <w:t>zastaralosť produktov.</w:t>
      </w:r>
    </w:p>
    <w:p w:rsidR="0011546A" w:rsidRPr="0011546A" w:rsidRDefault="0011546A" w:rsidP="0011546A">
      <w:pPr>
        <w:pStyle w:val="Bezriadkovania"/>
        <w:ind w:left="426"/>
        <w:jc w:val="both"/>
        <w:rPr>
          <w:rFonts w:ascii="Times New Roman" w:hAnsi="Times New Roman" w:cs="Times New Roman"/>
          <w:sz w:val="18"/>
          <w:szCs w:val="18"/>
        </w:rPr>
      </w:pPr>
      <w:r w:rsidRPr="0011546A">
        <w:rPr>
          <w:rFonts w:ascii="Times New Roman" w:hAnsi="Times New Roman" w:cs="Times New Roman"/>
          <w:sz w:val="18"/>
          <w:szCs w:val="18"/>
        </w:rPr>
        <w:t xml:space="preserve">Ak Spoločnosť zistí, že na základe existencie jedného alebo viacerých indikátorov zníženia hodnoty majetku možno predpokladať, že došlo k zníženiu hodnoty majetku oproti jeho oceneniu v účtovníctve, vypočíta zníženie hodnoty majetku na základe odhadov projektovaných čistých diskontovaných peňažných tokov, ktoré sa očakávajú z daného majetku, vrátane jeho prípadného predaja. Odhadované zníženie hodnoty by sa mohlo preukázať ako nedostatočné, ak by analýzy nadhodnotili peňažné toky alebo ak sa zmenia podmienky v budúcnosti. </w:t>
      </w:r>
    </w:p>
    <w:p w:rsidR="0011546A" w:rsidRDefault="0011546A" w:rsidP="00D03709">
      <w:pPr>
        <w:pStyle w:val="Bezriadkovania"/>
        <w:ind w:left="426"/>
        <w:jc w:val="both"/>
        <w:rPr>
          <w:rFonts w:ascii="Times New Roman" w:hAnsi="Times New Roman" w:cs="Times New Roman"/>
          <w:sz w:val="18"/>
          <w:szCs w:val="18"/>
        </w:rPr>
      </w:pPr>
    </w:p>
    <w:p w:rsidR="00D03709" w:rsidRDefault="00D03709" w:rsidP="00251BF2">
      <w:pPr>
        <w:pStyle w:val="Pismenka"/>
        <w:numPr>
          <w:ilvl w:val="0"/>
          <w:numId w:val="0"/>
        </w:numPr>
      </w:pPr>
    </w:p>
    <w:p w:rsidR="004D3B4A" w:rsidRPr="000F038C" w:rsidRDefault="004D3B4A" w:rsidP="00251BF2">
      <w:pPr>
        <w:pStyle w:val="Pismenka"/>
        <w:tabs>
          <w:tab w:val="clear" w:pos="426"/>
        </w:tabs>
        <w:ind w:left="426"/>
      </w:pPr>
      <w:r w:rsidRPr="000F038C">
        <w:t>Cenné papiere a podiely</w:t>
      </w:r>
    </w:p>
    <w:p w:rsidR="004D3B4A" w:rsidRPr="000F038C" w:rsidRDefault="00F4619A" w:rsidP="004D3B4A">
      <w:pPr>
        <w:pStyle w:val="Zkladntext"/>
      </w:pPr>
      <w:r>
        <w:t xml:space="preserve">Cenné papiere a podiely (okrem cenných papierov na obchodovanie) sa oceňujú obstarávacími cenami vrátane nákladov súvisiacich s obstaraním. Od obstarávacej ceny je odpočítané zníženie hodnoty cenných papierov a podielov. </w:t>
      </w:r>
    </w:p>
    <w:p w:rsidR="003A6371" w:rsidRPr="000F038C" w:rsidRDefault="003A6371" w:rsidP="004D3B4A">
      <w:pPr>
        <w:pStyle w:val="Zkladntext"/>
      </w:pPr>
    </w:p>
    <w:p w:rsidR="00BC2432" w:rsidRDefault="00F4619A" w:rsidP="004D3B4A">
      <w:pPr>
        <w:pStyle w:val="Zkladntext"/>
      </w:pPr>
      <w:r>
        <w:t>Cenné papiere na obchodovanie sa pri ich obstaraní oceňujú reálnou hodnotou.</w:t>
      </w:r>
    </w:p>
    <w:p w:rsidR="003A6371" w:rsidRDefault="003A6371" w:rsidP="004D3B4A">
      <w:pPr>
        <w:pStyle w:val="Zkladntext"/>
      </w:pPr>
    </w:p>
    <w:p w:rsidR="004D3B4A" w:rsidRDefault="004D3B4A" w:rsidP="004D3B4A">
      <w:pPr>
        <w:pStyle w:val="Zkladntext"/>
      </w:pPr>
    </w:p>
    <w:p w:rsidR="004D3B4A" w:rsidRDefault="004D3B4A" w:rsidP="00251BF2">
      <w:pPr>
        <w:pStyle w:val="Pismenka"/>
        <w:tabs>
          <w:tab w:val="clear" w:pos="426"/>
        </w:tabs>
        <w:ind w:left="426"/>
      </w:pPr>
      <w:r>
        <w:lastRenderedPageBreak/>
        <w:t xml:space="preserve">Zásoby </w:t>
      </w:r>
    </w:p>
    <w:p w:rsidR="004D3B4A" w:rsidRDefault="004D3B4A" w:rsidP="004D3B4A">
      <w:pPr>
        <w:pStyle w:val="Zkladntext"/>
      </w:pPr>
      <w:r>
        <w:t>Zásoby sa oceňujú nižšou z nasledujúcich hodnôt: obstarávacou cenou (nakupované zásoby) alebo vlastnými nákladmi (zásoby vytvorené vlastnou činnosťou) alebo čistou realizačnou hodnotou.</w:t>
      </w:r>
    </w:p>
    <w:p w:rsidR="00D566E2" w:rsidRDefault="00D566E2" w:rsidP="004D3B4A">
      <w:pPr>
        <w:pStyle w:val="Zkladntext"/>
      </w:pPr>
    </w:p>
    <w:p w:rsidR="004D3B4A" w:rsidRDefault="004D3B4A" w:rsidP="004D3B4A">
      <w:pPr>
        <w:pStyle w:val="Zkladntext"/>
      </w:pPr>
      <w:r>
        <w:t>Obstarávacia cena zahŕňa cenu zásob a náklady súvisiace s obstaraním (clo, prepravu, poistné, provízie, skonto a pod.). Úroky z cudzích zdrojov nie sú súčasťou obstarávacej ceny. Nakupované zásoby sa oceňujú váženým aritmetickým priemerom z obstarávacích cien.</w:t>
      </w:r>
    </w:p>
    <w:p w:rsidR="004D3B4A" w:rsidRDefault="004D3B4A" w:rsidP="004D3B4A">
      <w:pPr>
        <w:pStyle w:val="Zkladntext"/>
      </w:pPr>
    </w:p>
    <w:p w:rsidR="004D3B4A" w:rsidRDefault="004D3B4A" w:rsidP="004D3B4A">
      <w:pPr>
        <w:pStyle w:val="Zkladntext"/>
      </w:pPr>
      <w:r>
        <w:t>Vlastné náklady zahŕňajú priame náklady (priamy materiál, priame mzdy a ostatné priame náklady) a časť nepriamych nákladov bezprostredne súvisiacich s vytvorením zásob vlastnou činnosťou (výrobná réžia). Výrobná réžia sa do vlastných nákladov zahŕňa v závislosti od stupňa rozpracovanosti týchto zásob. Správna réžia a odbytové náklady nie sú súčasťou vlastných nákladov. Súčasťou vlastných nákladov nie sú úroky z cudzích zdrojov.</w:t>
      </w:r>
    </w:p>
    <w:p w:rsidR="004D3B4A" w:rsidRDefault="004D3B4A" w:rsidP="004D3B4A">
      <w:pPr>
        <w:pStyle w:val="Zkladntext"/>
      </w:pPr>
    </w:p>
    <w:p w:rsidR="004D3B4A" w:rsidRDefault="004D3B4A" w:rsidP="004D3B4A">
      <w:pPr>
        <w:pStyle w:val="Zkladntext"/>
      </w:pPr>
      <w:r>
        <w:t xml:space="preserve">Čistá realizačná hodnota je predpokladaná predajná cena znížená o predpokladané náklady na ich dokončenie a o predpokladané náklady súvisiace s ich predajom.  </w:t>
      </w:r>
    </w:p>
    <w:p w:rsidR="004D3B4A" w:rsidRDefault="004D3B4A" w:rsidP="004D3B4A">
      <w:pPr>
        <w:pStyle w:val="Zkladntext"/>
      </w:pPr>
    </w:p>
    <w:p w:rsidR="004D3B4A" w:rsidRDefault="004D3B4A" w:rsidP="004D3B4A">
      <w:pPr>
        <w:pStyle w:val="Zkladntext"/>
      </w:pPr>
      <w:r>
        <w:t xml:space="preserve">Zníženie hodnoty zásob sa </w:t>
      </w:r>
      <w:r w:rsidR="00E5113F">
        <w:t xml:space="preserve">zohľadňuje </w:t>
      </w:r>
      <w:r>
        <w:t>vytvorením opravnej položky.</w:t>
      </w:r>
    </w:p>
    <w:p w:rsidR="00D4557E" w:rsidRDefault="00D4557E" w:rsidP="004D3B4A">
      <w:pPr>
        <w:pStyle w:val="Zkladntext"/>
      </w:pPr>
    </w:p>
    <w:p w:rsidR="004D3B4A" w:rsidRDefault="004D3B4A" w:rsidP="00251BF2">
      <w:pPr>
        <w:pStyle w:val="Pismenka"/>
        <w:tabs>
          <w:tab w:val="clear" w:pos="426"/>
        </w:tabs>
        <w:ind w:left="426"/>
      </w:pPr>
      <w:r>
        <w:t>Zákazková výroba</w:t>
      </w:r>
    </w:p>
    <w:p w:rsidR="004D3B4A" w:rsidRDefault="004D3B4A" w:rsidP="004D3B4A">
      <w:pPr>
        <w:pStyle w:val="Zkladntext"/>
      </w:pPr>
      <w:r>
        <w:t>Zákazková výroba sa vykazuje použitím metódy stupňa dokončenia zákazky (angl. percentage-of-completion-method).</w:t>
      </w:r>
    </w:p>
    <w:p w:rsidR="004D3B4A" w:rsidRDefault="004D3B4A" w:rsidP="00251BF2">
      <w:pPr>
        <w:pStyle w:val="Pismenka"/>
        <w:numPr>
          <w:ilvl w:val="0"/>
          <w:numId w:val="0"/>
        </w:numPr>
        <w:rPr>
          <w:b w:val="0"/>
        </w:rPr>
      </w:pPr>
    </w:p>
    <w:p w:rsidR="004D3B4A" w:rsidRDefault="004D3B4A" w:rsidP="00251BF2">
      <w:pPr>
        <w:pStyle w:val="Pismenka"/>
        <w:tabs>
          <w:tab w:val="clear" w:pos="426"/>
        </w:tabs>
        <w:ind w:left="426"/>
      </w:pPr>
      <w:r>
        <w:t>Zákazková výstavba nehnuteľnost</w:t>
      </w:r>
      <w:r w:rsidR="00777324">
        <w:t>i</w:t>
      </w:r>
    </w:p>
    <w:p w:rsidR="00777324" w:rsidRDefault="00777324" w:rsidP="004D3B4A">
      <w:pPr>
        <w:pStyle w:val="Zkladntext"/>
      </w:pPr>
    </w:p>
    <w:p w:rsidR="00777324" w:rsidRPr="00FE2CC6" w:rsidRDefault="00A9048F" w:rsidP="004D3B4A">
      <w:pPr>
        <w:pStyle w:val="Zkladntext"/>
        <w:rPr>
          <w:b/>
          <w:i/>
        </w:rPr>
      </w:pPr>
      <w:r w:rsidRPr="00A9048F">
        <w:rPr>
          <w:b/>
          <w:i/>
        </w:rPr>
        <w:t>Zákazková výstavba nehnuteľnosti – priebežný transfer</w:t>
      </w:r>
    </w:p>
    <w:p w:rsidR="004D3B4A" w:rsidRDefault="00777324" w:rsidP="004D3B4A">
      <w:pPr>
        <w:pStyle w:val="Zkladntext"/>
      </w:pPr>
      <w:r>
        <w:t>Zákazková</w:t>
      </w:r>
      <w:r w:rsidR="004D3B4A">
        <w:t xml:space="preserve"> výstavb</w:t>
      </w:r>
      <w:r>
        <w:t>a</w:t>
      </w:r>
      <w:r w:rsidR="004D3B4A">
        <w:t xml:space="preserve"> nehnuteľnosti určen</w:t>
      </w:r>
      <w:r>
        <w:t>ej</w:t>
      </w:r>
      <w:r w:rsidR="004D3B4A">
        <w:t xml:space="preserve"> na predaj sa</w:t>
      </w:r>
      <w:r>
        <w:t xml:space="preserve"> vykazuje</w:t>
      </w:r>
      <w:r w:rsidR="004D3B4A">
        <w:t xml:space="preserve"> podľa metódy stupňa dokončenia. </w:t>
      </w:r>
    </w:p>
    <w:p w:rsidR="00777324" w:rsidRDefault="00777324" w:rsidP="004D3B4A">
      <w:pPr>
        <w:pStyle w:val="Zkladntext"/>
      </w:pPr>
    </w:p>
    <w:p w:rsidR="00777324" w:rsidRPr="00423AFA" w:rsidRDefault="00A9048F" w:rsidP="00777324">
      <w:pPr>
        <w:pStyle w:val="Zkladntext"/>
        <w:rPr>
          <w:b/>
          <w:i/>
        </w:rPr>
      </w:pPr>
      <w:r w:rsidRPr="00A9048F">
        <w:rPr>
          <w:b/>
          <w:i/>
        </w:rPr>
        <w:t>Zákazková výstavba nehnuteľnosti – ostatn</w:t>
      </w:r>
      <w:r w:rsidR="00260C4C">
        <w:rPr>
          <w:b/>
          <w:i/>
        </w:rPr>
        <w:t>á</w:t>
      </w:r>
      <w:r w:rsidRPr="00A9048F">
        <w:rPr>
          <w:b/>
          <w:i/>
        </w:rPr>
        <w:t xml:space="preserve"> (nie priebežný transfer)</w:t>
      </w:r>
    </w:p>
    <w:p w:rsidR="00777324" w:rsidRPr="00777324" w:rsidRDefault="00777324" w:rsidP="004D3B4A">
      <w:pPr>
        <w:pStyle w:val="Zkladntext"/>
      </w:pPr>
      <w:r w:rsidRPr="00777324">
        <w:t>Zá</w:t>
      </w:r>
      <w:r w:rsidR="002F5513">
        <w:t>kazková výstavba nehnuteľnosti určenej na predaj – ostatn</w:t>
      </w:r>
      <w:r w:rsidR="00260C4C">
        <w:t>á</w:t>
      </w:r>
      <w:r w:rsidR="002F5513">
        <w:t xml:space="preserve"> (nie priebežný transfer</w:t>
      </w:r>
      <w:r w:rsidR="006D3D0B" w:rsidRPr="006D3D0B">
        <w:t xml:space="preserve">) sa vykazuje metódou tzv. nulového zisku, t.j. zisk sa vykáže </w:t>
      </w:r>
      <w:r w:rsidR="00E5113F">
        <w:t xml:space="preserve">až </w:t>
      </w:r>
      <w:r w:rsidR="006D3D0B" w:rsidRPr="006D3D0B">
        <w:t>pri predaji nehnuteľnosti.</w:t>
      </w:r>
    </w:p>
    <w:p w:rsidR="004D3B4A" w:rsidRPr="00423AFA" w:rsidRDefault="004D3B4A" w:rsidP="00251BF2">
      <w:pPr>
        <w:pStyle w:val="Pismenka"/>
        <w:numPr>
          <w:ilvl w:val="0"/>
          <w:numId w:val="0"/>
        </w:numPr>
        <w:rPr>
          <w:b w:val="0"/>
        </w:rPr>
      </w:pPr>
    </w:p>
    <w:p w:rsidR="004D3B4A" w:rsidRDefault="004D3B4A" w:rsidP="00251BF2">
      <w:pPr>
        <w:pStyle w:val="Pismenka"/>
        <w:tabs>
          <w:tab w:val="clear" w:pos="426"/>
        </w:tabs>
        <w:ind w:left="426"/>
      </w:pPr>
      <w:r>
        <w:t>Pohľadávky</w:t>
      </w:r>
    </w:p>
    <w:p w:rsidR="004D3B4A" w:rsidRDefault="004D3B4A" w:rsidP="004D3B4A">
      <w:pPr>
        <w:pStyle w:val="Zkladntext"/>
      </w:pPr>
      <w:r>
        <w:t>Pohľadávky pri ich vzniku sa oceňujú ich menovitou hodnotou; postúpené pohľadávky a pohľadávky nadobudnuté vkladom do základného imania sa oceňujú obstarávacou cenou vrátane nákladov súvisiacich s obstaraním. Toto ocenenie sa znižuje o pochybné a nevymožiteľné pohľadávky.</w:t>
      </w:r>
    </w:p>
    <w:p w:rsidR="004D3B4A" w:rsidRDefault="004D3B4A" w:rsidP="004D3B4A">
      <w:pPr>
        <w:pStyle w:val="Zkladntext"/>
      </w:pPr>
    </w:p>
    <w:p w:rsidR="004D3B4A" w:rsidRDefault="004D3B4A" w:rsidP="00251BF2">
      <w:pPr>
        <w:pStyle w:val="Pismenka"/>
        <w:tabs>
          <w:tab w:val="clear" w:pos="426"/>
        </w:tabs>
        <w:ind w:left="426"/>
      </w:pPr>
      <w:r>
        <w:t>Peňažné prostriedky a ceniny</w:t>
      </w:r>
    </w:p>
    <w:p w:rsidR="004D3B4A" w:rsidRDefault="004D3B4A" w:rsidP="004D3B4A">
      <w:pPr>
        <w:pStyle w:val="Zkladntext"/>
      </w:pPr>
      <w:r>
        <w:t>Peňažné prostriedky a ceniny sa oceňujú ich menovitou hodnotou. Zníženie ich hodnoty sa vyjadruje opravnou položkou.</w:t>
      </w:r>
    </w:p>
    <w:p w:rsidR="004D3B4A" w:rsidRDefault="004D3B4A" w:rsidP="004D3B4A">
      <w:pPr>
        <w:pStyle w:val="Zkladntext"/>
      </w:pPr>
    </w:p>
    <w:p w:rsidR="0011546A" w:rsidRDefault="0011546A" w:rsidP="004D3B4A">
      <w:pPr>
        <w:pStyle w:val="Zkladntext"/>
      </w:pPr>
    </w:p>
    <w:p w:rsidR="004D3B4A" w:rsidRDefault="004D3B4A" w:rsidP="00251BF2">
      <w:pPr>
        <w:pStyle w:val="Pismenka"/>
        <w:tabs>
          <w:tab w:val="clear" w:pos="426"/>
        </w:tabs>
        <w:ind w:left="426"/>
      </w:pPr>
      <w:r>
        <w:t>Náklady budúcich období a príjmy budúcich období</w:t>
      </w:r>
    </w:p>
    <w:p w:rsidR="004D3B4A" w:rsidRDefault="004D3B4A" w:rsidP="004D3B4A">
      <w:pPr>
        <w:pStyle w:val="Zkladntext"/>
      </w:pPr>
      <w:r>
        <w:t>Náklady budúcich období a príjmy budúcich období sa vykazujú vo výške, ktorá je potrebná na dodržanie zásady vecnej a časovej súvislosti s účtovným obdobím.</w:t>
      </w:r>
    </w:p>
    <w:p w:rsidR="004D3B4A" w:rsidRDefault="004D3B4A" w:rsidP="004D3B4A">
      <w:pPr>
        <w:pStyle w:val="Zkladntext"/>
      </w:pPr>
    </w:p>
    <w:p w:rsidR="004D3B4A" w:rsidRDefault="004D3B4A" w:rsidP="00251BF2">
      <w:pPr>
        <w:pStyle w:val="Pismenka"/>
        <w:tabs>
          <w:tab w:val="clear" w:pos="426"/>
        </w:tabs>
        <w:ind w:left="426"/>
      </w:pPr>
      <w:r>
        <w:t>Rezervy</w:t>
      </w:r>
    </w:p>
    <w:p w:rsidR="004D3B4A" w:rsidRDefault="004D3B4A" w:rsidP="004D3B4A">
      <w:pPr>
        <w:pStyle w:val="Zkladntext"/>
      </w:pPr>
      <w:r>
        <w:t>Rezervy sú záväzky s neurčitým časovým vymedzením alebo výškou; tvoria sa na krytie známych rizík alebo strát z podnikania. Oceňujú sa v očakávanej výške záväzku.</w:t>
      </w:r>
    </w:p>
    <w:p w:rsidR="0011546A" w:rsidRPr="0011546A" w:rsidRDefault="0011546A" w:rsidP="0011546A">
      <w:pPr>
        <w:pStyle w:val="Bezriadkovania"/>
        <w:ind w:left="426"/>
        <w:jc w:val="both"/>
        <w:rPr>
          <w:rFonts w:ascii="Times New Roman" w:hAnsi="Times New Roman" w:cs="Times New Roman"/>
          <w:sz w:val="18"/>
          <w:szCs w:val="18"/>
        </w:rPr>
      </w:pPr>
      <w:r w:rsidRPr="0011546A">
        <w:rPr>
          <w:rFonts w:ascii="Times New Roman" w:hAnsi="Times New Roman" w:cs="Times New Roman"/>
          <w:sz w:val="18"/>
          <w:szCs w:val="18"/>
        </w:rPr>
        <w:t>Rezerva je záväzok predstavujúci existujúcu povinnosť Spoločnosti, ktorá vznikla z minulých udalostí a je pravdepodobné, že v budúcnosti zníži jej ekonomické úžitky. Rezervy sú záväzky s neurčitým časovým vymedzením alebo výškou a oceňujú sa odhadom v sume potrebnej na splnenie existujúcej povinnosti ku dňu, ku ktorému sa zostavuje účtovná závierka.</w:t>
      </w:r>
    </w:p>
    <w:p w:rsidR="0011546A" w:rsidRPr="0011546A" w:rsidRDefault="0011546A" w:rsidP="0011546A">
      <w:pPr>
        <w:pStyle w:val="Bezriadkovania"/>
        <w:ind w:left="426"/>
        <w:jc w:val="both"/>
        <w:rPr>
          <w:rFonts w:ascii="Times New Roman" w:hAnsi="Times New Roman" w:cs="Times New Roman"/>
          <w:sz w:val="18"/>
          <w:szCs w:val="18"/>
        </w:rPr>
      </w:pPr>
      <w:r w:rsidRPr="0011546A">
        <w:rPr>
          <w:rFonts w:ascii="Times New Roman" w:hAnsi="Times New Roman" w:cs="Times New Roman"/>
          <w:sz w:val="18"/>
          <w:szCs w:val="18"/>
        </w:rPr>
        <w:t>Tvorba rezervy sa účtuje na vecne príslušný nákladový alebo majetkový účet, ku ktorému záväzok prislúcha. Použitie rezervy sa účtuje na ťarchu vecne príslušného účtu rezerv so súvzťažným zápisom v prospech vecne príslušného účtu záväzkov. Rozpustenie nepotrebnej rezervy alebo jej časti sa účtuje účtovným zápisom ako sa účtovala tvorba rezervy.</w:t>
      </w:r>
    </w:p>
    <w:p w:rsidR="0011546A" w:rsidRPr="0011546A" w:rsidRDefault="0011546A" w:rsidP="0011546A">
      <w:pPr>
        <w:pStyle w:val="Bezriadkovania"/>
        <w:ind w:left="426"/>
        <w:jc w:val="both"/>
        <w:rPr>
          <w:rFonts w:ascii="Times New Roman" w:hAnsi="Times New Roman" w:cs="Times New Roman"/>
          <w:sz w:val="18"/>
          <w:szCs w:val="18"/>
        </w:rPr>
      </w:pPr>
      <w:r w:rsidRPr="0011546A">
        <w:rPr>
          <w:rFonts w:ascii="Times New Roman" w:hAnsi="Times New Roman" w:cs="Times New Roman"/>
          <w:sz w:val="18"/>
          <w:szCs w:val="18"/>
        </w:rPr>
        <w:t>Tvorba rezervy na bonusy, rabaty, skontá a vrátenie kúpenej ceny pri reklamácii sa účtuje ako zníženie pôvodne dosiahnutých výnosov so súvzťažným zápisom v prospech účtu rezerv.</w:t>
      </w:r>
    </w:p>
    <w:p w:rsidR="0011546A" w:rsidRPr="0011546A" w:rsidRDefault="0011546A" w:rsidP="0011546A">
      <w:pPr>
        <w:pStyle w:val="Bezriadkovania"/>
        <w:ind w:left="426"/>
        <w:jc w:val="both"/>
        <w:rPr>
          <w:rFonts w:ascii="Times New Roman" w:hAnsi="Times New Roman" w:cs="Times New Roman"/>
          <w:b/>
          <w:sz w:val="18"/>
          <w:szCs w:val="18"/>
        </w:rPr>
      </w:pPr>
      <w:r w:rsidRPr="0011546A">
        <w:rPr>
          <w:rFonts w:ascii="Times New Roman" w:hAnsi="Times New Roman" w:cs="Times New Roman"/>
          <w:b/>
          <w:sz w:val="18"/>
          <w:szCs w:val="18"/>
        </w:rPr>
        <w:t>Nevyfakturované dodávky majetku</w:t>
      </w:r>
    </w:p>
    <w:p w:rsidR="0011546A" w:rsidRPr="0011546A" w:rsidRDefault="0011546A" w:rsidP="0011546A">
      <w:pPr>
        <w:pStyle w:val="Bezriadkovania"/>
        <w:ind w:left="426"/>
        <w:jc w:val="both"/>
        <w:rPr>
          <w:rFonts w:ascii="Times New Roman" w:hAnsi="Times New Roman" w:cs="Times New Roman"/>
          <w:sz w:val="18"/>
          <w:szCs w:val="18"/>
        </w:rPr>
      </w:pPr>
      <w:r w:rsidRPr="0011546A">
        <w:rPr>
          <w:rFonts w:ascii="Times New Roman" w:hAnsi="Times New Roman" w:cs="Times New Roman"/>
          <w:sz w:val="18"/>
          <w:szCs w:val="18"/>
        </w:rPr>
        <w:t>Rezervy na nevyfakturované dodávky majetku sa nevykazujú s vplyvom na výsledok hospodárenia a oceňujú sa v odhadovanej výške záväzku.</w:t>
      </w:r>
    </w:p>
    <w:p w:rsidR="004D3B4A" w:rsidRDefault="004D3B4A" w:rsidP="00251BF2">
      <w:pPr>
        <w:pStyle w:val="Pismenka"/>
        <w:numPr>
          <w:ilvl w:val="0"/>
          <w:numId w:val="0"/>
        </w:numPr>
        <w:ind w:left="360"/>
      </w:pPr>
    </w:p>
    <w:p w:rsidR="0011546A" w:rsidRDefault="0011546A" w:rsidP="00251BF2">
      <w:pPr>
        <w:pStyle w:val="Pismenka"/>
        <w:numPr>
          <w:ilvl w:val="0"/>
          <w:numId w:val="0"/>
        </w:numPr>
        <w:ind w:left="360"/>
      </w:pPr>
    </w:p>
    <w:p w:rsidR="004D3B4A" w:rsidRDefault="004D3B4A" w:rsidP="00251BF2">
      <w:pPr>
        <w:pStyle w:val="Pismenka"/>
        <w:tabs>
          <w:tab w:val="clear" w:pos="426"/>
        </w:tabs>
        <w:ind w:left="426"/>
      </w:pPr>
      <w:r>
        <w:t>Záväzky</w:t>
      </w:r>
    </w:p>
    <w:p w:rsidR="004D3B4A" w:rsidRDefault="004D3B4A" w:rsidP="004D3B4A">
      <w:pPr>
        <w:pStyle w:val="Zkladntext"/>
        <w:rPr>
          <w:sz w:val="24"/>
        </w:rPr>
      </w:pPr>
      <w:r>
        <w:t xml:space="preserve">Záväzky pri ich vzniku sa oceňujú menovitou hodnotou. Záväzky pri ich prevzatí sa oceňujú obstarávacou cenou. Ak sa pri inventarizácii zistí, že suma záväzkov je iná ako ich výška v účtovníctve, uvedú sa záväzky v účtovníctve a v účtovnej závierke v tomto zistenom ocenení. </w:t>
      </w:r>
    </w:p>
    <w:p w:rsidR="004D3B4A" w:rsidRDefault="004D3B4A" w:rsidP="00251BF2">
      <w:pPr>
        <w:pStyle w:val="Pismenka"/>
        <w:numPr>
          <w:ilvl w:val="0"/>
          <w:numId w:val="0"/>
        </w:numPr>
        <w:ind w:left="360"/>
      </w:pPr>
    </w:p>
    <w:p w:rsidR="00BC2432" w:rsidRDefault="00BC2432" w:rsidP="00251BF2">
      <w:pPr>
        <w:pStyle w:val="Pismenka"/>
        <w:numPr>
          <w:ilvl w:val="0"/>
          <w:numId w:val="0"/>
        </w:numPr>
        <w:ind w:left="360"/>
      </w:pPr>
    </w:p>
    <w:p w:rsidR="004D3B4A" w:rsidRDefault="004D3B4A" w:rsidP="00251BF2">
      <w:pPr>
        <w:pStyle w:val="Pismenka"/>
        <w:tabs>
          <w:tab w:val="clear" w:pos="426"/>
        </w:tabs>
        <w:ind w:left="426"/>
      </w:pPr>
      <w:r>
        <w:lastRenderedPageBreak/>
        <w:t>Odložené dane</w:t>
      </w:r>
    </w:p>
    <w:p w:rsidR="004D3B4A" w:rsidRDefault="004D3B4A" w:rsidP="004D3B4A">
      <w:pPr>
        <w:pStyle w:val="Zkladntext"/>
      </w:pPr>
      <w:r>
        <w:t xml:space="preserve">Odložené dane (odložená daňová pohľadávka a odložený daňový záväzok) sa vzťahujú na: </w:t>
      </w:r>
    </w:p>
    <w:p w:rsidR="004D3B4A" w:rsidRDefault="004D3B4A" w:rsidP="004D3B4A">
      <w:pPr>
        <w:pStyle w:val="Zkladntext"/>
        <w:numPr>
          <w:ilvl w:val="0"/>
          <w:numId w:val="8"/>
        </w:numPr>
      </w:pPr>
      <w:r>
        <w:t>dočasné rozdiely medzi účtovnou hodnotou majetku a účtovnou hodnotou záväzkov vykázanou v súvahe a ich daňovou základňou,</w:t>
      </w:r>
    </w:p>
    <w:p w:rsidR="004D3B4A" w:rsidRDefault="004D3B4A" w:rsidP="004D3B4A">
      <w:pPr>
        <w:pStyle w:val="Zkladntext"/>
        <w:numPr>
          <w:ilvl w:val="0"/>
          <w:numId w:val="8"/>
        </w:numPr>
      </w:pPr>
      <w:r>
        <w:t>možnosť umorovať daňovú stratu v budúcnosti, ktorou sa rozumie možnosť odpočítať daňovú stratu od základu dane v budúcnosti,</w:t>
      </w:r>
    </w:p>
    <w:p w:rsidR="004D3B4A" w:rsidRDefault="004D3B4A" w:rsidP="004D3B4A">
      <w:pPr>
        <w:pStyle w:val="Zkladntext"/>
        <w:numPr>
          <w:ilvl w:val="0"/>
          <w:numId w:val="8"/>
        </w:numPr>
      </w:pPr>
      <w:r>
        <w:t>možnosť previesť nevyužité daňové odpočty a iné daňové nároky do budúcich období.</w:t>
      </w:r>
    </w:p>
    <w:p w:rsidR="004D3B4A" w:rsidRDefault="004D3B4A" w:rsidP="004D3B4A">
      <w:pPr>
        <w:pStyle w:val="Zkladntext"/>
      </w:pPr>
    </w:p>
    <w:p w:rsidR="0011546A" w:rsidRPr="0011546A" w:rsidRDefault="0011546A" w:rsidP="0011546A">
      <w:pPr>
        <w:pStyle w:val="Bezriadkovania"/>
        <w:ind w:left="426"/>
        <w:jc w:val="both"/>
        <w:rPr>
          <w:rFonts w:ascii="Times New Roman" w:hAnsi="Times New Roman" w:cs="Times New Roman"/>
          <w:sz w:val="18"/>
          <w:szCs w:val="18"/>
        </w:rPr>
      </w:pPr>
      <w:r w:rsidRPr="0011546A">
        <w:rPr>
          <w:rFonts w:ascii="Times New Roman" w:hAnsi="Times New Roman" w:cs="Times New Roman"/>
          <w:sz w:val="18"/>
          <w:szCs w:val="18"/>
        </w:rPr>
        <w:t>Odložená daňová pohľadávka ani odložený daňový záväzok sa neúčtuje pri:</w:t>
      </w:r>
    </w:p>
    <w:p w:rsidR="0011546A" w:rsidRPr="0011546A" w:rsidRDefault="0011546A" w:rsidP="0011546A">
      <w:pPr>
        <w:pStyle w:val="Bezriadkovania"/>
        <w:numPr>
          <w:ilvl w:val="0"/>
          <w:numId w:val="57"/>
        </w:numPr>
        <w:ind w:left="426" w:firstLine="0"/>
        <w:jc w:val="both"/>
        <w:rPr>
          <w:rFonts w:ascii="Times New Roman" w:hAnsi="Times New Roman" w:cs="Times New Roman"/>
          <w:sz w:val="18"/>
          <w:szCs w:val="18"/>
        </w:rPr>
      </w:pPr>
      <w:r w:rsidRPr="0011546A">
        <w:rPr>
          <w:rFonts w:ascii="Times New Roman" w:hAnsi="Times New Roman" w:cs="Times New Roman"/>
          <w:sz w:val="18"/>
          <w:szCs w:val="18"/>
        </w:rPr>
        <w:t>Dočasných rozdieloch pri prvotnom zaúčtovaní majetku alebo záväzku v účtovníctve, ak v čase prvotného zaúčtovania nemá tento účtovný prípad vplyv ani na výsledok hospodárenia ani na základe dane a zároveň nejde o kombináciu podnikov,</w:t>
      </w:r>
    </w:p>
    <w:p w:rsidR="0011546A" w:rsidRPr="0011546A" w:rsidRDefault="0011546A" w:rsidP="0011546A">
      <w:pPr>
        <w:pStyle w:val="Bezriadkovania"/>
        <w:numPr>
          <w:ilvl w:val="0"/>
          <w:numId w:val="57"/>
        </w:numPr>
        <w:ind w:left="426" w:firstLine="0"/>
        <w:jc w:val="both"/>
        <w:rPr>
          <w:rFonts w:ascii="Times New Roman" w:hAnsi="Times New Roman" w:cs="Times New Roman"/>
          <w:sz w:val="18"/>
          <w:szCs w:val="18"/>
        </w:rPr>
      </w:pPr>
      <w:r w:rsidRPr="0011546A">
        <w:rPr>
          <w:rFonts w:ascii="Times New Roman" w:hAnsi="Times New Roman" w:cs="Times New Roman"/>
          <w:sz w:val="18"/>
          <w:szCs w:val="18"/>
        </w:rPr>
        <w:t>Dočasných rozdieloch súvisiacich s podielmi v dcérskych, spoločných a pridružených účtovných jednotkách, ak Spoločnosť je schopná ovplyvniť vyrovnanie týchto dočasných rozdielov a je pravdepodobné, že tieto dočasné rozdiely nebudú vyrovnané v blízkej budúcnosti,</w:t>
      </w:r>
    </w:p>
    <w:p w:rsidR="0011546A" w:rsidRPr="0011546A" w:rsidRDefault="0011546A" w:rsidP="0011546A">
      <w:pPr>
        <w:pStyle w:val="Bezriadkovania"/>
        <w:numPr>
          <w:ilvl w:val="0"/>
          <w:numId w:val="57"/>
        </w:numPr>
        <w:ind w:left="426" w:firstLine="0"/>
        <w:jc w:val="both"/>
        <w:rPr>
          <w:rFonts w:ascii="Times New Roman" w:hAnsi="Times New Roman" w:cs="Times New Roman"/>
          <w:sz w:val="18"/>
          <w:szCs w:val="18"/>
        </w:rPr>
      </w:pPr>
      <w:r w:rsidRPr="0011546A">
        <w:rPr>
          <w:rFonts w:ascii="Times New Roman" w:hAnsi="Times New Roman" w:cs="Times New Roman"/>
          <w:sz w:val="18"/>
          <w:szCs w:val="18"/>
        </w:rPr>
        <w:t>Dočasných rozdieloch pri prvotnom zaúčtovaní goodwillu alebo záporného goodwillu.</w:t>
      </w:r>
    </w:p>
    <w:p w:rsidR="0011546A" w:rsidRPr="0011546A" w:rsidRDefault="0011546A" w:rsidP="0011546A">
      <w:pPr>
        <w:pStyle w:val="Bezriadkovania"/>
        <w:ind w:left="426"/>
        <w:jc w:val="both"/>
        <w:rPr>
          <w:rFonts w:ascii="Times New Roman" w:hAnsi="Times New Roman" w:cs="Times New Roman"/>
          <w:sz w:val="18"/>
          <w:szCs w:val="18"/>
        </w:rPr>
      </w:pPr>
      <w:r w:rsidRPr="0011546A">
        <w:rPr>
          <w:rFonts w:ascii="Times New Roman" w:hAnsi="Times New Roman" w:cs="Times New Roman"/>
          <w:sz w:val="18"/>
          <w:szCs w:val="18"/>
        </w:rPr>
        <w:t>O odloženej daňovej pohľadávke z odpočítateľných dočasných rozdielov, z nevyužitých daňových strát a nevyužitých daňových odpočtov a iných daňových nárokov sa účtuje len vtedy, ak je pravdepodobné, že budúci základe dane, voči ktorému ich bude možné využiť, je dosiahnuteľný. Odložená daňová pohľadávka sa preveruje ku každému dňu, ku ktorému sa zostavuje účtovná závierka a znižuje sa vo výške, v akej je nepravdepodobné, že základ dane z príjmov bude dosiahnutý. Pri výpočte odloženej dane sa použije sadzba dane z príjmov, o ktorej sa predpokladá, že bude platiť v čase vyrovnanie odloženej dane.</w:t>
      </w:r>
    </w:p>
    <w:p w:rsidR="0011546A" w:rsidRPr="0011546A" w:rsidRDefault="0011546A" w:rsidP="0011546A">
      <w:pPr>
        <w:pStyle w:val="Bezriadkovania"/>
        <w:ind w:left="426"/>
        <w:jc w:val="both"/>
        <w:rPr>
          <w:rFonts w:ascii="Times New Roman" w:hAnsi="Times New Roman" w:cs="Times New Roman"/>
          <w:sz w:val="18"/>
          <w:szCs w:val="18"/>
        </w:rPr>
      </w:pPr>
      <w:r w:rsidRPr="0011546A">
        <w:rPr>
          <w:rFonts w:ascii="Times New Roman" w:hAnsi="Times New Roman" w:cs="Times New Roman"/>
          <w:sz w:val="18"/>
          <w:szCs w:val="18"/>
        </w:rPr>
        <w:t>V súvahe sa odložená daňová pohľadávka a odložený daňový záväzok vykazujú samostatne. Ak sa vzťahujú na odloženú daň toho istého daňovníka a ide o ten istý daňový úrad, môže sa vykázať len výsledný zostatok účtu 481- odložený daňový záväzok a odložená daňová pohľadávka.</w:t>
      </w:r>
    </w:p>
    <w:p w:rsidR="0011546A" w:rsidRDefault="0011546A" w:rsidP="0011546A">
      <w:pPr>
        <w:pStyle w:val="Zkladntext"/>
        <w:ind w:left="0"/>
      </w:pPr>
    </w:p>
    <w:p w:rsidR="004D3B4A" w:rsidRDefault="004D3B4A" w:rsidP="00251BF2">
      <w:pPr>
        <w:pStyle w:val="Pismenka"/>
        <w:tabs>
          <w:tab w:val="clear" w:pos="426"/>
        </w:tabs>
        <w:ind w:left="426"/>
      </w:pPr>
      <w:r>
        <w:t>Výdavky budúcich období a výnosy budúcich období</w:t>
      </w:r>
    </w:p>
    <w:p w:rsidR="004D3B4A" w:rsidRDefault="004D3B4A" w:rsidP="004D3B4A">
      <w:pPr>
        <w:pStyle w:val="Zkladntext"/>
      </w:pPr>
      <w:r>
        <w:t>Výdavky budúcich období a výnosy budúcich období sa vykazujú vo výške, ktorá je potrebná na dodržanie zásady vecnej a časovej súvislosti s účtovným obdobím.</w:t>
      </w:r>
    </w:p>
    <w:p w:rsidR="004007CA" w:rsidRDefault="004007CA" w:rsidP="004D3B4A">
      <w:pPr>
        <w:pStyle w:val="Zkladntext"/>
      </w:pPr>
    </w:p>
    <w:p w:rsidR="004D3B4A" w:rsidRDefault="004D3B4A" w:rsidP="00251BF2">
      <w:pPr>
        <w:pStyle w:val="Pismenka"/>
        <w:tabs>
          <w:tab w:val="clear" w:pos="426"/>
        </w:tabs>
        <w:ind w:left="426"/>
      </w:pPr>
      <w:r>
        <w:t>Emisné kvóty</w:t>
      </w:r>
    </w:p>
    <w:p w:rsidR="004D3B4A" w:rsidRPr="00C24311" w:rsidRDefault="004D3B4A" w:rsidP="004D3B4A">
      <w:pPr>
        <w:pStyle w:val="Zkladntext"/>
      </w:pPr>
      <w:r w:rsidRPr="00C24311">
        <w:t xml:space="preserve">Bezodplatne pripísaný proporčný podiel emisných kvót v ocenení reprodukčnou obstarávacou cenou sa účtuje v prospech výnosov budúcich období. </w:t>
      </w:r>
    </w:p>
    <w:p w:rsidR="004D3B4A" w:rsidRPr="00C24311" w:rsidRDefault="004D3B4A" w:rsidP="004D3B4A">
      <w:pPr>
        <w:pStyle w:val="Zkladntext"/>
      </w:pPr>
    </w:p>
    <w:p w:rsidR="004D3B4A" w:rsidRDefault="004D3B4A" w:rsidP="004D3B4A">
      <w:pPr>
        <w:pStyle w:val="Zkladntext"/>
      </w:pPr>
      <w:r w:rsidRPr="00C24311">
        <w:t>Zúčtovanie výnosov budúcich období sa uskutočňuje v časovej a vecnej súvislosti s použitím bezodplatne pripísaných emisných kvót z dôvodu ich predaja alebo tvorby rezervy alebo splnenia povinnosti odovzdania emisných kvót.</w:t>
      </w:r>
    </w:p>
    <w:p w:rsidR="002724ED" w:rsidRDefault="002724ED" w:rsidP="004D3B4A">
      <w:pPr>
        <w:pStyle w:val="Zkladntext"/>
      </w:pPr>
    </w:p>
    <w:p w:rsidR="0011546A" w:rsidRPr="000F038C" w:rsidRDefault="00AE4AC7" w:rsidP="0011546A">
      <w:pPr>
        <w:pStyle w:val="Zkladntext"/>
      </w:pPr>
      <w:r w:rsidRPr="000F038C">
        <w:t>Nakúpené emisné kvóty sa oceňujú obstarávacou cenou.</w:t>
      </w:r>
    </w:p>
    <w:p w:rsidR="004D3B4A" w:rsidRPr="000F038C" w:rsidRDefault="004D3B4A" w:rsidP="004D3B4A">
      <w:pPr>
        <w:pStyle w:val="Zkladntext"/>
        <w:rPr>
          <w:szCs w:val="18"/>
        </w:rPr>
      </w:pPr>
    </w:p>
    <w:p w:rsidR="004D3B4A" w:rsidRPr="000F038C" w:rsidRDefault="004D3B4A" w:rsidP="00251BF2">
      <w:pPr>
        <w:pStyle w:val="Pismenka"/>
        <w:tabs>
          <w:tab w:val="clear" w:pos="426"/>
        </w:tabs>
        <w:ind w:left="426"/>
      </w:pPr>
      <w:r w:rsidRPr="000F038C">
        <w:t>Dotácie zo štátneho rozpočtu</w:t>
      </w:r>
    </w:p>
    <w:p w:rsidR="004D3B4A" w:rsidRPr="000F038C" w:rsidRDefault="00F4619A" w:rsidP="004D3B4A">
      <w:pPr>
        <w:ind w:left="450"/>
        <w:jc w:val="both"/>
        <w:rPr>
          <w:sz w:val="18"/>
        </w:rPr>
      </w:pPr>
      <w:r>
        <w:rPr>
          <w:sz w:val="18"/>
        </w:rPr>
        <w:t>O nároku na dotácie zo štátneho rozpočtu sa účtuje, ak je takmer isté, že sa splnia všetky podmienky súvisiace s dotáciou a</w:t>
      </w:r>
      <w:r w:rsidR="000C17C3" w:rsidRPr="000C17C3">
        <w:rPr>
          <w:sz w:val="18"/>
        </w:rPr>
        <w:t> </w:t>
      </w:r>
      <w:r w:rsidR="00AE4AC7" w:rsidRPr="000F038C">
        <w:rPr>
          <w:sz w:val="18"/>
        </w:rPr>
        <w:t>súčasne</w:t>
      </w:r>
      <w:r w:rsidR="000C17C3" w:rsidRPr="000C17C3">
        <w:rPr>
          <w:sz w:val="18"/>
        </w:rPr>
        <w:t>,</w:t>
      </w:r>
      <w:r w:rsidR="00AE4AC7" w:rsidRPr="000F038C">
        <w:rPr>
          <w:sz w:val="18"/>
        </w:rPr>
        <w:t xml:space="preserve"> že sa dotácia poskytne. </w:t>
      </w:r>
    </w:p>
    <w:p w:rsidR="004D3B4A" w:rsidRPr="000F038C" w:rsidRDefault="004D3B4A" w:rsidP="004D3B4A">
      <w:pPr>
        <w:ind w:left="450"/>
        <w:jc w:val="both"/>
        <w:rPr>
          <w:sz w:val="18"/>
        </w:rPr>
      </w:pPr>
    </w:p>
    <w:p w:rsidR="004D3B4A" w:rsidRPr="000F038C" w:rsidRDefault="00F4619A" w:rsidP="004D3B4A">
      <w:pPr>
        <w:ind w:left="450"/>
        <w:jc w:val="both"/>
        <w:rPr>
          <w:sz w:val="18"/>
        </w:rPr>
      </w:pPr>
      <w:r>
        <w:rPr>
          <w:sz w:val="18"/>
        </w:rPr>
        <w:t>Dotácie na hospodársku činnosť Spoločnosti sa najskôr vykazujú ako výnosy budúcich období a do výkazu ziskov a strát sa rozpúšťajú ako výnosy z hospodárskej činnosti v časovej a vecnej súvislosti s vynaložením nákladov na príslušný účel.</w:t>
      </w:r>
    </w:p>
    <w:p w:rsidR="004D3B4A" w:rsidRPr="000F038C" w:rsidRDefault="004D3B4A" w:rsidP="004D3B4A">
      <w:pPr>
        <w:ind w:left="450"/>
        <w:jc w:val="both"/>
        <w:rPr>
          <w:sz w:val="18"/>
        </w:rPr>
      </w:pPr>
    </w:p>
    <w:p w:rsidR="004D3B4A" w:rsidRPr="00E92175" w:rsidRDefault="00F4619A" w:rsidP="004D3B4A">
      <w:pPr>
        <w:ind w:left="450"/>
        <w:jc w:val="both"/>
        <w:rPr>
          <w:sz w:val="18"/>
        </w:rPr>
      </w:pPr>
      <w:r>
        <w:rPr>
          <w:sz w:val="18"/>
        </w:rPr>
        <w:t>Dotácie na obstaranie dlhodobého hmotného majetku a dlhodobého nehmotného majetku sa najskôr vykazujú ako výnosy budúcich období a do výkazu ziskov a strát sa rozpúšťajú v časovej a vecnej súvislosti so zaúčtovaním odpisov</w:t>
      </w:r>
      <w:r w:rsidR="00CF2FC7">
        <w:rPr>
          <w:sz w:val="18"/>
        </w:rPr>
        <w:br/>
      </w:r>
      <w:r w:rsidR="004D3B4A" w:rsidRPr="00E92175">
        <w:rPr>
          <w:sz w:val="18"/>
        </w:rPr>
        <w:t xml:space="preserve">z tohto dlhodobého majetku. </w:t>
      </w:r>
    </w:p>
    <w:p w:rsidR="00D4557E" w:rsidRDefault="00D4557E" w:rsidP="004D3B4A">
      <w:pPr>
        <w:pStyle w:val="Zkladntext"/>
        <w:rPr>
          <w:szCs w:val="18"/>
        </w:rPr>
      </w:pPr>
    </w:p>
    <w:p w:rsidR="004D3B4A" w:rsidRDefault="004D3B4A" w:rsidP="00251BF2">
      <w:pPr>
        <w:pStyle w:val="Pismenka"/>
        <w:tabs>
          <w:tab w:val="clear" w:pos="426"/>
        </w:tabs>
        <w:ind w:left="426"/>
      </w:pPr>
      <w:r>
        <w:t>Prenájom (lízing)</w:t>
      </w:r>
    </w:p>
    <w:p w:rsidR="004D3B4A" w:rsidRDefault="004D3B4A" w:rsidP="004D3B4A">
      <w:pPr>
        <w:pStyle w:val="Zkladntext"/>
      </w:pPr>
      <w:r>
        <w:t>Majetok prenajatý na základe operatívneho prenájmu vykazuje ako svoj majetok jeho vlastník, nie nájomca.</w:t>
      </w:r>
    </w:p>
    <w:p w:rsidR="00AB6B04" w:rsidRDefault="00AB6B04" w:rsidP="004D3B4A">
      <w:pPr>
        <w:pStyle w:val="Zkladntext"/>
      </w:pPr>
    </w:p>
    <w:p w:rsidR="00781875" w:rsidRDefault="004D3B4A" w:rsidP="004D3B4A">
      <w:pPr>
        <w:pStyle w:val="Zkladntext"/>
      </w:pPr>
      <w:r>
        <w:t xml:space="preserve">Finančný prenájom </w:t>
      </w:r>
      <w:r w:rsidR="00A61FB3">
        <w:t>je obstaranie dlhodobého hmotného majetku na základe nájomnej zmluvy s dojednaným právom kúpy prenajatej veci za dohodnuté platby počas dohodnutej doby nájmu.</w:t>
      </w:r>
      <w:r w:rsidR="00172D44" w:rsidRPr="002C6EEA">
        <w:t xml:space="preserve">Majetok prenajatý </w:t>
      </w:r>
      <w:r w:rsidR="00172D44">
        <w:t> formou finančného prenájmu vykazuje ako svoj majetok a odpisuje ho jeho nájomca, nie vlastník.</w:t>
      </w:r>
    </w:p>
    <w:p w:rsidR="00781875" w:rsidRDefault="00781875" w:rsidP="004D3B4A">
      <w:pPr>
        <w:pStyle w:val="Zkladntext"/>
      </w:pPr>
    </w:p>
    <w:p w:rsidR="00781875" w:rsidRDefault="00781875" w:rsidP="00781875">
      <w:pPr>
        <w:pStyle w:val="Zkladntext"/>
      </w:pPr>
      <w:r>
        <w:t>Prijatie majetku nájomcom sa v účtovníctve nájomcu účtuje v deň prijatia majetku na ťarchu príslušného účtu majetku so súvzťažným zápisom v prospech účtu 474 – Záväzky z nájmu vo výške dohodnutých platieb znížených o nerealizované finančné náklady.</w:t>
      </w:r>
    </w:p>
    <w:p w:rsidR="00781875" w:rsidRPr="001D5F78" w:rsidRDefault="00781875" w:rsidP="00781875">
      <w:pPr>
        <w:pStyle w:val="Zkladntext"/>
        <w:rPr>
          <w:szCs w:val="18"/>
        </w:rPr>
      </w:pPr>
    </w:p>
    <w:p w:rsidR="00A61FB3" w:rsidRPr="006957CC" w:rsidRDefault="006957CC" w:rsidP="004D3B4A">
      <w:pPr>
        <w:pStyle w:val="Zkladntext"/>
      </w:pPr>
      <w:r>
        <w:t>Súčasťou dohodnutých platieb je aj kúpna cena, za ktorú na konci dohodnutej doby finančného prenájmu prechádza vlastnícke právo k prenajatému majetku z prenajímateľa na nájomcu. Dohodnutá doba nájmu je najmenej 60</w:t>
      </w:r>
      <w:r w:rsidR="000C17C3" w:rsidRPr="000C17C3">
        <w:t>% dob</w:t>
      </w:r>
      <w:r>
        <w:t xml:space="preserve">y odpisovania podľa daňových predpisov, </w:t>
      </w:r>
      <w:r w:rsidR="00221F76">
        <w:t xml:space="preserve">minimálne však 3 roky. </w:t>
      </w:r>
      <w:r w:rsidR="00172D44">
        <w:t>Platba nájomného je alokovaná medzi splátku istiny a finančné náklady, vypočítané metódou efektívnej úrokovej miery. Finančné náklady sa účtujú na ťarchu účtu 562 – Úroky.</w:t>
      </w:r>
    </w:p>
    <w:p w:rsidR="00A61FB3" w:rsidRDefault="00A61FB3" w:rsidP="004D3B4A">
      <w:pPr>
        <w:pStyle w:val="Zkladntext"/>
      </w:pPr>
    </w:p>
    <w:p w:rsidR="004D3B4A" w:rsidRDefault="004D3B4A" w:rsidP="00251BF2">
      <w:pPr>
        <w:pStyle w:val="Pismenka"/>
        <w:tabs>
          <w:tab w:val="clear" w:pos="426"/>
        </w:tabs>
        <w:ind w:left="426"/>
      </w:pPr>
      <w:r>
        <w:t>Deriváty</w:t>
      </w:r>
    </w:p>
    <w:p w:rsidR="004D3B4A" w:rsidRDefault="004D3B4A" w:rsidP="004D3B4A">
      <w:pPr>
        <w:pStyle w:val="Zkladntext"/>
      </w:pPr>
      <w:r>
        <w:t>Deriváty sa oceňujú reálnou hodnotou.</w:t>
      </w:r>
    </w:p>
    <w:p w:rsidR="004D3B4A" w:rsidRPr="006201DD" w:rsidRDefault="004D3B4A" w:rsidP="004D3B4A">
      <w:pPr>
        <w:pStyle w:val="Zkladntext"/>
      </w:pPr>
    </w:p>
    <w:p w:rsidR="004D3B4A" w:rsidRDefault="004D3B4A" w:rsidP="004D3B4A">
      <w:pPr>
        <w:pStyle w:val="Zkladntext"/>
      </w:pPr>
      <w:r>
        <w:t>Zmeny reálnych hodnôt zabezpečovacích derivátov sa účtujú bez vplyvu na výsledok hospodárenia, priamo do vlastného imania.</w:t>
      </w:r>
    </w:p>
    <w:p w:rsidR="004D3B4A" w:rsidRPr="006201DD" w:rsidRDefault="004D3B4A" w:rsidP="004D3B4A">
      <w:pPr>
        <w:pStyle w:val="Zkladntext"/>
      </w:pPr>
    </w:p>
    <w:p w:rsidR="004D3B4A" w:rsidRDefault="004D3B4A" w:rsidP="004D3B4A">
      <w:pPr>
        <w:pStyle w:val="Zkladntext"/>
      </w:pPr>
      <w:r>
        <w:t>Zmeny reálnych hodnôt derivátov určených na obchodovanie na tuzemskej burze, zahraničnej burze alebo</w:t>
      </w:r>
      <w:r w:rsidR="00CF2FC7">
        <w:t xml:space="preserve"> na</w:t>
      </w:r>
      <w:r>
        <w:t xml:space="preserve"> inom verejnom trhu sa účtujú s vplyvom na výsledok hospodárenia.</w:t>
      </w:r>
    </w:p>
    <w:p w:rsidR="004D3B4A" w:rsidRPr="006201DD" w:rsidRDefault="004D3B4A" w:rsidP="004D3B4A">
      <w:pPr>
        <w:pStyle w:val="Zkladntext"/>
      </w:pPr>
    </w:p>
    <w:p w:rsidR="004D3B4A" w:rsidRDefault="004D3B4A" w:rsidP="004D3B4A">
      <w:pPr>
        <w:pStyle w:val="Zkladntext"/>
      </w:pPr>
      <w:r>
        <w:t>Zmeny reálnych hodnôt derivátov určených na obchodovanie na neverejnom trhu sa účtujú bez vplyvu na výsledok hospodárenia, priamo do vlastného imania.</w:t>
      </w:r>
    </w:p>
    <w:p w:rsidR="004D3B4A" w:rsidRPr="006201DD" w:rsidRDefault="004D3B4A" w:rsidP="004D3B4A">
      <w:pPr>
        <w:pStyle w:val="Zkladntext"/>
      </w:pPr>
    </w:p>
    <w:p w:rsidR="004D3B4A" w:rsidRDefault="004D3B4A" w:rsidP="00251BF2">
      <w:pPr>
        <w:pStyle w:val="Pismenka"/>
        <w:tabs>
          <w:tab w:val="clear" w:pos="426"/>
        </w:tabs>
        <w:ind w:left="426"/>
      </w:pPr>
      <w:r>
        <w:t>Majetok a záväzky zabezpečené derivátmi</w:t>
      </w:r>
    </w:p>
    <w:p w:rsidR="004D3B4A" w:rsidRDefault="004D3B4A" w:rsidP="004D3B4A">
      <w:pPr>
        <w:pStyle w:val="Zkladntext"/>
      </w:pPr>
      <w:r>
        <w:t xml:space="preserve">Majetok a záväzky zabezpečené derivátmi sa oceňujú reálnou hodnotou. Zmeny reálnych hodnôt majetku a záväzkov zabezpečených derivátmi sa účtujú bez vplyvu na výsledok hospodárenia, priamo do vlastného imania. </w:t>
      </w:r>
    </w:p>
    <w:p w:rsidR="004D3B4A" w:rsidRPr="001D5F78" w:rsidRDefault="004D3B4A" w:rsidP="004D3B4A">
      <w:pPr>
        <w:pStyle w:val="Zkladntext"/>
        <w:rPr>
          <w:szCs w:val="18"/>
        </w:rPr>
      </w:pPr>
    </w:p>
    <w:p w:rsidR="004D3B4A" w:rsidRDefault="004D3B4A" w:rsidP="00251BF2">
      <w:pPr>
        <w:pStyle w:val="Pismenka"/>
        <w:tabs>
          <w:tab w:val="clear" w:pos="426"/>
        </w:tabs>
        <w:ind w:left="426"/>
      </w:pPr>
      <w:r>
        <w:t>Cudzia mena</w:t>
      </w:r>
    </w:p>
    <w:p w:rsidR="004D3B4A" w:rsidRDefault="004D3B4A" w:rsidP="004D3B4A">
      <w:pPr>
        <w:pStyle w:val="Zkladntext"/>
      </w:pPr>
      <w:r w:rsidRPr="00194BFD">
        <w:t xml:space="preserve">Majetok a záväzky vyjadrené v cudzej mene sa ku dňu uskutočnenia účtovného prípadu </w:t>
      </w:r>
      <w:r>
        <w:t xml:space="preserve">prepočítavajú na menu euro referenčným výmenným </w:t>
      </w:r>
      <w:r w:rsidRPr="00194BFD">
        <w:t>kurzom</w:t>
      </w:r>
      <w:r>
        <w:t xml:space="preserve"> určeným a vyhláseným Európskou centrálnou bankou alebo Národnou bankou Slovenska v deň predchádzajúci dňu uskutočnenia účtovného prípadu. </w:t>
      </w:r>
    </w:p>
    <w:p w:rsidR="002724ED" w:rsidRDefault="002724ED" w:rsidP="004D3B4A">
      <w:pPr>
        <w:pStyle w:val="Zkladntext"/>
      </w:pPr>
    </w:p>
    <w:p w:rsidR="001E27A6" w:rsidRDefault="001E27A6" w:rsidP="004D3B4A">
      <w:pPr>
        <w:pStyle w:val="Zkladntext"/>
      </w:pPr>
      <w:r>
        <w:t>Na ocenenie prírastku cudzej meny nakúpenej za euro sa použije kurz, za ktorý bola táto cudzia mena nakúpená.</w:t>
      </w:r>
    </w:p>
    <w:p w:rsidR="001E27A6" w:rsidRDefault="001E27A6" w:rsidP="004D3B4A">
      <w:pPr>
        <w:pStyle w:val="Zkladntext"/>
      </w:pPr>
    </w:p>
    <w:p w:rsidR="001E27A6" w:rsidRDefault="001E27A6" w:rsidP="004D3B4A">
      <w:pPr>
        <w:pStyle w:val="Zkladntext"/>
      </w:pPr>
      <w:r>
        <w:t xml:space="preserve">Na úbytok rovnakej cudzej meny v hotovosti alebo z devízového účtu sa na prepočet cudzej meny na eurá použije </w:t>
      </w:r>
      <w:r w:rsidR="00B56595">
        <w:t xml:space="preserve">referenčný výmenný kurz určený a vyhlásený Európskou centrálnou bankou alebo Národnou bankou Slovenska v deň predchádzajúci dňu uskutočnenia účtovného prípadu. </w:t>
      </w:r>
    </w:p>
    <w:p w:rsidR="004D3B4A" w:rsidRDefault="004D3B4A" w:rsidP="004D3B4A">
      <w:pPr>
        <w:pStyle w:val="Zkladntext"/>
      </w:pPr>
    </w:p>
    <w:p w:rsidR="004D3B4A" w:rsidRDefault="004D3B4A" w:rsidP="004D3B4A">
      <w:pPr>
        <w:pStyle w:val="Zkladntext"/>
      </w:pPr>
      <w:r w:rsidRPr="00194BFD">
        <w:t>Majetok a záväzky vyjadrené v cudzej mene (</w:t>
      </w:r>
      <w:r>
        <w:t>okrem</w:t>
      </w:r>
      <w:r w:rsidRPr="00194BFD">
        <w:t xml:space="preserve"> prijatých a poskytnutých preddavkov) sa ku dňu, ku ktorému</w:t>
      </w:r>
      <w:r>
        <w:t xml:space="preserve"> sa</w:t>
      </w:r>
      <w:r w:rsidRPr="00194BFD">
        <w:t xml:space="preserve"> zostavuje účtovná závierka</w:t>
      </w:r>
      <w:r>
        <w:t>,</w:t>
      </w:r>
      <w:r w:rsidRPr="00194BFD">
        <w:t xml:space="preserve"> prepočítavajú na </w:t>
      </w:r>
      <w:r>
        <w:t xml:space="preserve">menu euro referenčným výmenným </w:t>
      </w:r>
      <w:r w:rsidRPr="00194BFD">
        <w:t xml:space="preserve">kurzom </w:t>
      </w:r>
      <w:r>
        <w:t>určeným a vyhláseným Európskou centrálnou bankou alebo Národnou bankou Slovenska v deň, ku ktorému sa zostavuje účtovná závierka,</w:t>
      </w:r>
      <w:r w:rsidRPr="00194BFD">
        <w:t xml:space="preserve"> a účtujú sa s vplyvom na výsledok hospodárenia. </w:t>
      </w:r>
    </w:p>
    <w:p w:rsidR="001E27A6" w:rsidRDefault="001E27A6" w:rsidP="004D3B4A">
      <w:pPr>
        <w:pStyle w:val="Zkladntext"/>
      </w:pPr>
    </w:p>
    <w:p w:rsidR="00E5113F" w:rsidRDefault="004D3B4A" w:rsidP="00E5113F">
      <w:pPr>
        <w:pStyle w:val="Zkladntext"/>
      </w:pPr>
      <w:r>
        <w:t xml:space="preserve">Prijaté a poskytnuté preddavky v cudzej mene prostredníctvom účtu vedeného v tejto cudzej mene sa prepočítavajú na menu euro referenčným výmenným kurzom určeným a vyhláseným Európskou centrálnou bankou alebo Národnou bankou Slovenska v deň predchádzajúci dňu uskutočnenia účtovného prípadu. </w:t>
      </w:r>
      <w:r w:rsidR="00E5113F">
        <w:t xml:space="preserve">Ku dňu, ku ktorému sa zostavuje účtovná závierka, sa už neprepočítavajú. </w:t>
      </w:r>
    </w:p>
    <w:p w:rsidR="006E554A" w:rsidRDefault="006E554A" w:rsidP="004D3B4A">
      <w:pPr>
        <w:pStyle w:val="Zkladntext"/>
      </w:pPr>
    </w:p>
    <w:p w:rsidR="00BB2336" w:rsidRDefault="004D3B4A" w:rsidP="004D3B4A">
      <w:pPr>
        <w:pStyle w:val="Zkladntext"/>
      </w:pPr>
      <w:r>
        <w:t>Prijaté a poskytnuté preddavky v cudzej mene na účet zriadený v eurách a z účtu zriadeného v eurách sa prepočítavajú na menu euro kurzom, za ktorý boli tieto hodnoty nakúpené alebo predané.</w:t>
      </w:r>
    </w:p>
    <w:p w:rsidR="00BB2336" w:rsidRDefault="00BB2336" w:rsidP="004D3B4A">
      <w:pPr>
        <w:pStyle w:val="Zkladntext"/>
      </w:pPr>
    </w:p>
    <w:p w:rsidR="004D3B4A" w:rsidRDefault="004D3B4A" w:rsidP="004D3B4A">
      <w:pPr>
        <w:pStyle w:val="Zkladntext"/>
      </w:pPr>
    </w:p>
    <w:p w:rsidR="004D3B4A" w:rsidRDefault="004D3B4A" w:rsidP="00251BF2">
      <w:pPr>
        <w:pStyle w:val="Pismenka"/>
        <w:tabs>
          <w:tab w:val="clear" w:pos="426"/>
        </w:tabs>
        <w:ind w:left="426"/>
      </w:pPr>
      <w:r>
        <w:t>Výnosy</w:t>
      </w:r>
    </w:p>
    <w:p w:rsidR="004D3B4A" w:rsidRDefault="004D3B4A" w:rsidP="004D3B4A">
      <w:pPr>
        <w:pStyle w:val="Zkladntext"/>
        <w:rPr>
          <w:sz w:val="16"/>
          <w:szCs w:val="16"/>
        </w:rPr>
      </w:pPr>
      <w:r>
        <w:t>Tržby za vlastné výkony a tovar neobsahujú daň z pridanej hodnoty. Sú tiež znížené o zľavy a zrážky (rabaty, bonusy, skontá, dobropisy a pod.), bez ohľadu na to, či zákazník mal vopred na zľavu nárok, alebo či ide o dodatočne uznanú zľavu.</w:t>
      </w:r>
    </w:p>
    <w:p w:rsidR="0011546A" w:rsidRPr="0011546A" w:rsidRDefault="0011546A" w:rsidP="0011546A">
      <w:pPr>
        <w:pStyle w:val="Bezriadkovania"/>
        <w:ind w:left="426"/>
        <w:jc w:val="both"/>
        <w:rPr>
          <w:rFonts w:ascii="Times New Roman" w:hAnsi="Times New Roman" w:cs="Times New Roman"/>
          <w:sz w:val="18"/>
          <w:szCs w:val="18"/>
        </w:rPr>
      </w:pPr>
      <w:bookmarkStart w:id="9" w:name="_Toc530739900"/>
      <w:r w:rsidRPr="0011546A">
        <w:rPr>
          <w:rFonts w:ascii="Times New Roman" w:hAnsi="Times New Roman" w:cs="Times New Roman"/>
          <w:sz w:val="18"/>
          <w:szCs w:val="18"/>
        </w:rPr>
        <w:t>Tržby z predaja výrobkov a tovaru sa vykazujú v deň splnenia dodávky podľa Obchodného zákonníka, podľa Incoterms alebo iných podmienok dohodnutých v zmluve.</w:t>
      </w:r>
    </w:p>
    <w:p w:rsidR="0011546A" w:rsidRPr="0011546A" w:rsidRDefault="0011546A" w:rsidP="0011546A">
      <w:pPr>
        <w:pStyle w:val="Bezriadkovania"/>
        <w:ind w:left="426"/>
        <w:jc w:val="both"/>
        <w:rPr>
          <w:rFonts w:ascii="Times New Roman" w:hAnsi="Times New Roman" w:cs="Times New Roman"/>
          <w:sz w:val="18"/>
          <w:szCs w:val="18"/>
        </w:rPr>
      </w:pPr>
      <w:r w:rsidRPr="0011546A">
        <w:rPr>
          <w:rFonts w:ascii="Times New Roman" w:hAnsi="Times New Roman" w:cs="Times New Roman"/>
          <w:sz w:val="18"/>
          <w:szCs w:val="18"/>
        </w:rPr>
        <w:t>Tržby z predaja služieb sa vykazujú v účtovnom období, v ktorom boli služby poskytnuté.</w:t>
      </w:r>
    </w:p>
    <w:p w:rsidR="0011546A" w:rsidRPr="0011546A" w:rsidRDefault="0011546A" w:rsidP="0011546A">
      <w:pPr>
        <w:pStyle w:val="Bezriadkovania"/>
        <w:ind w:left="426"/>
        <w:jc w:val="both"/>
        <w:rPr>
          <w:rFonts w:ascii="Times New Roman" w:hAnsi="Times New Roman" w:cs="Times New Roman"/>
          <w:sz w:val="18"/>
          <w:szCs w:val="18"/>
        </w:rPr>
      </w:pPr>
      <w:r w:rsidRPr="0011546A">
        <w:rPr>
          <w:rFonts w:ascii="Times New Roman" w:hAnsi="Times New Roman" w:cs="Times New Roman"/>
          <w:sz w:val="18"/>
          <w:szCs w:val="18"/>
        </w:rPr>
        <w:t>Výnosové úroky sa účtujú rovnomerne v účtovných obdobiach, ktorých sa vecne a časovo týkajú, na základe časového rozlíšenia metódou efektívnej úrokovej miery.</w:t>
      </w:r>
    </w:p>
    <w:p w:rsidR="0011546A" w:rsidRPr="0011546A" w:rsidRDefault="0011546A" w:rsidP="0011546A">
      <w:pPr>
        <w:pStyle w:val="Bezriadkovania"/>
        <w:ind w:left="426"/>
        <w:jc w:val="both"/>
        <w:rPr>
          <w:rFonts w:ascii="Times New Roman" w:hAnsi="Times New Roman" w:cs="Times New Roman"/>
          <w:sz w:val="18"/>
          <w:szCs w:val="18"/>
        </w:rPr>
      </w:pPr>
    </w:p>
    <w:p w:rsidR="0011546A" w:rsidRPr="0011546A" w:rsidRDefault="0011546A" w:rsidP="0011546A">
      <w:pPr>
        <w:pStyle w:val="Bezriadkovania"/>
        <w:ind w:left="426"/>
        <w:jc w:val="both"/>
        <w:rPr>
          <w:rFonts w:ascii="Times New Roman" w:hAnsi="Times New Roman" w:cs="Times New Roman"/>
          <w:sz w:val="18"/>
          <w:szCs w:val="18"/>
        </w:rPr>
      </w:pPr>
    </w:p>
    <w:p w:rsidR="0011546A" w:rsidRPr="0011546A" w:rsidRDefault="0011546A" w:rsidP="0011546A">
      <w:pPr>
        <w:pStyle w:val="Bezriadkovania"/>
        <w:ind w:left="426"/>
        <w:jc w:val="both"/>
        <w:rPr>
          <w:rFonts w:ascii="Times New Roman" w:hAnsi="Times New Roman" w:cs="Times New Roman"/>
          <w:sz w:val="18"/>
          <w:szCs w:val="18"/>
        </w:rPr>
      </w:pPr>
      <w:r w:rsidRPr="0011546A">
        <w:rPr>
          <w:rFonts w:ascii="Times New Roman" w:hAnsi="Times New Roman" w:cs="Times New Roman"/>
          <w:b/>
          <w:sz w:val="18"/>
          <w:szCs w:val="18"/>
        </w:rPr>
        <w:t>Zamestnanecké pôžitky</w:t>
      </w:r>
    </w:p>
    <w:p w:rsidR="0011546A" w:rsidRPr="0011546A" w:rsidRDefault="0011546A" w:rsidP="0011546A">
      <w:pPr>
        <w:pStyle w:val="Bezriadkovania"/>
        <w:ind w:left="426"/>
        <w:jc w:val="both"/>
        <w:rPr>
          <w:rFonts w:ascii="Times New Roman" w:hAnsi="Times New Roman" w:cs="Times New Roman"/>
          <w:sz w:val="18"/>
          <w:szCs w:val="18"/>
        </w:rPr>
      </w:pPr>
      <w:r w:rsidRPr="0011546A">
        <w:rPr>
          <w:rFonts w:ascii="Times New Roman" w:hAnsi="Times New Roman" w:cs="Times New Roman"/>
          <w:sz w:val="18"/>
          <w:szCs w:val="18"/>
        </w:rPr>
        <w:t>Platy, mzdy, príspevky do dôchodkových a poistných fondov, platená ročná dovolenka a platená zdravotná dovolenka, bonusy a ostatné nepeňažné pôžitky sa účtujú v účtovnom období, s ktorým vecne a časovo súvisia.</w:t>
      </w:r>
    </w:p>
    <w:p w:rsidR="0011546A" w:rsidRPr="0011546A" w:rsidRDefault="0011546A" w:rsidP="0011546A">
      <w:pPr>
        <w:pStyle w:val="Bezriadkovania"/>
        <w:ind w:left="426"/>
        <w:jc w:val="both"/>
        <w:rPr>
          <w:rFonts w:ascii="Times New Roman" w:hAnsi="Times New Roman" w:cs="Times New Roman"/>
          <w:sz w:val="18"/>
          <w:szCs w:val="18"/>
        </w:rPr>
      </w:pPr>
    </w:p>
    <w:p w:rsidR="0011546A" w:rsidRPr="0011546A" w:rsidRDefault="0011546A" w:rsidP="0011546A">
      <w:pPr>
        <w:pStyle w:val="Bezriadkovania"/>
        <w:ind w:left="426"/>
        <w:jc w:val="both"/>
        <w:rPr>
          <w:rFonts w:ascii="Times New Roman" w:hAnsi="Times New Roman" w:cs="Times New Roman"/>
          <w:sz w:val="18"/>
          <w:szCs w:val="18"/>
        </w:rPr>
      </w:pPr>
    </w:p>
    <w:p w:rsidR="0011546A" w:rsidRPr="0011546A" w:rsidRDefault="0011546A" w:rsidP="0011546A">
      <w:pPr>
        <w:pStyle w:val="Bezriadkovania"/>
        <w:ind w:left="426"/>
        <w:jc w:val="both"/>
        <w:rPr>
          <w:rFonts w:ascii="Times New Roman" w:hAnsi="Times New Roman" w:cs="Times New Roman"/>
          <w:sz w:val="18"/>
          <w:szCs w:val="18"/>
        </w:rPr>
      </w:pPr>
      <w:r w:rsidRPr="0011546A">
        <w:rPr>
          <w:rFonts w:ascii="Times New Roman" w:hAnsi="Times New Roman" w:cs="Times New Roman"/>
          <w:b/>
          <w:sz w:val="18"/>
          <w:szCs w:val="18"/>
        </w:rPr>
        <w:t>Zníženie hodnoty majetku a opravné položky</w:t>
      </w:r>
    </w:p>
    <w:p w:rsidR="00476D1F" w:rsidRDefault="0011546A" w:rsidP="0011546A">
      <w:pPr>
        <w:pStyle w:val="Bezriadkovania"/>
        <w:ind w:left="426"/>
        <w:jc w:val="both"/>
        <w:rPr>
          <w:rFonts w:ascii="Times New Roman" w:hAnsi="Times New Roman" w:cs="Times New Roman"/>
          <w:sz w:val="18"/>
          <w:szCs w:val="18"/>
        </w:rPr>
      </w:pPr>
      <w:r w:rsidRPr="0011546A">
        <w:rPr>
          <w:rFonts w:ascii="Times New Roman" w:hAnsi="Times New Roman" w:cs="Times New Roman"/>
          <w:sz w:val="18"/>
          <w:szCs w:val="18"/>
        </w:rPr>
        <w:t>Opravné položky sa tvoria na základe zásady opatrnosti, ak je opodstatnené predpokladať, že došlo k zníženiu hodnoty majetku oproti jeho oceneniu v účtovníctve. Opravná položka sa účtuje v sume opodstatneného predpokladu zníženia hodnoty majetku oproti jeho oceneniu v účtovníctve. Opravné položky sa zrušia alebo zmení sa ich výška, ak nastane zmena predpokladu zníženia hodnoty.</w:t>
      </w:r>
    </w:p>
    <w:p w:rsidR="00476D1F" w:rsidRDefault="00476D1F" w:rsidP="0011546A">
      <w:pPr>
        <w:pStyle w:val="Bezriadkovania"/>
        <w:ind w:left="426"/>
        <w:jc w:val="both"/>
        <w:rPr>
          <w:rFonts w:ascii="Times New Roman" w:hAnsi="Times New Roman" w:cs="Times New Roman"/>
          <w:sz w:val="18"/>
          <w:szCs w:val="18"/>
        </w:rPr>
      </w:pPr>
    </w:p>
    <w:p w:rsidR="00476D1F" w:rsidRDefault="00476D1F" w:rsidP="0011546A">
      <w:pPr>
        <w:pStyle w:val="Bezriadkovania"/>
        <w:ind w:left="426"/>
        <w:jc w:val="both"/>
        <w:rPr>
          <w:rFonts w:ascii="Times New Roman" w:hAnsi="Times New Roman" w:cs="Times New Roman"/>
          <w:sz w:val="18"/>
          <w:szCs w:val="18"/>
        </w:rPr>
      </w:pPr>
    </w:p>
    <w:p w:rsidR="00476D1F" w:rsidRDefault="00476D1F" w:rsidP="0011546A">
      <w:pPr>
        <w:pStyle w:val="Bezriadkovania"/>
        <w:ind w:left="426"/>
        <w:jc w:val="both"/>
        <w:rPr>
          <w:rFonts w:ascii="Times New Roman" w:hAnsi="Times New Roman" w:cs="Times New Roman"/>
          <w:sz w:val="18"/>
          <w:szCs w:val="18"/>
        </w:rPr>
      </w:pPr>
    </w:p>
    <w:p w:rsidR="0011546A" w:rsidRPr="0011546A" w:rsidRDefault="0011546A" w:rsidP="0011546A">
      <w:pPr>
        <w:pStyle w:val="Bezriadkovania"/>
        <w:ind w:left="426"/>
        <w:jc w:val="both"/>
        <w:rPr>
          <w:rFonts w:ascii="Times New Roman" w:hAnsi="Times New Roman" w:cs="Times New Roman"/>
          <w:b/>
          <w:i/>
          <w:sz w:val="18"/>
          <w:szCs w:val="18"/>
        </w:rPr>
      </w:pPr>
      <w:r w:rsidRPr="0011546A">
        <w:rPr>
          <w:rFonts w:ascii="Times New Roman" w:hAnsi="Times New Roman" w:cs="Times New Roman"/>
          <w:b/>
          <w:i/>
          <w:sz w:val="18"/>
          <w:szCs w:val="18"/>
        </w:rPr>
        <w:lastRenderedPageBreak/>
        <w:t>Zníženie hodnoty dlhodobého majetku a zásob</w:t>
      </w:r>
    </w:p>
    <w:p w:rsidR="0011546A" w:rsidRPr="0011546A" w:rsidRDefault="0011546A" w:rsidP="0011546A">
      <w:pPr>
        <w:pStyle w:val="Bezriadkovania"/>
        <w:ind w:left="426"/>
        <w:jc w:val="both"/>
        <w:rPr>
          <w:rFonts w:ascii="Times New Roman" w:hAnsi="Times New Roman" w:cs="Times New Roman"/>
          <w:sz w:val="18"/>
          <w:szCs w:val="18"/>
        </w:rPr>
      </w:pPr>
      <w:r w:rsidRPr="0011546A">
        <w:rPr>
          <w:rFonts w:ascii="Times New Roman" w:hAnsi="Times New Roman" w:cs="Times New Roman"/>
          <w:sz w:val="18"/>
          <w:szCs w:val="18"/>
        </w:rPr>
        <w:t>Ku každému dňu, ku ktorému sa zostavuje účtovná závierka, je účtovná hodnota majetku Spoločnosti, iného ako odloženej daňovej pohľadávky posudzovaná s cieľom zistiť, či existujú indikátory, že by mohlo dôjsť k zníženiu hodnoty majetku. Ak takéto indikátory existujú, potom sa odhadnú predpokladané budúce ekonomické úžitky z daného majetku.</w:t>
      </w:r>
    </w:p>
    <w:p w:rsidR="0011546A" w:rsidRPr="0011546A" w:rsidRDefault="0011546A" w:rsidP="0011546A">
      <w:pPr>
        <w:pStyle w:val="Bezriadkovania"/>
        <w:ind w:left="426"/>
        <w:jc w:val="both"/>
        <w:rPr>
          <w:rFonts w:ascii="Times New Roman" w:hAnsi="Times New Roman" w:cs="Times New Roman"/>
          <w:sz w:val="18"/>
          <w:szCs w:val="18"/>
        </w:rPr>
      </w:pPr>
      <w:r w:rsidRPr="0011546A">
        <w:rPr>
          <w:rFonts w:ascii="Times New Roman" w:hAnsi="Times New Roman" w:cs="Times New Roman"/>
          <w:sz w:val="18"/>
          <w:szCs w:val="18"/>
        </w:rPr>
        <w:t>Opravné položky vykázané v predchádzajúcich obdobiach sa prehodnocujú ku každému dňu, ku ktorému sa zostavuje účtovná závierka s cieľom zistiť, či existujú indikátory, ktoré by naznačovali, že došlo k zmene v predpoklade zníženia hodnoty majetku alebo tento predpoklad prestal existovať. Opravná položka sa zruší, ak došlo k zmene predpokladov použitých na určenie predpokladaných ekonomických úžitkov z daného majetku. Opravná položka sa zruší len v rozsahu, v akom účtovná hodnota majetku neprevýši tú účtovnú hodnotu, ktorá by bola stanovená po zohľadnení odpisov, ak by opravná položka nebola vykázaná.</w:t>
      </w:r>
    </w:p>
    <w:p w:rsidR="0011546A" w:rsidRPr="0011546A" w:rsidRDefault="0011546A" w:rsidP="0011546A">
      <w:pPr>
        <w:pStyle w:val="Bezriadkovania"/>
        <w:ind w:left="426"/>
        <w:jc w:val="both"/>
        <w:rPr>
          <w:rFonts w:ascii="Times New Roman" w:hAnsi="Times New Roman" w:cs="Times New Roman"/>
          <w:sz w:val="18"/>
          <w:szCs w:val="18"/>
        </w:rPr>
      </w:pPr>
    </w:p>
    <w:p w:rsidR="0011546A" w:rsidRPr="0011546A" w:rsidRDefault="0011546A" w:rsidP="0011546A">
      <w:pPr>
        <w:pStyle w:val="Bezriadkovania"/>
        <w:ind w:left="426"/>
        <w:jc w:val="both"/>
        <w:rPr>
          <w:rFonts w:ascii="Times New Roman" w:hAnsi="Times New Roman" w:cs="Times New Roman"/>
          <w:sz w:val="18"/>
          <w:szCs w:val="18"/>
        </w:rPr>
      </w:pPr>
      <w:r w:rsidRPr="0011546A">
        <w:rPr>
          <w:rFonts w:ascii="Times New Roman" w:hAnsi="Times New Roman" w:cs="Times New Roman"/>
          <w:sz w:val="18"/>
          <w:szCs w:val="18"/>
        </w:rPr>
        <w:t>Zásady posúdenia zníženia hodnoty dlhodobého majetku sú opísané aj v bode pri dlhodobom hmotnom majetku.</w:t>
      </w:r>
    </w:p>
    <w:p w:rsidR="0011546A" w:rsidRPr="0011546A" w:rsidRDefault="0011546A" w:rsidP="0011546A">
      <w:pPr>
        <w:pStyle w:val="Bezriadkovania"/>
        <w:ind w:left="426"/>
        <w:jc w:val="both"/>
        <w:rPr>
          <w:rFonts w:ascii="Times New Roman" w:hAnsi="Times New Roman" w:cs="Times New Roman"/>
          <w:sz w:val="18"/>
          <w:szCs w:val="18"/>
        </w:rPr>
      </w:pPr>
    </w:p>
    <w:p w:rsidR="0011546A" w:rsidRPr="0011546A" w:rsidRDefault="0011546A" w:rsidP="0011546A">
      <w:pPr>
        <w:pStyle w:val="Bezriadkovania"/>
        <w:ind w:left="426"/>
        <w:jc w:val="both"/>
        <w:rPr>
          <w:rFonts w:ascii="Times New Roman" w:hAnsi="Times New Roman" w:cs="Times New Roman"/>
          <w:b/>
          <w:i/>
          <w:sz w:val="18"/>
          <w:szCs w:val="18"/>
        </w:rPr>
      </w:pPr>
      <w:r w:rsidRPr="0011546A">
        <w:rPr>
          <w:rFonts w:ascii="Times New Roman" w:hAnsi="Times New Roman" w:cs="Times New Roman"/>
          <w:b/>
          <w:i/>
          <w:sz w:val="18"/>
          <w:szCs w:val="18"/>
        </w:rPr>
        <w:t>Zníženie hodnoty pohľadávok</w:t>
      </w:r>
    </w:p>
    <w:p w:rsidR="0011546A" w:rsidRPr="0011546A" w:rsidRDefault="0011546A" w:rsidP="0011546A">
      <w:pPr>
        <w:pStyle w:val="Bezriadkovania"/>
        <w:ind w:left="426"/>
        <w:jc w:val="both"/>
        <w:rPr>
          <w:rFonts w:ascii="Times New Roman" w:hAnsi="Times New Roman" w:cs="Times New Roman"/>
          <w:sz w:val="18"/>
          <w:szCs w:val="18"/>
        </w:rPr>
      </w:pPr>
      <w:r w:rsidRPr="0011546A">
        <w:rPr>
          <w:rFonts w:ascii="Times New Roman" w:hAnsi="Times New Roman" w:cs="Times New Roman"/>
          <w:sz w:val="18"/>
          <w:szCs w:val="18"/>
        </w:rPr>
        <w:t>Opravná položka k pohľadávkam sa účtuje, ak existuje predpoklad, že Spoločnosť nebude schopná zinkasovať všetky dlžné sumy v súlade s pôvodnými podmienkami fakturácie.</w:t>
      </w:r>
    </w:p>
    <w:p w:rsidR="0011546A" w:rsidRPr="0011546A" w:rsidRDefault="0011546A" w:rsidP="0011546A">
      <w:pPr>
        <w:pStyle w:val="Bezriadkovania"/>
        <w:ind w:left="426"/>
        <w:jc w:val="both"/>
        <w:rPr>
          <w:rFonts w:ascii="Times New Roman" w:hAnsi="Times New Roman" w:cs="Times New Roman"/>
          <w:sz w:val="18"/>
          <w:szCs w:val="18"/>
        </w:rPr>
      </w:pPr>
      <w:r w:rsidRPr="0011546A">
        <w:rPr>
          <w:rFonts w:ascii="Times New Roman" w:hAnsi="Times New Roman" w:cs="Times New Roman"/>
          <w:sz w:val="18"/>
          <w:szCs w:val="18"/>
        </w:rPr>
        <w:t>Spoločnosť stanovuje výšku opravnej položky aj na základe vekovej štruktúry pohľadávok.</w:t>
      </w:r>
    </w:p>
    <w:p w:rsidR="0011546A" w:rsidRDefault="0011546A" w:rsidP="0011546A">
      <w:pPr>
        <w:pStyle w:val="Bezriadkovania"/>
        <w:ind w:left="426"/>
        <w:jc w:val="both"/>
        <w:rPr>
          <w:rFonts w:ascii="Times New Roman" w:hAnsi="Times New Roman" w:cs="Times New Roman"/>
          <w:sz w:val="18"/>
          <w:szCs w:val="18"/>
        </w:rPr>
      </w:pPr>
      <w:r w:rsidRPr="0011546A">
        <w:rPr>
          <w:rFonts w:ascii="Times New Roman" w:hAnsi="Times New Roman" w:cs="Times New Roman"/>
          <w:sz w:val="18"/>
          <w:szCs w:val="18"/>
        </w:rPr>
        <w:t>Spoločnosť realizuje odpis pohľadávky, ak sa pohľadávka považuje za definitívne nevymožiteľnú.</w:t>
      </w:r>
    </w:p>
    <w:p w:rsidR="00AF55E6" w:rsidRPr="0011546A" w:rsidRDefault="00AF55E6" w:rsidP="0011546A">
      <w:pPr>
        <w:pStyle w:val="Bezriadkovania"/>
        <w:ind w:left="426"/>
        <w:jc w:val="both"/>
        <w:rPr>
          <w:rFonts w:ascii="Times New Roman" w:hAnsi="Times New Roman" w:cs="Times New Roman"/>
          <w:sz w:val="18"/>
          <w:szCs w:val="18"/>
        </w:rPr>
      </w:pPr>
    </w:p>
    <w:p w:rsidR="004D3B4A" w:rsidRDefault="004D3B4A" w:rsidP="004D3B4A">
      <w:pPr>
        <w:pStyle w:val="Nadpis1"/>
        <w:tabs>
          <w:tab w:val="clear" w:pos="450"/>
          <w:tab w:val="num" w:pos="360"/>
        </w:tabs>
        <w:spacing w:before="120" w:after="60"/>
        <w:ind w:left="360"/>
      </w:pPr>
      <w:r>
        <w:t xml:space="preserve">informácie </w:t>
      </w:r>
      <w:bookmarkEnd w:id="9"/>
      <w:r w:rsidR="000B5536">
        <w:t>KTORÉ vysvetľujú a dopĺňajú súvahu</w:t>
      </w:r>
      <w:r w:rsidR="00132E99">
        <w:t xml:space="preserve"> A vÝkaz ziskov a strát</w:t>
      </w:r>
    </w:p>
    <w:p w:rsidR="004D3B4A" w:rsidRPr="001D5F78" w:rsidRDefault="004D3B4A" w:rsidP="004D3B4A">
      <w:pPr>
        <w:pStyle w:val="Hlavika"/>
        <w:numPr>
          <w:ilvl w:val="12"/>
          <w:numId w:val="0"/>
        </w:numPr>
        <w:jc w:val="both"/>
        <w:rPr>
          <w:sz w:val="18"/>
          <w:szCs w:val="18"/>
        </w:rPr>
      </w:pPr>
    </w:p>
    <w:p w:rsidR="00A11A59" w:rsidRDefault="00A11A59" w:rsidP="00C02C96">
      <w:pPr>
        <w:pStyle w:val="Nadpis2"/>
        <w:numPr>
          <w:ilvl w:val="0"/>
          <w:numId w:val="25"/>
        </w:numPr>
        <w:tabs>
          <w:tab w:val="clear" w:pos="360"/>
          <w:tab w:val="num" w:pos="426"/>
        </w:tabs>
      </w:pPr>
      <w:bookmarkStart w:id="10" w:name="_Toc530739901"/>
      <w:r>
        <w:t>Charakteristika goodwillu alebo záporného goodwillu</w:t>
      </w:r>
    </w:p>
    <w:p w:rsidR="00A11A59" w:rsidRDefault="00A11A59" w:rsidP="00A11A59">
      <w:pPr>
        <w:ind w:left="360"/>
      </w:pPr>
    </w:p>
    <w:p w:rsidR="00A11A59" w:rsidRPr="00A11A59" w:rsidRDefault="00A11A59" w:rsidP="00A11A59">
      <w:pPr>
        <w:ind w:left="360"/>
        <w:rPr>
          <w:sz w:val="18"/>
          <w:szCs w:val="18"/>
        </w:rPr>
      </w:pPr>
      <w:r w:rsidRPr="00A11A59">
        <w:rPr>
          <w:sz w:val="18"/>
          <w:szCs w:val="18"/>
        </w:rPr>
        <w:t>Spoločnosť nemá náplň pre danú položku</w:t>
      </w:r>
    </w:p>
    <w:p w:rsidR="00A11A59" w:rsidRPr="00A11A59" w:rsidRDefault="00A11A59" w:rsidP="00A11A59">
      <w:pPr>
        <w:ind w:left="360"/>
      </w:pPr>
    </w:p>
    <w:p w:rsidR="004D3B4A" w:rsidRDefault="004D3B4A" w:rsidP="00C02C96">
      <w:pPr>
        <w:pStyle w:val="Nadpis2"/>
        <w:numPr>
          <w:ilvl w:val="0"/>
          <w:numId w:val="25"/>
        </w:numPr>
        <w:tabs>
          <w:tab w:val="clear" w:pos="360"/>
          <w:tab w:val="num" w:pos="426"/>
        </w:tabs>
      </w:pPr>
      <w:r>
        <w:t>Dlhodobý nehmotný majetok a dlhodobý hmotný majetok</w:t>
      </w:r>
      <w:bookmarkEnd w:id="10"/>
    </w:p>
    <w:p w:rsidR="004D3B4A" w:rsidRPr="001D5F78" w:rsidRDefault="004D3B4A" w:rsidP="004D3B4A">
      <w:pPr>
        <w:pStyle w:val="Zkladntext"/>
        <w:rPr>
          <w:szCs w:val="18"/>
        </w:rPr>
      </w:pPr>
    </w:p>
    <w:p w:rsidR="00190013" w:rsidRDefault="00190013" w:rsidP="004D3B4A">
      <w:pPr>
        <w:pStyle w:val="Zkladntext"/>
      </w:pPr>
    </w:p>
    <w:p w:rsidR="001139DB" w:rsidRDefault="001139DB" w:rsidP="001139DB">
      <w:pPr>
        <w:pStyle w:val="Zkladntext"/>
        <w:rPr>
          <w:szCs w:val="18"/>
        </w:rPr>
      </w:pPr>
      <w:r>
        <w:rPr>
          <w:szCs w:val="18"/>
        </w:rPr>
        <w:t>Hodnota dlhodobého nehmotného</w:t>
      </w:r>
      <w:r w:rsidR="00201219">
        <w:rPr>
          <w:szCs w:val="18"/>
        </w:rPr>
        <w:t xml:space="preserve"> a hmotného</w:t>
      </w:r>
      <w:r>
        <w:rPr>
          <w:szCs w:val="18"/>
        </w:rPr>
        <w:t xml:space="preserve"> majetku, s ktorým má Spoločnosť obmedzené právo nakladať v bežnom účtovnom období je</w:t>
      </w:r>
      <w:r w:rsidR="00AF55E6">
        <w:rPr>
          <w:szCs w:val="18"/>
        </w:rPr>
        <w:t>:</w:t>
      </w:r>
    </w:p>
    <w:p w:rsidR="00AF55E6" w:rsidRPr="00A11A59" w:rsidRDefault="00AF55E6" w:rsidP="00AF55E6">
      <w:pPr>
        <w:ind w:left="360"/>
        <w:rPr>
          <w:sz w:val="18"/>
          <w:szCs w:val="18"/>
        </w:rPr>
      </w:pPr>
      <w:r w:rsidRPr="00A11A59">
        <w:rPr>
          <w:sz w:val="18"/>
          <w:szCs w:val="18"/>
        </w:rPr>
        <w:t>Spoločnosť nemá náplň pre danú položku</w:t>
      </w:r>
    </w:p>
    <w:p w:rsidR="00201219" w:rsidRDefault="00201219" w:rsidP="001139DB">
      <w:pPr>
        <w:pStyle w:val="Zkladntext"/>
        <w:rPr>
          <w:szCs w:val="18"/>
        </w:rPr>
      </w:pPr>
    </w:p>
    <w:p w:rsidR="00201219" w:rsidRDefault="00201219" w:rsidP="00AF55E6">
      <w:pPr>
        <w:pStyle w:val="Zkladntext"/>
        <w:ind w:left="0"/>
        <w:rPr>
          <w:szCs w:val="18"/>
        </w:rPr>
      </w:pPr>
    </w:p>
    <w:p w:rsidR="004D3B4A" w:rsidRDefault="004D3B4A" w:rsidP="004D3B4A">
      <w:pPr>
        <w:pStyle w:val="Nadpis2"/>
        <w:numPr>
          <w:ilvl w:val="0"/>
          <w:numId w:val="2"/>
        </w:numPr>
      </w:pPr>
      <w:r>
        <w:t>Dlhodobý finančný majetok</w:t>
      </w:r>
    </w:p>
    <w:p w:rsidR="00E45765" w:rsidRPr="00B433AF" w:rsidRDefault="00E45765" w:rsidP="00A11A59">
      <w:pPr>
        <w:pStyle w:val="Zkladntext"/>
        <w:ind w:left="0"/>
        <w:rPr>
          <w:szCs w:val="18"/>
        </w:rPr>
      </w:pPr>
    </w:p>
    <w:p w:rsidR="00E45765" w:rsidRPr="00B433AF" w:rsidRDefault="00E45765" w:rsidP="00E45765">
      <w:pPr>
        <w:pStyle w:val="Zkladntext"/>
        <w:rPr>
          <w:szCs w:val="18"/>
        </w:rPr>
      </w:pPr>
      <w:r w:rsidRPr="00B433AF">
        <w:rPr>
          <w:szCs w:val="18"/>
        </w:rPr>
        <w:t>Hodnota dlhodobého finančného majetku, s ktorým má Spoločnosť obmedzené právo nakladať v bežnom účtovnom období je</w:t>
      </w:r>
      <w:r w:rsidR="00AF55E6">
        <w:rPr>
          <w:szCs w:val="18"/>
        </w:rPr>
        <w:t>:</w:t>
      </w:r>
    </w:p>
    <w:p w:rsidR="009B1E52" w:rsidRDefault="009B1E52" w:rsidP="009B1E52">
      <w:pPr>
        <w:ind w:left="360"/>
        <w:rPr>
          <w:sz w:val="18"/>
          <w:szCs w:val="18"/>
        </w:rPr>
      </w:pPr>
    </w:p>
    <w:p w:rsidR="009B1E52" w:rsidRPr="00A11A59" w:rsidRDefault="009B1E52" w:rsidP="009B1E52">
      <w:pPr>
        <w:ind w:left="360"/>
        <w:rPr>
          <w:sz w:val="18"/>
          <w:szCs w:val="18"/>
        </w:rPr>
      </w:pPr>
      <w:r w:rsidRPr="00A11A59">
        <w:rPr>
          <w:sz w:val="18"/>
          <w:szCs w:val="18"/>
        </w:rPr>
        <w:t>Spoločnosť nemá náplň pre danú položku</w:t>
      </w:r>
    </w:p>
    <w:p w:rsidR="00201219" w:rsidRDefault="00201219" w:rsidP="009B1E52">
      <w:pPr>
        <w:pStyle w:val="Zkladntext"/>
        <w:ind w:left="0"/>
        <w:rPr>
          <w:szCs w:val="18"/>
        </w:rPr>
      </w:pPr>
      <w:bookmarkStart w:id="11" w:name="_Toc530739903"/>
    </w:p>
    <w:p w:rsidR="000B5536" w:rsidRPr="000F038C" w:rsidRDefault="000B5536" w:rsidP="009B1E52">
      <w:pPr>
        <w:pStyle w:val="Zkladntext"/>
        <w:ind w:left="0"/>
      </w:pPr>
    </w:p>
    <w:bookmarkEnd w:id="11"/>
    <w:p w:rsidR="00EC5C0B" w:rsidRDefault="00EC5C0B" w:rsidP="00EC5C0B">
      <w:pPr>
        <w:pStyle w:val="Nadpis2"/>
        <w:numPr>
          <w:ilvl w:val="0"/>
          <w:numId w:val="2"/>
        </w:numPr>
      </w:pPr>
      <w:r>
        <w:t>Zásoby</w:t>
      </w:r>
    </w:p>
    <w:p w:rsidR="004D3B4A" w:rsidRDefault="004D3B4A" w:rsidP="004D3B4A">
      <w:pPr>
        <w:pStyle w:val="Zkladntext"/>
      </w:pPr>
    </w:p>
    <w:p w:rsidR="00493E78" w:rsidRPr="00AF55E6" w:rsidRDefault="00872118" w:rsidP="00AF55E6">
      <w:pPr>
        <w:spacing w:after="120"/>
        <w:ind w:right="-471" w:firstLine="426"/>
        <w:jc w:val="both"/>
        <w:rPr>
          <w:sz w:val="18"/>
          <w:szCs w:val="18"/>
        </w:rPr>
      </w:pPr>
      <w:r w:rsidRPr="00A11A59">
        <w:rPr>
          <w:sz w:val="18"/>
          <w:szCs w:val="18"/>
        </w:rPr>
        <w:t>Informácie o zásobách, na ktoré je zriadené záložné právo</w:t>
      </w:r>
      <w:r w:rsidR="00AF55E6">
        <w:rPr>
          <w:sz w:val="18"/>
          <w:szCs w:val="18"/>
        </w:rPr>
        <w:t>:</w:t>
      </w:r>
    </w:p>
    <w:p w:rsidR="009B1E52" w:rsidRPr="00A11A59" w:rsidRDefault="009B1E52" w:rsidP="009B1E52">
      <w:pPr>
        <w:ind w:left="360"/>
        <w:rPr>
          <w:sz w:val="18"/>
          <w:szCs w:val="18"/>
        </w:rPr>
      </w:pPr>
      <w:r w:rsidRPr="00A11A59">
        <w:rPr>
          <w:sz w:val="18"/>
          <w:szCs w:val="18"/>
        </w:rPr>
        <w:t>Spoločnosť nemá náplň pre danú položku</w:t>
      </w:r>
    </w:p>
    <w:p w:rsidR="008D5C0A" w:rsidRDefault="008D5C0A">
      <w:pPr>
        <w:ind w:left="426"/>
        <w:jc w:val="both"/>
        <w:rPr>
          <w:i/>
          <w:sz w:val="18"/>
          <w:szCs w:val="18"/>
        </w:rPr>
      </w:pPr>
    </w:p>
    <w:p w:rsidR="00872118" w:rsidRPr="000B7957" w:rsidRDefault="00872118" w:rsidP="00AE5250">
      <w:pPr>
        <w:ind w:left="426"/>
        <w:rPr>
          <w:sz w:val="18"/>
          <w:szCs w:val="18"/>
        </w:rPr>
      </w:pPr>
    </w:p>
    <w:p w:rsidR="005D2A89" w:rsidRDefault="00CA441D">
      <w:pPr>
        <w:pStyle w:val="Nadpis2"/>
        <w:numPr>
          <w:ilvl w:val="0"/>
          <w:numId w:val="2"/>
        </w:numPr>
      </w:pPr>
      <w:bookmarkStart w:id="12" w:name="_Toc530739904"/>
      <w:r>
        <w:t>Pohľadávky</w:t>
      </w:r>
      <w:bookmarkEnd w:id="12"/>
    </w:p>
    <w:p w:rsidR="00872118" w:rsidRDefault="00872118" w:rsidP="00AF55E6">
      <w:pPr>
        <w:pStyle w:val="Zkladntext"/>
        <w:ind w:left="0"/>
      </w:pPr>
    </w:p>
    <w:p w:rsidR="003A2AE6" w:rsidRPr="00872118" w:rsidRDefault="003A2AE6" w:rsidP="00AF55E6">
      <w:pPr>
        <w:ind w:left="426"/>
        <w:jc w:val="both"/>
        <w:rPr>
          <w:sz w:val="18"/>
          <w:szCs w:val="18"/>
        </w:rPr>
      </w:pPr>
      <w:r w:rsidRPr="008D5C0A">
        <w:rPr>
          <w:sz w:val="18"/>
          <w:szCs w:val="18"/>
        </w:rPr>
        <w:t xml:space="preserve">Hodnota </w:t>
      </w:r>
      <w:r>
        <w:rPr>
          <w:sz w:val="18"/>
          <w:szCs w:val="18"/>
        </w:rPr>
        <w:t>pohľadávok</w:t>
      </w:r>
      <w:r w:rsidRPr="008D5C0A">
        <w:rPr>
          <w:sz w:val="18"/>
          <w:szCs w:val="18"/>
        </w:rPr>
        <w:t>, pri ktorých má účtovná jednotka obm</w:t>
      </w:r>
      <w:r w:rsidR="00AF55E6">
        <w:rPr>
          <w:sz w:val="18"/>
          <w:szCs w:val="18"/>
        </w:rPr>
        <w:t>edzené právo s nimi nakladať je:</w:t>
      </w:r>
    </w:p>
    <w:p w:rsidR="009B1E52" w:rsidRPr="00A11A59" w:rsidRDefault="009B1E52" w:rsidP="009B1E52">
      <w:pPr>
        <w:ind w:left="360"/>
        <w:rPr>
          <w:sz w:val="18"/>
          <w:szCs w:val="18"/>
        </w:rPr>
      </w:pPr>
      <w:bookmarkStart w:id="13" w:name="_Toc530739905"/>
      <w:r w:rsidRPr="00A11A59">
        <w:rPr>
          <w:sz w:val="18"/>
          <w:szCs w:val="18"/>
        </w:rPr>
        <w:t>Spoločnosť nemá náplň pre danú položku</w:t>
      </w:r>
    </w:p>
    <w:p w:rsidR="00B62963" w:rsidRDefault="00B62963" w:rsidP="00271323">
      <w:pPr>
        <w:pStyle w:val="Zkladntext"/>
        <w:ind w:left="0"/>
        <w:rPr>
          <w:b/>
        </w:rPr>
      </w:pPr>
    </w:p>
    <w:bookmarkEnd w:id="13"/>
    <w:p w:rsidR="00271323" w:rsidRDefault="00271323" w:rsidP="00A11A59">
      <w:pPr>
        <w:pStyle w:val="Zkladntext"/>
        <w:ind w:left="0"/>
      </w:pPr>
    </w:p>
    <w:p w:rsidR="00CA441D" w:rsidRDefault="00CA441D" w:rsidP="00CA441D">
      <w:pPr>
        <w:pStyle w:val="Nadpis2"/>
        <w:numPr>
          <w:ilvl w:val="0"/>
          <w:numId w:val="2"/>
        </w:numPr>
      </w:pPr>
      <w:r>
        <w:t>Krátkodobý finančný majetok</w:t>
      </w:r>
    </w:p>
    <w:p w:rsidR="00CA441D" w:rsidRDefault="00CA441D" w:rsidP="00CA441D">
      <w:pPr>
        <w:pStyle w:val="Zkladntext"/>
      </w:pPr>
    </w:p>
    <w:p w:rsidR="00741BDA" w:rsidRPr="00AF55E6" w:rsidRDefault="00C60BFD" w:rsidP="00AF55E6">
      <w:pPr>
        <w:ind w:left="426"/>
        <w:jc w:val="both"/>
        <w:rPr>
          <w:sz w:val="18"/>
          <w:szCs w:val="18"/>
        </w:rPr>
      </w:pPr>
      <w:bookmarkStart w:id="14" w:name="_Toc530739906"/>
      <w:r w:rsidRPr="008D5C0A">
        <w:rPr>
          <w:sz w:val="18"/>
          <w:szCs w:val="18"/>
        </w:rPr>
        <w:t xml:space="preserve">Hodnota </w:t>
      </w:r>
      <w:r>
        <w:rPr>
          <w:sz w:val="18"/>
          <w:szCs w:val="18"/>
        </w:rPr>
        <w:t>krátkodobého finančného majetku</w:t>
      </w:r>
      <w:r w:rsidRPr="008D5C0A">
        <w:rPr>
          <w:sz w:val="18"/>
          <w:szCs w:val="18"/>
        </w:rPr>
        <w:t>, pri ktor</w:t>
      </w:r>
      <w:r>
        <w:rPr>
          <w:sz w:val="18"/>
          <w:szCs w:val="18"/>
        </w:rPr>
        <w:t>om</w:t>
      </w:r>
      <w:r w:rsidRPr="008D5C0A">
        <w:rPr>
          <w:sz w:val="18"/>
          <w:szCs w:val="18"/>
        </w:rPr>
        <w:t xml:space="preserve"> má účtovná jednotka obmedzené právo s n</w:t>
      </w:r>
      <w:r>
        <w:rPr>
          <w:sz w:val="18"/>
          <w:szCs w:val="18"/>
        </w:rPr>
        <w:t>ím</w:t>
      </w:r>
      <w:r w:rsidRPr="008D5C0A">
        <w:rPr>
          <w:sz w:val="18"/>
          <w:szCs w:val="18"/>
        </w:rPr>
        <w:t xml:space="preserve"> nakladať je</w:t>
      </w:r>
      <w:r w:rsidR="00AF55E6">
        <w:rPr>
          <w:sz w:val="18"/>
          <w:szCs w:val="18"/>
        </w:rPr>
        <w:t>:</w:t>
      </w:r>
      <w:bookmarkEnd w:id="14"/>
    </w:p>
    <w:p w:rsidR="009B1E52" w:rsidRPr="00A11A59" w:rsidRDefault="009B1E52" w:rsidP="009B1E52">
      <w:pPr>
        <w:ind w:left="360"/>
        <w:rPr>
          <w:sz w:val="18"/>
          <w:szCs w:val="18"/>
        </w:rPr>
      </w:pPr>
      <w:r w:rsidRPr="00A11A59">
        <w:rPr>
          <w:sz w:val="18"/>
          <w:szCs w:val="18"/>
        </w:rPr>
        <w:t>Spoločnosť nemá náplň pre danú položku</w:t>
      </w:r>
    </w:p>
    <w:p w:rsidR="00741BDA" w:rsidRDefault="00741BDA" w:rsidP="00A11A59">
      <w:pPr>
        <w:pStyle w:val="Zkladntext"/>
        <w:ind w:left="0"/>
        <w:rPr>
          <w:sz w:val="16"/>
          <w:szCs w:val="16"/>
        </w:rPr>
      </w:pPr>
    </w:p>
    <w:p w:rsidR="00AF55E6" w:rsidRDefault="00AF55E6" w:rsidP="00A11A59">
      <w:pPr>
        <w:pStyle w:val="Zkladntext"/>
        <w:ind w:left="0"/>
        <w:rPr>
          <w:sz w:val="16"/>
          <w:szCs w:val="16"/>
        </w:rPr>
      </w:pPr>
    </w:p>
    <w:p w:rsidR="00AF55E6" w:rsidRDefault="00AF55E6" w:rsidP="00A11A59">
      <w:pPr>
        <w:pStyle w:val="Zkladntext"/>
        <w:ind w:left="0"/>
        <w:rPr>
          <w:sz w:val="16"/>
          <w:szCs w:val="16"/>
        </w:rPr>
      </w:pPr>
    </w:p>
    <w:p w:rsidR="00AF55E6" w:rsidRDefault="00AF55E6" w:rsidP="00A11A59">
      <w:pPr>
        <w:pStyle w:val="Zkladntext"/>
        <w:ind w:left="0"/>
        <w:rPr>
          <w:sz w:val="16"/>
          <w:szCs w:val="16"/>
        </w:rPr>
      </w:pPr>
    </w:p>
    <w:p w:rsidR="00AF55E6" w:rsidRDefault="00AF55E6" w:rsidP="00A11A59">
      <w:pPr>
        <w:pStyle w:val="Zkladntext"/>
        <w:ind w:left="0"/>
        <w:rPr>
          <w:sz w:val="16"/>
          <w:szCs w:val="16"/>
        </w:rPr>
      </w:pPr>
    </w:p>
    <w:p w:rsidR="00AF55E6" w:rsidRDefault="00AF55E6" w:rsidP="00A11A59">
      <w:pPr>
        <w:pStyle w:val="Zkladntext"/>
        <w:ind w:left="0"/>
        <w:rPr>
          <w:sz w:val="16"/>
          <w:szCs w:val="16"/>
        </w:rPr>
      </w:pPr>
    </w:p>
    <w:p w:rsidR="00AF55E6" w:rsidRDefault="00AF55E6" w:rsidP="00A11A59">
      <w:pPr>
        <w:pStyle w:val="Zkladntext"/>
        <w:ind w:left="0"/>
        <w:rPr>
          <w:sz w:val="16"/>
          <w:szCs w:val="16"/>
        </w:rPr>
      </w:pPr>
    </w:p>
    <w:p w:rsidR="00741BDA" w:rsidRPr="00271323" w:rsidRDefault="00741BDA" w:rsidP="00A11A59">
      <w:pPr>
        <w:pStyle w:val="Zkladntext"/>
        <w:ind w:left="0"/>
        <w:rPr>
          <w:sz w:val="16"/>
          <w:szCs w:val="16"/>
        </w:rPr>
      </w:pPr>
    </w:p>
    <w:p w:rsidR="00B62963" w:rsidRDefault="00491AF0" w:rsidP="000B5536">
      <w:pPr>
        <w:pStyle w:val="Nadpis2"/>
      </w:pPr>
      <w:bookmarkStart w:id="15" w:name="_Toc530739909"/>
      <w:r>
        <w:lastRenderedPageBreak/>
        <w:t>Záväzky</w:t>
      </w:r>
      <w:bookmarkEnd w:id="15"/>
    </w:p>
    <w:p w:rsidR="00491AF0" w:rsidRDefault="00491AF0" w:rsidP="00491AF0">
      <w:pPr>
        <w:pStyle w:val="Zkladntext"/>
      </w:pPr>
    </w:p>
    <w:p w:rsidR="00491AF0" w:rsidRDefault="00491AF0" w:rsidP="00491AF0">
      <w:pPr>
        <w:pStyle w:val="Zkladntext"/>
      </w:pPr>
      <w:r>
        <w:t>Štruktúra záväzkov (okrem bankových úverov) podľa zostatkovej doby splatnosti je uvedená v nasledujúcom prehľade:</w:t>
      </w:r>
    </w:p>
    <w:p w:rsidR="00933F27" w:rsidRDefault="00933F27" w:rsidP="00491AF0">
      <w:pPr>
        <w:pStyle w:val="Zkladntext"/>
      </w:pPr>
    </w:p>
    <w:tbl>
      <w:tblPr>
        <w:tblW w:w="5000" w:type="pct"/>
        <w:jc w:val="center"/>
        <w:tblLook w:val="04A0"/>
      </w:tblPr>
      <w:tblGrid>
        <w:gridCol w:w="3825"/>
        <w:gridCol w:w="2975"/>
        <w:gridCol w:w="2658"/>
      </w:tblGrid>
      <w:tr w:rsidR="00933F27" w:rsidRPr="00933F27" w:rsidTr="007F4D88">
        <w:trPr>
          <w:trHeight w:val="920"/>
          <w:jc w:val="center"/>
        </w:trPr>
        <w:tc>
          <w:tcPr>
            <w:tcW w:w="2022" w:type="pct"/>
            <w:tcBorders>
              <w:top w:val="single" w:sz="12" w:space="0" w:color="auto"/>
              <w:left w:val="single" w:sz="12" w:space="0" w:color="auto"/>
              <w:bottom w:val="single" w:sz="12" w:space="0" w:color="auto"/>
              <w:right w:val="single" w:sz="12" w:space="0" w:color="auto"/>
            </w:tcBorders>
            <w:vAlign w:val="center"/>
            <w:hideMark/>
          </w:tcPr>
          <w:p w:rsidR="00933F27" w:rsidRPr="00933F27" w:rsidRDefault="00933F27" w:rsidP="007F4D88">
            <w:pPr>
              <w:pStyle w:val="TopHeader"/>
              <w:rPr>
                <w:rFonts w:ascii="Arial" w:hAnsi="Arial" w:cs="Arial"/>
                <w:sz w:val="16"/>
                <w:szCs w:val="16"/>
              </w:rPr>
            </w:pPr>
            <w:r w:rsidRPr="00933F27">
              <w:rPr>
                <w:rFonts w:ascii="Arial" w:hAnsi="Arial" w:cs="Arial"/>
                <w:sz w:val="16"/>
                <w:szCs w:val="16"/>
              </w:rPr>
              <w:t>Názov položky</w:t>
            </w:r>
          </w:p>
        </w:tc>
        <w:tc>
          <w:tcPr>
            <w:tcW w:w="1573" w:type="pct"/>
            <w:tcBorders>
              <w:top w:val="single" w:sz="12" w:space="0" w:color="auto"/>
              <w:left w:val="single" w:sz="12" w:space="0" w:color="auto"/>
              <w:bottom w:val="single" w:sz="12" w:space="0" w:color="auto"/>
              <w:right w:val="single" w:sz="12" w:space="0" w:color="auto"/>
            </w:tcBorders>
            <w:noWrap/>
            <w:vAlign w:val="center"/>
            <w:hideMark/>
          </w:tcPr>
          <w:p w:rsidR="00933F27" w:rsidRPr="00933F27" w:rsidRDefault="00933F27" w:rsidP="007F4D88">
            <w:pPr>
              <w:pStyle w:val="TopHeader"/>
              <w:rPr>
                <w:rFonts w:ascii="Arial" w:hAnsi="Arial" w:cs="Arial"/>
                <w:sz w:val="16"/>
                <w:szCs w:val="16"/>
              </w:rPr>
            </w:pPr>
            <w:r w:rsidRPr="00933F27">
              <w:rPr>
                <w:rFonts w:ascii="Arial" w:hAnsi="Arial" w:cs="Arial"/>
                <w:sz w:val="16"/>
                <w:szCs w:val="16"/>
              </w:rPr>
              <w:t>Bežné účtovné obdobie</w:t>
            </w:r>
          </w:p>
        </w:tc>
        <w:tc>
          <w:tcPr>
            <w:tcW w:w="1405" w:type="pct"/>
            <w:tcBorders>
              <w:top w:val="single" w:sz="12" w:space="0" w:color="auto"/>
              <w:left w:val="single" w:sz="12" w:space="0" w:color="auto"/>
              <w:bottom w:val="single" w:sz="12" w:space="0" w:color="auto"/>
              <w:right w:val="single" w:sz="12" w:space="0" w:color="auto"/>
            </w:tcBorders>
            <w:vAlign w:val="center"/>
            <w:hideMark/>
          </w:tcPr>
          <w:p w:rsidR="00933F27" w:rsidRPr="00933F27" w:rsidRDefault="00933F27" w:rsidP="007F4D88">
            <w:pPr>
              <w:pStyle w:val="TopHeader"/>
              <w:rPr>
                <w:rFonts w:ascii="Arial" w:hAnsi="Arial" w:cs="Arial"/>
                <w:sz w:val="16"/>
                <w:szCs w:val="16"/>
              </w:rPr>
            </w:pPr>
            <w:r w:rsidRPr="00933F27">
              <w:rPr>
                <w:rFonts w:ascii="Arial" w:hAnsi="Arial" w:cs="Arial"/>
                <w:sz w:val="16"/>
                <w:szCs w:val="16"/>
              </w:rPr>
              <w:t>Bezprostredne predchádzajúce účtovné obdobie</w:t>
            </w:r>
          </w:p>
        </w:tc>
      </w:tr>
      <w:tr w:rsidR="00933F27" w:rsidRPr="00933F27" w:rsidTr="007F4D88">
        <w:trPr>
          <w:trHeight w:val="397"/>
          <w:jc w:val="center"/>
        </w:trPr>
        <w:tc>
          <w:tcPr>
            <w:tcW w:w="2022" w:type="pct"/>
            <w:tcBorders>
              <w:top w:val="single" w:sz="12" w:space="0" w:color="auto"/>
              <w:left w:val="single" w:sz="12" w:space="0" w:color="auto"/>
              <w:bottom w:val="single" w:sz="12" w:space="0" w:color="auto"/>
              <w:right w:val="single" w:sz="12" w:space="0" w:color="auto"/>
            </w:tcBorders>
            <w:vAlign w:val="center"/>
          </w:tcPr>
          <w:p w:rsidR="00933F27" w:rsidRPr="00933F27" w:rsidRDefault="00933F27" w:rsidP="007F4D88">
            <w:pPr>
              <w:rPr>
                <w:rFonts w:ascii="Arial" w:hAnsi="Arial" w:cs="Arial"/>
                <w:sz w:val="16"/>
                <w:szCs w:val="16"/>
              </w:rPr>
            </w:pPr>
            <w:r w:rsidRPr="00933F27">
              <w:rPr>
                <w:rFonts w:ascii="Arial" w:hAnsi="Arial" w:cs="Arial"/>
                <w:b/>
                <w:bCs/>
                <w:sz w:val="16"/>
                <w:szCs w:val="16"/>
              </w:rPr>
              <w:t>Dlhodobé záväzky spolu</w:t>
            </w:r>
          </w:p>
        </w:tc>
        <w:tc>
          <w:tcPr>
            <w:tcW w:w="1573" w:type="pct"/>
            <w:tcBorders>
              <w:top w:val="single" w:sz="12" w:space="0" w:color="auto"/>
              <w:left w:val="single" w:sz="12" w:space="0" w:color="auto"/>
              <w:bottom w:val="single" w:sz="12" w:space="0" w:color="auto"/>
              <w:right w:val="single" w:sz="8" w:space="0" w:color="auto"/>
            </w:tcBorders>
            <w:noWrap/>
            <w:vAlign w:val="center"/>
          </w:tcPr>
          <w:p w:rsidR="00933F27" w:rsidRPr="00933F27" w:rsidRDefault="00AF55E6" w:rsidP="00AF55E6">
            <w:pPr>
              <w:jc w:val="center"/>
              <w:rPr>
                <w:rFonts w:ascii="Arial" w:hAnsi="Arial" w:cs="Arial"/>
                <w:b/>
                <w:bCs/>
                <w:sz w:val="16"/>
                <w:szCs w:val="16"/>
              </w:rPr>
            </w:pPr>
            <w:r>
              <w:rPr>
                <w:rFonts w:ascii="Arial" w:hAnsi="Arial" w:cs="Arial"/>
                <w:b/>
                <w:bCs/>
                <w:sz w:val="16"/>
                <w:szCs w:val="16"/>
              </w:rPr>
              <w:t>0</w:t>
            </w:r>
          </w:p>
        </w:tc>
        <w:tc>
          <w:tcPr>
            <w:tcW w:w="1405" w:type="pct"/>
            <w:tcBorders>
              <w:top w:val="single" w:sz="12" w:space="0" w:color="auto"/>
              <w:left w:val="nil"/>
              <w:bottom w:val="single" w:sz="12" w:space="0" w:color="auto"/>
              <w:right w:val="single" w:sz="12" w:space="0" w:color="auto"/>
            </w:tcBorders>
            <w:vAlign w:val="center"/>
          </w:tcPr>
          <w:p w:rsidR="00933F27" w:rsidRPr="00933F27" w:rsidRDefault="00AF55E6" w:rsidP="00AF55E6">
            <w:pPr>
              <w:jc w:val="center"/>
              <w:rPr>
                <w:rFonts w:ascii="Arial" w:hAnsi="Arial" w:cs="Arial"/>
                <w:b/>
                <w:bCs/>
                <w:sz w:val="16"/>
                <w:szCs w:val="16"/>
              </w:rPr>
            </w:pPr>
            <w:r>
              <w:rPr>
                <w:rFonts w:ascii="Arial" w:hAnsi="Arial" w:cs="Arial"/>
                <w:b/>
                <w:bCs/>
                <w:sz w:val="16"/>
                <w:szCs w:val="16"/>
              </w:rPr>
              <w:t>0</w:t>
            </w:r>
          </w:p>
        </w:tc>
      </w:tr>
      <w:tr w:rsidR="00933F27" w:rsidRPr="00933F27" w:rsidTr="007F4D88">
        <w:trPr>
          <w:trHeight w:val="567"/>
          <w:jc w:val="center"/>
        </w:trPr>
        <w:tc>
          <w:tcPr>
            <w:tcW w:w="2022" w:type="pct"/>
            <w:tcBorders>
              <w:top w:val="single" w:sz="12" w:space="0" w:color="auto"/>
              <w:left w:val="single" w:sz="12" w:space="0" w:color="auto"/>
              <w:bottom w:val="single" w:sz="8" w:space="0" w:color="auto"/>
              <w:right w:val="single" w:sz="12" w:space="0" w:color="auto"/>
            </w:tcBorders>
            <w:vAlign w:val="center"/>
            <w:hideMark/>
          </w:tcPr>
          <w:p w:rsidR="00933F27" w:rsidRPr="00933F27" w:rsidRDefault="00933F27" w:rsidP="007F4D88">
            <w:pPr>
              <w:rPr>
                <w:rFonts w:ascii="Arial" w:hAnsi="Arial" w:cs="Arial"/>
                <w:sz w:val="16"/>
                <w:szCs w:val="16"/>
              </w:rPr>
            </w:pPr>
            <w:r w:rsidRPr="00933F27">
              <w:rPr>
                <w:rFonts w:ascii="Arial" w:hAnsi="Arial" w:cs="Arial"/>
                <w:sz w:val="16"/>
                <w:szCs w:val="16"/>
              </w:rPr>
              <w:t>Záväzky so zostatkovou dobou splatnosti nad päť rokov</w:t>
            </w:r>
          </w:p>
        </w:tc>
        <w:tc>
          <w:tcPr>
            <w:tcW w:w="1573" w:type="pct"/>
            <w:tcBorders>
              <w:top w:val="single" w:sz="12" w:space="0" w:color="auto"/>
              <w:left w:val="single" w:sz="12" w:space="0" w:color="auto"/>
              <w:bottom w:val="single" w:sz="8" w:space="0" w:color="auto"/>
              <w:right w:val="single" w:sz="8" w:space="0" w:color="auto"/>
            </w:tcBorders>
            <w:noWrap/>
            <w:vAlign w:val="center"/>
            <w:hideMark/>
          </w:tcPr>
          <w:p w:rsidR="00933F27" w:rsidRPr="00933F27" w:rsidRDefault="00933F27" w:rsidP="00AF55E6">
            <w:pPr>
              <w:jc w:val="center"/>
              <w:rPr>
                <w:rFonts w:ascii="Arial" w:hAnsi="Arial" w:cs="Arial"/>
                <w:sz w:val="16"/>
                <w:szCs w:val="16"/>
              </w:rPr>
            </w:pPr>
          </w:p>
        </w:tc>
        <w:tc>
          <w:tcPr>
            <w:tcW w:w="1405" w:type="pct"/>
            <w:tcBorders>
              <w:top w:val="single" w:sz="12" w:space="0" w:color="auto"/>
              <w:left w:val="nil"/>
              <w:bottom w:val="single" w:sz="8" w:space="0" w:color="auto"/>
              <w:right w:val="single" w:sz="12" w:space="0" w:color="auto"/>
            </w:tcBorders>
            <w:noWrap/>
            <w:vAlign w:val="center"/>
            <w:hideMark/>
          </w:tcPr>
          <w:p w:rsidR="00933F27" w:rsidRPr="00933F27" w:rsidRDefault="00933F27" w:rsidP="00AF55E6">
            <w:pPr>
              <w:jc w:val="center"/>
              <w:rPr>
                <w:rFonts w:ascii="Arial" w:hAnsi="Arial" w:cs="Arial"/>
                <w:sz w:val="16"/>
                <w:szCs w:val="16"/>
              </w:rPr>
            </w:pPr>
          </w:p>
        </w:tc>
      </w:tr>
      <w:tr w:rsidR="00933F27" w:rsidRPr="00933F27" w:rsidTr="007F4D88">
        <w:trPr>
          <w:trHeight w:val="567"/>
          <w:jc w:val="center"/>
        </w:trPr>
        <w:tc>
          <w:tcPr>
            <w:tcW w:w="2022" w:type="pct"/>
            <w:tcBorders>
              <w:top w:val="single" w:sz="8" w:space="0" w:color="auto"/>
              <w:left w:val="single" w:sz="12" w:space="0" w:color="auto"/>
              <w:bottom w:val="single" w:sz="12" w:space="0" w:color="auto"/>
              <w:right w:val="single" w:sz="12" w:space="0" w:color="auto"/>
            </w:tcBorders>
            <w:vAlign w:val="center"/>
            <w:hideMark/>
          </w:tcPr>
          <w:p w:rsidR="00933F27" w:rsidRPr="00933F27" w:rsidRDefault="00933F27" w:rsidP="007F4D88">
            <w:pPr>
              <w:rPr>
                <w:rFonts w:ascii="Arial" w:hAnsi="Arial" w:cs="Arial"/>
                <w:sz w:val="16"/>
                <w:szCs w:val="16"/>
              </w:rPr>
            </w:pPr>
            <w:r w:rsidRPr="00933F27">
              <w:rPr>
                <w:rFonts w:ascii="Arial" w:hAnsi="Arial" w:cs="Arial"/>
                <w:sz w:val="16"/>
                <w:szCs w:val="16"/>
              </w:rPr>
              <w:t>Záväzky so zostatkovou dobou splatnosti jeden rok až päť rokov</w:t>
            </w:r>
          </w:p>
        </w:tc>
        <w:tc>
          <w:tcPr>
            <w:tcW w:w="1573" w:type="pct"/>
            <w:tcBorders>
              <w:top w:val="single" w:sz="8" w:space="0" w:color="auto"/>
              <w:left w:val="single" w:sz="12" w:space="0" w:color="auto"/>
              <w:bottom w:val="single" w:sz="12" w:space="0" w:color="auto"/>
              <w:right w:val="single" w:sz="8" w:space="0" w:color="auto"/>
            </w:tcBorders>
            <w:noWrap/>
            <w:vAlign w:val="center"/>
            <w:hideMark/>
          </w:tcPr>
          <w:p w:rsidR="00933F27" w:rsidRPr="00933F27" w:rsidRDefault="00933F27" w:rsidP="00AF55E6">
            <w:pPr>
              <w:jc w:val="center"/>
              <w:rPr>
                <w:rFonts w:ascii="Arial" w:hAnsi="Arial" w:cs="Arial"/>
                <w:sz w:val="16"/>
                <w:szCs w:val="16"/>
              </w:rPr>
            </w:pPr>
          </w:p>
        </w:tc>
        <w:tc>
          <w:tcPr>
            <w:tcW w:w="1405" w:type="pct"/>
            <w:tcBorders>
              <w:top w:val="single" w:sz="8" w:space="0" w:color="auto"/>
              <w:left w:val="nil"/>
              <w:bottom w:val="single" w:sz="12" w:space="0" w:color="auto"/>
              <w:right w:val="single" w:sz="12" w:space="0" w:color="auto"/>
            </w:tcBorders>
            <w:noWrap/>
            <w:vAlign w:val="center"/>
            <w:hideMark/>
          </w:tcPr>
          <w:p w:rsidR="00933F27" w:rsidRPr="00933F27" w:rsidRDefault="00933F27" w:rsidP="00AF55E6">
            <w:pPr>
              <w:jc w:val="center"/>
              <w:rPr>
                <w:rFonts w:ascii="Arial" w:hAnsi="Arial" w:cs="Arial"/>
                <w:sz w:val="16"/>
                <w:szCs w:val="16"/>
              </w:rPr>
            </w:pPr>
          </w:p>
        </w:tc>
      </w:tr>
      <w:tr w:rsidR="005A5C1B" w:rsidRPr="00933F27" w:rsidTr="007F4D88">
        <w:trPr>
          <w:trHeight w:val="397"/>
          <w:jc w:val="center"/>
        </w:trPr>
        <w:tc>
          <w:tcPr>
            <w:tcW w:w="2022" w:type="pct"/>
            <w:tcBorders>
              <w:top w:val="single" w:sz="12" w:space="0" w:color="auto"/>
              <w:left w:val="single" w:sz="12" w:space="0" w:color="auto"/>
              <w:bottom w:val="single" w:sz="12" w:space="0" w:color="auto"/>
              <w:right w:val="single" w:sz="12" w:space="0" w:color="auto"/>
            </w:tcBorders>
            <w:noWrap/>
            <w:vAlign w:val="center"/>
            <w:hideMark/>
          </w:tcPr>
          <w:p w:rsidR="005A5C1B" w:rsidRPr="00933F27" w:rsidRDefault="005A5C1B" w:rsidP="007F4D88">
            <w:pPr>
              <w:rPr>
                <w:rFonts w:ascii="Arial" w:hAnsi="Arial" w:cs="Arial"/>
                <w:b/>
                <w:bCs/>
                <w:sz w:val="16"/>
                <w:szCs w:val="16"/>
              </w:rPr>
            </w:pPr>
            <w:r w:rsidRPr="00933F27">
              <w:rPr>
                <w:rFonts w:ascii="Arial" w:hAnsi="Arial" w:cs="Arial"/>
                <w:b/>
                <w:bCs/>
                <w:sz w:val="16"/>
                <w:szCs w:val="16"/>
              </w:rPr>
              <w:t>Krátkodobé záväzky spolu</w:t>
            </w:r>
          </w:p>
        </w:tc>
        <w:tc>
          <w:tcPr>
            <w:tcW w:w="1573" w:type="pct"/>
            <w:tcBorders>
              <w:top w:val="single" w:sz="12" w:space="0" w:color="auto"/>
              <w:left w:val="single" w:sz="12" w:space="0" w:color="auto"/>
              <w:bottom w:val="single" w:sz="12" w:space="0" w:color="auto"/>
              <w:right w:val="single" w:sz="8" w:space="0" w:color="auto"/>
            </w:tcBorders>
            <w:noWrap/>
            <w:vAlign w:val="center"/>
            <w:hideMark/>
          </w:tcPr>
          <w:p w:rsidR="005A5C1B" w:rsidRPr="00933F27" w:rsidRDefault="00476D1F" w:rsidP="00401579">
            <w:pPr>
              <w:jc w:val="center"/>
              <w:rPr>
                <w:rFonts w:ascii="Arial" w:hAnsi="Arial" w:cs="Arial"/>
                <w:sz w:val="16"/>
                <w:szCs w:val="16"/>
              </w:rPr>
            </w:pPr>
            <w:r>
              <w:rPr>
                <w:rFonts w:ascii="Arial" w:hAnsi="Arial" w:cs="Arial"/>
                <w:sz w:val="16"/>
                <w:szCs w:val="16"/>
              </w:rPr>
              <w:t>5 321</w:t>
            </w:r>
          </w:p>
        </w:tc>
        <w:tc>
          <w:tcPr>
            <w:tcW w:w="1405" w:type="pct"/>
            <w:tcBorders>
              <w:top w:val="single" w:sz="12" w:space="0" w:color="auto"/>
              <w:left w:val="nil"/>
              <w:bottom w:val="single" w:sz="12" w:space="0" w:color="auto"/>
              <w:right w:val="single" w:sz="12" w:space="0" w:color="auto"/>
            </w:tcBorders>
            <w:noWrap/>
            <w:vAlign w:val="center"/>
            <w:hideMark/>
          </w:tcPr>
          <w:p w:rsidR="005A5C1B" w:rsidRPr="00933F27" w:rsidRDefault="00476D1F" w:rsidP="005E6A76">
            <w:pPr>
              <w:jc w:val="center"/>
              <w:rPr>
                <w:rFonts w:ascii="Arial" w:hAnsi="Arial" w:cs="Arial"/>
                <w:sz w:val="16"/>
                <w:szCs w:val="16"/>
              </w:rPr>
            </w:pPr>
            <w:r>
              <w:rPr>
                <w:rFonts w:ascii="Arial" w:hAnsi="Arial" w:cs="Arial"/>
                <w:sz w:val="16"/>
                <w:szCs w:val="16"/>
              </w:rPr>
              <w:t>4 560</w:t>
            </w:r>
          </w:p>
        </w:tc>
      </w:tr>
      <w:tr w:rsidR="005A5C1B" w:rsidRPr="00933F27" w:rsidTr="007F4D88">
        <w:trPr>
          <w:trHeight w:val="567"/>
          <w:jc w:val="center"/>
        </w:trPr>
        <w:tc>
          <w:tcPr>
            <w:tcW w:w="2022" w:type="pct"/>
            <w:tcBorders>
              <w:top w:val="single" w:sz="12" w:space="0" w:color="auto"/>
              <w:left w:val="single" w:sz="12" w:space="0" w:color="auto"/>
              <w:bottom w:val="single" w:sz="8" w:space="0" w:color="auto"/>
              <w:right w:val="single" w:sz="12" w:space="0" w:color="auto"/>
            </w:tcBorders>
            <w:vAlign w:val="center"/>
            <w:hideMark/>
          </w:tcPr>
          <w:p w:rsidR="005A5C1B" w:rsidRPr="00933F27" w:rsidRDefault="005A5C1B" w:rsidP="007F4D88">
            <w:pPr>
              <w:rPr>
                <w:rFonts w:ascii="Arial" w:hAnsi="Arial" w:cs="Arial"/>
                <w:sz w:val="16"/>
                <w:szCs w:val="16"/>
              </w:rPr>
            </w:pPr>
            <w:r w:rsidRPr="00933F27">
              <w:rPr>
                <w:rFonts w:ascii="Arial" w:hAnsi="Arial" w:cs="Arial"/>
                <w:sz w:val="16"/>
                <w:szCs w:val="16"/>
              </w:rPr>
              <w:t>Záväzky so zostatkovou dobou splatnosti do jedného roka vrátane</w:t>
            </w:r>
          </w:p>
        </w:tc>
        <w:tc>
          <w:tcPr>
            <w:tcW w:w="1573" w:type="pct"/>
            <w:tcBorders>
              <w:top w:val="single" w:sz="12" w:space="0" w:color="auto"/>
              <w:left w:val="single" w:sz="12" w:space="0" w:color="auto"/>
              <w:bottom w:val="single" w:sz="8" w:space="0" w:color="auto"/>
              <w:right w:val="single" w:sz="8" w:space="0" w:color="auto"/>
            </w:tcBorders>
            <w:noWrap/>
            <w:vAlign w:val="center"/>
            <w:hideMark/>
          </w:tcPr>
          <w:p w:rsidR="005A5C1B" w:rsidRPr="00933F27" w:rsidRDefault="00476D1F" w:rsidP="00401579">
            <w:pPr>
              <w:jc w:val="center"/>
              <w:rPr>
                <w:rFonts w:ascii="Arial" w:hAnsi="Arial" w:cs="Arial"/>
                <w:b/>
                <w:bCs/>
                <w:sz w:val="16"/>
                <w:szCs w:val="16"/>
              </w:rPr>
            </w:pPr>
            <w:r>
              <w:rPr>
                <w:rFonts w:ascii="Arial" w:hAnsi="Arial" w:cs="Arial"/>
                <w:b/>
                <w:bCs/>
                <w:sz w:val="16"/>
                <w:szCs w:val="16"/>
              </w:rPr>
              <w:t>5 321</w:t>
            </w:r>
          </w:p>
        </w:tc>
        <w:tc>
          <w:tcPr>
            <w:tcW w:w="1405" w:type="pct"/>
            <w:tcBorders>
              <w:top w:val="single" w:sz="12" w:space="0" w:color="auto"/>
              <w:left w:val="nil"/>
              <w:bottom w:val="single" w:sz="8" w:space="0" w:color="auto"/>
              <w:right w:val="single" w:sz="12" w:space="0" w:color="auto"/>
            </w:tcBorders>
            <w:vAlign w:val="center"/>
            <w:hideMark/>
          </w:tcPr>
          <w:p w:rsidR="005A5C1B" w:rsidRPr="00933F27" w:rsidRDefault="00476D1F" w:rsidP="005E6A76">
            <w:pPr>
              <w:jc w:val="center"/>
              <w:rPr>
                <w:rFonts w:ascii="Arial" w:hAnsi="Arial" w:cs="Arial"/>
                <w:b/>
                <w:bCs/>
                <w:sz w:val="16"/>
                <w:szCs w:val="16"/>
              </w:rPr>
            </w:pPr>
            <w:r>
              <w:rPr>
                <w:rFonts w:ascii="Arial" w:hAnsi="Arial" w:cs="Arial"/>
                <w:b/>
                <w:bCs/>
                <w:sz w:val="16"/>
                <w:szCs w:val="16"/>
              </w:rPr>
              <w:t>4 560</w:t>
            </w:r>
          </w:p>
        </w:tc>
      </w:tr>
      <w:tr w:rsidR="00933F27" w:rsidRPr="00933F27" w:rsidTr="007F4D88">
        <w:trPr>
          <w:trHeight w:val="397"/>
          <w:jc w:val="center"/>
        </w:trPr>
        <w:tc>
          <w:tcPr>
            <w:tcW w:w="2022" w:type="pct"/>
            <w:tcBorders>
              <w:top w:val="single" w:sz="8" w:space="0" w:color="auto"/>
              <w:left w:val="single" w:sz="12" w:space="0" w:color="auto"/>
              <w:bottom w:val="single" w:sz="12" w:space="0" w:color="auto"/>
              <w:right w:val="single" w:sz="12" w:space="0" w:color="auto"/>
            </w:tcBorders>
            <w:vAlign w:val="center"/>
            <w:hideMark/>
          </w:tcPr>
          <w:p w:rsidR="00933F27" w:rsidRPr="00933F27" w:rsidRDefault="00933F27" w:rsidP="007F4D88">
            <w:pPr>
              <w:rPr>
                <w:rFonts w:ascii="Arial" w:hAnsi="Arial" w:cs="Arial"/>
                <w:sz w:val="16"/>
                <w:szCs w:val="16"/>
              </w:rPr>
            </w:pPr>
            <w:r w:rsidRPr="00933F27">
              <w:rPr>
                <w:rFonts w:ascii="Arial" w:hAnsi="Arial" w:cs="Arial"/>
                <w:sz w:val="16"/>
                <w:szCs w:val="16"/>
              </w:rPr>
              <w:t>Záväzky po lehote splatnosti</w:t>
            </w:r>
          </w:p>
        </w:tc>
        <w:tc>
          <w:tcPr>
            <w:tcW w:w="1573" w:type="pct"/>
            <w:tcBorders>
              <w:top w:val="single" w:sz="8" w:space="0" w:color="auto"/>
              <w:left w:val="single" w:sz="12" w:space="0" w:color="auto"/>
              <w:bottom w:val="single" w:sz="12" w:space="0" w:color="auto"/>
              <w:right w:val="single" w:sz="8" w:space="0" w:color="auto"/>
            </w:tcBorders>
            <w:noWrap/>
            <w:vAlign w:val="center"/>
            <w:hideMark/>
          </w:tcPr>
          <w:p w:rsidR="00933F27" w:rsidRPr="00933F27" w:rsidRDefault="00933F27" w:rsidP="00AF55E6">
            <w:pPr>
              <w:jc w:val="center"/>
              <w:rPr>
                <w:rFonts w:ascii="Arial" w:hAnsi="Arial" w:cs="Arial"/>
                <w:b/>
                <w:bCs/>
                <w:sz w:val="16"/>
                <w:szCs w:val="16"/>
              </w:rPr>
            </w:pPr>
          </w:p>
        </w:tc>
        <w:tc>
          <w:tcPr>
            <w:tcW w:w="1405" w:type="pct"/>
            <w:tcBorders>
              <w:top w:val="single" w:sz="8" w:space="0" w:color="auto"/>
              <w:left w:val="nil"/>
              <w:bottom w:val="single" w:sz="12" w:space="0" w:color="auto"/>
              <w:right w:val="single" w:sz="12" w:space="0" w:color="auto"/>
            </w:tcBorders>
            <w:vAlign w:val="center"/>
            <w:hideMark/>
          </w:tcPr>
          <w:p w:rsidR="00933F27" w:rsidRPr="00933F27" w:rsidRDefault="00933F27" w:rsidP="00AF55E6">
            <w:pPr>
              <w:jc w:val="center"/>
              <w:rPr>
                <w:rFonts w:ascii="Arial" w:hAnsi="Arial" w:cs="Arial"/>
                <w:b/>
                <w:bCs/>
                <w:sz w:val="16"/>
                <w:szCs w:val="16"/>
              </w:rPr>
            </w:pPr>
          </w:p>
        </w:tc>
      </w:tr>
    </w:tbl>
    <w:p w:rsidR="00933F27" w:rsidRDefault="00933F27" w:rsidP="009B1E52">
      <w:pPr>
        <w:pStyle w:val="Zkladntext"/>
        <w:ind w:left="0"/>
      </w:pPr>
    </w:p>
    <w:p w:rsidR="00086A82" w:rsidRDefault="00086A82" w:rsidP="00491AF0">
      <w:pPr>
        <w:pStyle w:val="Zkladntext"/>
      </w:pPr>
    </w:p>
    <w:p w:rsidR="00C55C56" w:rsidRDefault="00C55C56" w:rsidP="00C55C56">
      <w:pPr>
        <w:pStyle w:val="Zkladntext"/>
      </w:pPr>
      <w:r>
        <w:t>Súčasťou vekovej štruktúr</w:t>
      </w:r>
      <w:r w:rsidR="00043393">
        <w:t>yzáväzkov</w:t>
      </w:r>
      <w:r>
        <w:t xml:space="preserve"> nie je odložen</w:t>
      </w:r>
      <w:r w:rsidR="00BF425D">
        <w:t>ý</w:t>
      </w:r>
      <w:r>
        <w:t xml:space="preserve"> daňov</w:t>
      </w:r>
      <w:r w:rsidR="00BF425D">
        <w:t>ýzáväzok</w:t>
      </w:r>
      <w:r w:rsidR="000C17C3" w:rsidRPr="000C17C3">
        <w:t>(</w:t>
      </w:r>
      <w:r w:rsidR="001F340D">
        <w:t>účet 481)</w:t>
      </w:r>
      <w:r>
        <w:t xml:space="preserve"> a čistá hodnota zákazky</w:t>
      </w:r>
      <w:r w:rsidR="001F340D">
        <w:t>(účet 316)</w:t>
      </w:r>
      <w:r>
        <w:t xml:space="preserve">. </w:t>
      </w:r>
    </w:p>
    <w:p w:rsidR="00491AF0" w:rsidRDefault="00491AF0" w:rsidP="00491AF0">
      <w:pPr>
        <w:pStyle w:val="Zkladntext"/>
      </w:pPr>
    </w:p>
    <w:p w:rsidR="00B62963" w:rsidRDefault="00B62963" w:rsidP="009B1E52">
      <w:pPr>
        <w:pStyle w:val="Nadpis2"/>
        <w:numPr>
          <w:ilvl w:val="0"/>
          <w:numId w:val="0"/>
        </w:numPr>
        <w:rPr>
          <w:b w:val="0"/>
        </w:rPr>
      </w:pPr>
      <w:bookmarkStart w:id="16" w:name="_Toc530739910"/>
    </w:p>
    <w:p w:rsidR="00933F27" w:rsidRPr="00741BDA" w:rsidRDefault="00933F27" w:rsidP="00741BDA">
      <w:pPr>
        <w:ind w:left="426" w:right="-468"/>
        <w:jc w:val="both"/>
        <w:rPr>
          <w:sz w:val="18"/>
          <w:szCs w:val="18"/>
        </w:rPr>
      </w:pPr>
      <w:r w:rsidRPr="00741BDA">
        <w:rPr>
          <w:sz w:val="18"/>
          <w:szCs w:val="18"/>
        </w:rPr>
        <w:t>Hodnota záväzku zabezpečenom záložným právom alebo zabezpečeným inou formou zabezpečenia a to s uvedením formy zabezpečenia:</w:t>
      </w:r>
    </w:p>
    <w:bookmarkEnd w:id="16"/>
    <w:p w:rsidR="00B62963" w:rsidRDefault="00B62963">
      <w:pPr>
        <w:pStyle w:val="Nadpis2"/>
        <w:numPr>
          <w:ilvl w:val="0"/>
          <w:numId w:val="0"/>
        </w:numPr>
        <w:ind w:left="426"/>
      </w:pPr>
    </w:p>
    <w:p w:rsidR="00741BDA" w:rsidRPr="00741BDA" w:rsidRDefault="00741BDA" w:rsidP="00741BDA">
      <w:pPr>
        <w:pStyle w:val="Odsekzoznamu"/>
        <w:numPr>
          <w:ilvl w:val="0"/>
          <w:numId w:val="59"/>
        </w:numPr>
        <w:rPr>
          <w:sz w:val="18"/>
          <w:szCs w:val="18"/>
        </w:rPr>
      </w:pPr>
      <w:r w:rsidRPr="00741BDA">
        <w:rPr>
          <w:sz w:val="18"/>
          <w:szCs w:val="18"/>
        </w:rPr>
        <w:t>Záložné právo</w:t>
      </w:r>
    </w:p>
    <w:p w:rsidR="00741BDA" w:rsidRPr="00741BDA" w:rsidRDefault="00741BDA" w:rsidP="00741BDA">
      <w:pPr>
        <w:pStyle w:val="Odsekzoznamu"/>
        <w:numPr>
          <w:ilvl w:val="0"/>
          <w:numId w:val="59"/>
        </w:numPr>
        <w:rPr>
          <w:sz w:val="18"/>
          <w:szCs w:val="18"/>
        </w:rPr>
      </w:pPr>
      <w:r w:rsidRPr="00741BDA">
        <w:rPr>
          <w:sz w:val="18"/>
          <w:szCs w:val="18"/>
        </w:rPr>
        <w:t>Zmluvné pokuty</w:t>
      </w:r>
    </w:p>
    <w:p w:rsidR="00741BDA" w:rsidRPr="00741BDA" w:rsidRDefault="00741BDA" w:rsidP="00741BDA">
      <w:pPr>
        <w:pStyle w:val="Odsekzoznamu"/>
        <w:numPr>
          <w:ilvl w:val="0"/>
          <w:numId w:val="59"/>
        </w:numPr>
        <w:rPr>
          <w:sz w:val="18"/>
          <w:szCs w:val="18"/>
        </w:rPr>
      </w:pPr>
      <w:r w:rsidRPr="00741BDA">
        <w:rPr>
          <w:sz w:val="18"/>
          <w:szCs w:val="18"/>
        </w:rPr>
        <w:t>Iné formy zabezpečenia</w:t>
      </w:r>
    </w:p>
    <w:p w:rsidR="00933F27" w:rsidRPr="00933F27" w:rsidRDefault="00933F27" w:rsidP="00933F27"/>
    <w:p w:rsidR="009B1E52" w:rsidRDefault="009B1E52" w:rsidP="009B1E52">
      <w:pPr>
        <w:ind w:left="360"/>
        <w:rPr>
          <w:sz w:val="18"/>
          <w:szCs w:val="18"/>
        </w:rPr>
      </w:pPr>
      <w:r w:rsidRPr="00A11A59">
        <w:rPr>
          <w:sz w:val="18"/>
          <w:szCs w:val="18"/>
        </w:rPr>
        <w:t>Spoločnosť nemá náplň pre danú položku</w:t>
      </w:r>
    </w:p>
    <w:p w:rsidR="000B5536" w:rsidRPr="00A11A59" w:rsidRDefault="000B5536" w:rsidP="009B1E52">
      <w:pPr>
        <w:ind w:left="360"/>
        <w:rPr>
          <w:sz w:val="18"/>
          <w:szCs w:val="18"/>
        </w:rPr>
      </w:pPr>
    </w:p>
    <w:p w:rsidR="000B5536" w:rsidRDefault="000B5536" w:rsidP="000B5536">
      <w:pPr>
        <w:pStyle w:val="Nadpis2"/>
        <w:numPr>
          <w:ilvl w:val="0"/>
          <w:numId w:val="25"/>
        </w:numPr>
        <w:tabs>
          <w:tab w:val="clear" w:pos="360"/>
          <w:tab w:val="num" w:pos="426"/>
        </w:tabs>
      </w:pPr>
      <w:r>
        <w:t>Informácie o významných položkách derivátov</w:t>
      </w:r>
    </w:p>
    <w:p w:rsidR="000B5536" w:rsidRDefault="000B5536" w:rsidP="000B5536"/>
    <w:p w:rsidR="000B5536" w:rsidRPr="00A11A59" w:rsidRDefault="000B5536" w:rsidP="000B5536">
      <w:pPr>
        <w:ind w:left="360"/>
        <w:rPr>
          <w:sz w:val="18"/>
          <w:szCs w:val="18"/>
        </w:rPr>
      </w:pPr>
      <w:r w:rsidRPr="00A11A59">
        <w:rPr>
          <w:sz w:val="18"/>
          <w:szCs w:val="18"/>
        </w:rPr>
        <w:t>Spoločnosť nemá náplň pre danú položku</w:t>
      </w:r>
    </w:p>
    <w:p w:rsidR="000B5536" w:rsidRDefault="000B5536" w:rsidP="000B5536"/>
    <w:p w:rsidR="000B5536" w:rsidRDefault="000B5536" w:rsidP="000B5536">
      <w:pPr>
        <w:pStyle w:val="Nadpis2"/>
        <w:numPr>
          <w:ilvl w:val="0"/>
          <w:numId w:val="25"/>
        </w:numPr>
      </w:pPr>
      <w:r>
        <w:t>Pohyby v oceňovacích rozdieloch derivátov z ocenenia reálnou hodnotou počas účtovného obdobia</w:t>
      </w:r>
    </w:p>
    <w:p w:rsidR="000B5536" w:rsidRPr="00A11A59" w:rsidRDefault="000B5536" w:rsidP="000B5536"/>
    <w:p w:rsidR="000B5536" w:rsidRPr="00A11A59" w:rsidRDefault="000B5536" w:rsidP="000B5536">
      <w:pPr>
        <w:ind w:left="360"/>
        <w:rPr>
          <w:sz w:val="18"/>
          <w:szCs w:val="18"/>
        </w:rPr>
      </w:pPr>
      <w:r w:rsidRPr="00A11A59">
        <w:rPr>
          <w:sz w:val="18"/>
          <w:szCs w:val="18"/>
        </w:rPr>
        <w:t>Spoločnosť nemá náplň pre danú položku</w:t>
      </w:r>
    </w:p>
    <w:p w:rsidR="000B5536" w:rsidRPr="00A11A59" w:rsidRDefault="000B5536" w:rsidP="000B5536"/>
    <w:p w:rsidR="000B5536" w:rsidRDefault="000B5536" w:rsidP="000B5536">
      <w:pPr>
        <w:pStyle w:val="Nadpis2"/>
        <w:numPr>
          <w:ilvl w:val="0"/>
          <w:numId w:val="25"/>
        </w:numPr>
        <w:tabs>
          <w:tab w:val="clear" w:pos="360"/>
          <w:tab w:val="num" w:pos="426"/>
        </w:tabs>
      </w:pPr>
      <w:r>
        <w:t>Informácie o majetku a záväzkoch zabezpečených derivátmi</w:t>
      </w:r>
    </w:p>
    <w:p w:rsidR="000B5536" w:rsidRDefault="000B5536" w:rsidP="000B5536"/>
    <w:p w:rsidR="000B5536" w:rsidRPr="00A11A59" w:rsidRDefault="000B5536" w:rsidP="000B5536">
      <w:pPr>
        <w:ind w:left="360"/>
        <w:rPr>
          <w:sz w:val="18"/>
          <w:szCs w:val="18"/>
        </w:rPr>
      </w:pPr>
      <w:r w:rsidRPr="00A11A59">
        <w:rPr>
          <w:sz w:val="18"/>
          <w:szCs w:val="18"/>
        </w:rPr>
        <w:t>Spoločnosť nemá náplň pre danú položku</w:t>
      </w:r>
    </w:p>
    <w:p w:rsidR="00933F27" w:rsidRDefault="00933F27" w:rsidP="00741BDA">
      <w:pPr>
        <w:pStyle w:val="Zkladntext"/>
        <w:ind w:left="0"/>
      </w:pPr>
    </w:p>
    <w:p w:rsidR="00933F27" w:rsidRDefault="00933F27" w:rsidP="00500B7D">
      <w:pPr>
        <w:pStyle w:val="Zkladntext"/>
      </w:pPr>
    </w:p>
    <w:p w:rsidR="00E231BA" w:rsidRDefault="00E231BA" w:rsidP="00262E33">
      <w:pPr>
        <w:pStyle w:val="Nadpis2"/>
        <w:numPr>
          <w:ilvl w:val="0"/>
          <w:numId w:val="2"/>
        </w:numPr>
      </w:pPr>
      <w:bookmarkStart w:id="17" w:name="_Toc530739912"/>
      <w:r>
        <w:t>Bankové úvery</w:t>
      </w:r>
      <w:bookmarkEnd w:id="17"/>
    </w:p>
    <w:p w:rsidR="00E231BA" w:rsidRDefault="00E231BA" w:rsidP="00E231BA">
      <w:pPr>
        <w:pStyle w:val="Zkladntext"/>
      </w:pPr>
    </w:p>
    <w:p w:rsidR="00933F27" w:rsidRPr="00933F27" w:rsidRDefault="00933F27" w:rsidP="00933F27">
      <w:pPr>
        <w:jc w:val="both"/>
        <w:rPr>
          <w:rFonts w:ascii="Arial" w:hAnsi="Arial" w:cs="Arial"/>
          <w:sz w:val="16"/>
          <w:szCs w:val="16"/>
        </w:rPr>
      </w:pPr>
    </w:p>
    <w:p w:rsidR="00933F27" w:rsidRPr="00741BDA" w:rsidRDefault="00933F27" w:rsidP="00E231BA">
      <w:pPr>
        <w:pStyle w:val="Zkladntext"/>
        <w:rPr>
          <w:szCs w:val="18"/>
        </w:rPr>
      </w:pPr>
      <w:r w:rsidRPr="00741BDA">
        <w:rPr>
          <w:szCs w:val="18"/>
        </w:rPr>
        <w:t>Bankové úvery, pôžičky a návratné finančné výpomoci - hodnota v eurách a forma zabezpečenia:</w:t>
      </w:r>
    </w:p>
    <w:p w:rsidR="00933F27" w:rsidRDefault="00933F27" w:rsidP="00E231BA">
      <w:pPr>
        <w:pStyle w:val="Zkladntext"/>
      </w:pPr>
    </w:p>
    <w:p w:rsidR="009B1E52" w:rsidRPr="00A11A59" w:rsidRDefault="009B1E52" w:rsidP="009B1E52">
      <w:pPr>
        <w:ind w:left="360"/>
        <w:rPr>
          <w:sz w:val="18"/>
          <w:szCs w:val="18"/>
        </w:rPr>
      </w:pPr>
      <w:r w:rsidRPr="00A11A59">
        <w:rPr>
          <w:sz w:val="18"/>
          <w:szCs w:val="18"/>
        </w:rPr>
        <w:t>Spoločnosť nemá náplň pre danú položku</w:t>
      </w:r>
    </w:p>
    <w:p w:rsidR="00741BDA" w:rsidRDefault="00741BDA" w:rsidP="00E231BA">
      <w:pPr>
        <w:pStyle w:val="Zkladntext"/>
        <w:ind w:left="0"/>
      </w:pPr>
    </w:p>
    <w:p w:rsidR="00741BDA" w:rsidRDefault="00741BDA" w:rsidP="00E231BA">
      <w:pPr>
        <w:pStyle w:val="Zkladntext"/>
        <w:ind w:left="0"/>
      </w:pPr>
    </w:p>
    <w:p w:rsidR="00AF55E6" w:rsidRDefault="00AF55E6" w:rsidP="00E231BA">
      <w:pPr>
        <w:pStyle w:val="Zkladntext"/>
        <w:ind w:left="0"/>
      </w:pPr>
    </w:p>
    <w:p w:rsidR="00AF55E6" w:rsidRDefault="00AF55E6" w:rsidP="00E231BA">
      <w:pPr>
        <w:pStyle w:val="Zkladntext"/>
        <w:ind w:left="0"/>
      </w:pPr>
    </w:p>
    <w:p w:rsidR="00AF55E6" w:rsidRDefault="00AF55E6" w:rsidP="00E231BA">
      <w:pPr>
        <w:pStyle w:val="Zkladntext"/>
        <w:ind w:left="0"/>
      </w:pPr>
    </w:p>
    <w:p w:rsidR="00AF55E6" w:rsidRDefault="00AF55E6" w:rsidP="00E231BA">
      <w:pPr>
        <w:pStyle w:val="Zkladntext"/>
        <w:ind w:left="0"/>
      </w:pPr>
    </w:p>
    <w:p w:rsidR="00AF55E6" w:rsidRDefault="00AF55E6" w:rsidP="00E231BA">
      <w:pPr>
        <w:pStyle w:val="Zkladntext"/>
        <w:ind w:left="0"/>
      </w:pPr>
    </w:p>
    <w:p w:rsidR="00AF55E6" w:rsidRDefault="00AF55E6" w:rsidP="00E231BA">
      <w:pPr>
        <w:pStyle w:val="Zkladntext"/>
        <w:ind w:left="0"/>
      </w:pPr>
    </w:p>
    <w:p w:rsidR="00741BDA" w:rsidRDefault="00741BDA" w:rsidP="00E231BA">
      <w:pPr>
        <w:pStyle w:val="Nadpis2"/>
        <w:numPr>
          <w:ilvl w:val="0"/>
          <w:numId w:val="2"/>
        </w:numPr>
      </w:pPr>
      <w:bookmarkStart w:id="18" w:name="_Toc530739913"/>
      <w:r>
        <w:lastRenderedPageBreak/>
        <w:t>Informácie o vlastných akciách</w:t>
      </w:r>
    </w:p>
    <w:p w:rsidR="00741BDA" w:rsidRPr="009B1E52" w:rsidRDefault="00741BDA" w:rsidP="00741BDA"/>
    <w:p w:rsidR="00741BDA" w:rsidRPr="009B1E52" w:rsidRDefault="00741BDA" w:rsidP="00741BDA">
      <w:pPr>
        <w:pStyle w:val="Odsekzoznamu"/>
        <w:numPr>
          <w:ilvl w:val="0"/>
          <w:numId w:val="60"/>
        </w:numPr>
        <w:rPr>
          <w:sz w:val="18"/>
          <w:szCs w:val="18"/>
        </w:rPr>
      </w:pPr>
      <w:r w:rsidRPr="009B1E52">
        <w:rPr>
          <w:sz w:val="18"/>
          <w:szCs w:val="18"/>
        </w:rPr>
        <w:t>Dôvod nadobudnutia vlastných akcií počas účtovného obdobia</w:t>
      </w:r>
    </w:p>
    <w:p w:rsidR="00741BDA" w:rsidRPr="009B1E52" w:rsidRDefault="00741BDA" w:rsidP="00741BDA">
      <w:pPr>
        <w:pStyle w:val="Odsekzoznamu"/>
        <w:numPr>
          <w:ilvl w:val="0"/>
          <w:numId w:val="60"/>
        </w:numPr>
        <w:rPr>
          <w:sz w:val="18"/>
          <w:szCs w:val="18"/>
        </w:rPr>
      </w:pPr>
      <w:r w:rsidRPr="009B1E52">
        <w:rPr>
          <w:sz w:val="18"/>
          <w:szCs w:val="18"/>
        </w:rPr>
        <w:t>Počet a menovitá hodnota nadobudnutých vlastných akcií počas účtovného obdobia</w:t>
      </w:r>
    </w:p>
    <w:p w:rsidR="00741BDA" w:rsidRPr="009B1E52" w:rsidRDefault="00741BDA" w:rsidP="00741BDA">
      <w:pPr>
        <w:pStyle w:val="Odsekzoznamu"/>
        <w:numPr>
          <w:ilvl w:val="0"/>
          <w:numId w:val="60"/>
        </w:numPr>
        <w:rPr>
          <w:sz w:val="18"/>
          <w:szCs w:val="18"/>
        </w:rPr>
      </w:pPr>
      <w:r w:rsidRPr="009B1E52">
        <w:rPr>
          <w:sz w:val="18"/>
          <w:szCs w:val="18"/>
        </w:rPr>
        <w:t>Počet a menovitá hodnota prevedených vlastných akcií počas účtovného obdobia</w:t>
      </w:r>
    </w:p>
    <w:p w:rsidR="00741BDA" w:rsidRPr="009B1E52" w:rsidRDefault="00741BDA" w:rsidP="00741BDA">
      <w:pPr>
        <w:pStyle w:val="Odsekzoznamu"/>
        <w:numPr>
          <w:ilvl w:val="0"/>
          <w:numId w:val="60"/>
        </w:numPr>
        <w:rPr>
          <w:sz w:val="18"/>
          <w:szCs w:val="18"/>
        </w:rPr>
      </w:pPr>
      <w:r w:rsidRPr="009B1E52">
        <w:rPr>
          <w:sz w:val="18"/>
          <w:szCs w:val="18"/>
        </w:rPr>
        <w:t>Počet a protihodnota, za ktorú sa vlastné akcie počas účtovného obdobia nadobudli</w:t>
      </w:r>
    </w:p>
    <w:p w:rsidR="00741BDA" w:rsidRPr="009B1E52" w:rsidRDefault="00741BDA" w:rsidP="00741BDA">
      <w:pPr>
        <w:pStyle w:val="Odsekzoznamu"/>
        <w:numPr>
          <w:ilvl w:val="0"/>
          <w:numId w:val="60"/>
        </w:numPr>
        <w:rPr>
          <w:sz w:val="18"/>
          <w:szCs w:val="18"/>
        </w:rPr>
      </w:pPr>
      <w:r w:rsidRPr="009B1E52">
        <w:rPr>
          <w:sz w:val="18"/>
          <w:szCs w:val="18"/>
        </w:rPr>
        <w:t>Počet a protihodnota, za ktorú sa vlastné akcie počas účtovného obdobia previedli na inú osobu</w:t>
      </w:r>
    </w:p>
    <w:p w:rsidR="00741BDA" w:rsidRPr="009B1E52" w:rsidRDefault="00741BDA" w:rsidP="00741BDA">
      <w:pPr>
        <w:pStyle w:val="Odsekzoznamu"/>
        <w:numPr>
          <w:ilvl w:val="0"/>
          <w:numId w:val="60"/>
        </w:numPr>
        <w:rPr>
          <w:sz w:val="18"/>
          <w:szCs w:val="18"/>
        </w:rPr>
      </w:pPr>
      <w:r w:rsidRPr="009B1E52">
        <w:rPr>
          <w:sz w:val="18"/>
          <w:szCs w:val="18"/>
        </w:rPr>
        <w:t>Počet a menovitá hodnota a protihodnota, za ktorú sa vlastné akcie nadobudli a ktoré účtovná jednotka má v držbe k poslednému dňu účtovného obdobia</w:t>
      </w:r>
    </w:p>
    <w:p w:rsidR="00741BDA" w:rsidRDefault="00741BDA" w:rsidP="00741BDA">
      <w:pPr>
        <w:rPr>
          <w:sz w:val="18"/>
          <w:szCs w:val="18"/>
        </w:rPr>
      </w:pPr>
    </w:p>
    <w:p w:rsidR="00741BDA" w:rsidRDefault="00741BDA" w:rsidP="00741BDA">
      <w:pPr>
        <w:pStyle w:val="Odsekzoznamu"/>
        <w:ind w:left="720"/>
        <w:rPr>
          <w:sz w:val="18"/>
          <w:szCs w:val="18"/>
        </w:rPr>
      </w:pPr>
      <w:r w:rsidRPr="00741BDA">
        <w:rPr>
          <w:sz w:val="18"/>
          <w:szCs w:val="18"/>
        </w:rPr>
        <w:t>Spoločnosť nemá náplň</w:t>
      </w:r>
      <w:r w:rsidR="000B5536">
        <w:rPr>
          <w:sz w:val="18"/>
          <w:szCs w:val="18"/>
        </w:rPr>
        <w:t>.</w:t>
      </w:r>
    </w:p>
    <w:p w:rsidR="00741BDA" w:rsidRPr="00741BDA" w:rsidRDefault="00741BDA" w:rsidP="00741BDA">
      <w:pPr>
        <w:rPr>
          <w:sz w:val="18"/>
          <w:szCs w:val="18"/>
        </w:rPr>
      </w:pPr>
    </w:p>
    <w:bookmarkEnd w:id="18"/>
    <w:p w:rsidR="00741BDA" w:rsidRDefault="00132E99" w:rsidP="00132E99">
      <w:pPr>
        <w:pStyle w:val="Nadpis2"/>
      </w:pPr>
      <w:r>
        <w:t>Informácie o sume a dôvodoch vzniku položiek nákladov a výnosov, ktoré majú výnimočný rozsah alebo výskyt</w:t>
      </w:r>
    </w:p>
    <w:p w:rsidR="00E231BA" w:rsidRDefault="00E231BA" w:rsidP="00E231BA">
      <w:pPr>
        <w:pStyle w:val="Nadpis2"/>
        <w:numPr>
          <w:ilvl w:val="0"/>
          <w:numId w:val="0"/>
        </w:numPr>
      </w:pPr>
      <w:bookmarkStart w:id="19" w:name="_Toc530739914"/>
    </w:p>
    <w:p w:rsidR="00206AD4" w:rsidRPr="00206AD4" w:rsidRDefault="00206AD4" w:rsidP="00206AD4">
      <w:pPr>
        <w:ind w:firstLine="426"/>
        <w:rPr>
          <w:sz w:val="18"/>
          <w:szCs w:val="18"/>
        </w:rPr>
      </w:pPr>
      <w:r w:rsidRPr="00206AD4">
        <w:rPr>
          <w:sz w:val="18"/>
          <w:szCs w:val="18"/>
        </w:rPr>
        <w:t>Spoločnosť nemá náplň.</w:t>
      </w:r>
    </w:p>
    <w:bookmarkEnd w:id="19"/>
    <w:p w:rsidR="007F4D88" w:rsidRDefault="007F4D88" w:rsidP="00486EC6">
      <w:pPr>
        <w:pStyle w:val="Zkladntext"/>
        <w:ind w:left="0"/>
      </w:pPr>
    </w:p>
    <w:p w:rsidR="0000290B" w:rsidRDefault="0000290B" w:rsidP="0000290B">
      <w:pPr>
        <w:pStyle w:val="Nadpis1"/>
        <w:tabs>
          <w:tab w:val="clear" w:pos="450"/>
          <w:tab w:val="num" w:pos="360"/>
        </w:tabs>
        <w:spacing w:before="120" w:after="60"/>
        <w:ind w:left="360"/>
      </w:pPr>
      <w:r>
        <w:t>Informácie o údajoch na podsúvahových  účtoch</w:t>
      </w:r>
    </w:p>
    <w:p w:rsidR="00B433AF" w:rsidRDefault="00B433AF" w:rsidP="002E31E7">
      <w:pPr>
        <w:pStyle w:val="Zkladntext"/>
        <w:rPr>
          <w:b/>
          <w:i/>
          <w:u w:val="single"/>
        </w:rPr>
      </w:pPr>
    </w:p>
    <w:p w:rsidR="00BF425D" w:rsidRPr="00BF425D" w:rsidRDefault="000C17C3" w:rsidP="002E31E7">
      <w:pPr>
        <w:pStyle w:val="Zkladntext"/>
        <w:rPr>
          <w:b/>
          <w:i/>
          <w:u w:val="single"/>
        </w:rPr>
      </w:pPr>
      <w:r w:rsidRPr="000C17C3">
        <w:rPr>
          <w:b/>
          <w:i/>
          <w:u w:val="single"/>
        </w:rPr>
        <w:t>Najatý majetok</w:t>
      </w:r>
    </w:p>
    <w:p w:rsidR="00BF425D" w:rsidRDefault="00BF425D" w:rsidP="002E31E7">
      <w:pPr>
        <w:pStyle w:val="Zkladntext"/>
      </w:pPr>
    </w:p>
    <w:p w:rsidR="007F4D88" w:rsidRPr="00AF55E6" w:rsidRDefault="00206AD4" w:rsidP="007F4D88">
      <w:pPr>
        <w:ind w:left="284" w:right="28"/>
        <w:jc w:val="both"/>
        <w:rPr>
          <w:sz w:val="18"/>
          <w:szCs w:val="18"/>
        </w:rPr>
      </w:pPr>
      <w:r w:rsidRPr="00AF55E6">
        <w:rPr>
          <w:bCs/>
          <w:sz w:val="18"/>
          <w:szCs w:val="18"/>
        </w:rPr>
        <w:t>I</w:t>
      </w:r>
      <w:r w:rsidR="007F4D88" w:rsidRPr="00AF55E6">
        <w:rPr>
          <w:sz w:val="18"/>
          <w:szCs w:val="18"/>
        </w:rPr>
        <w:t>nformácie ovýznamných položkách prenajatého majetku, majetku prijatého do úschovy, o pohľadávkach a záväzkoch z opcií, o odpísaných pohľadávkach a pohľadávkach a záväzkoch z lízingu:</w:t>
      </w:r>
    </w:p>
    <w:p w:rsidR="007F4D88" w:rsidRDefault="007F4D88" w:rsidP="00AF55E6">
      <w:pPr>
        <w:pStyle w:val="Zkladntext"/>
        <w:ind w:left="0"/>
      </w:pPr>
    </w:p>
    <w:p w:rsidR="00AF55E6" w:rsidRPr="00206AD4" w:rsidRDefault="00AF55E6" w:rsidP="00AF55E6">
      <w:pPr>
        <w:ind w:firstLine="426"/>
        <w:rPr>
          <w:sz w:val="18"/>
          <w:szCs w:val="18"/>
        </w:rPr>
      </w:pPr>
      <w:r w:rsidRPr="00206AD4">
        <w:rPr>
          <w:sz w:val="18"/>
          <w:szCs w:val="18"/>
        </w:rPr>
        <w:t>Spoločnosť nemá náplň.</w:t>
      </w:r>
    </w:p>
    <w:p w:rsidR="007F4D88" w:rsidRPr="000F038C" w:rsidRDefault="007F4D88" w:rsidP="002E31E7">
      <w:pPr>
        <w:pStyle w:val="Zkladntext"/>
      </w:pPr>
    </w:p>
    <w:p w:rsidR="007F4D88" w:rsidRDefault="007F4D88" w:rsidP="00775D22">
      <w:pPr>
        <w:pStyle w:val="Zkladntext"/>
        <w:rPr>
          <w:b/>
          <w:i/>
          <w:u w:val="single"/>
        </w:rPr>
      </w:pPr>
    </w:p>
    <w:p w:rsidR="00BF425D" w:rsidRPr="000F038C" w:rsidRDefault="000C17C3" w:rsidP="00775D22">
      <w:pPr>
        <w:pStyle w:val="Zkladntext"/>
        <w:rPr>
          <w:b/>
          <w:i/>
          <w:u w:val="single"/>
        </w:rPr>
      </w:pPr>
      <w:r w:rsidRPr="000C17C3">
        <w:rPr>
          <w:b/>
          <w:i/>
          <w:u w:val="single"/>
        </w:rPr>
        <w:t>Prenajatý majetok</w:t>
      </w:r>
    </w:p>
    <w:p w:rsidR="00BF425D" w:rsidRPr="000F038C" w:rsidRDefault="00BF425D" w:rsidP="00775D22">
      <w:pPr>
        <w:pStyle w:val="Zkladntext"/>
      </w:pPr>
    </w:p>
    <w:p w:rsidR="00486EC6" w:rsidRPr="00206AD4" w:rsidRDefault="00486EC6" w:rsidP="00486EC6">
      <w:pPr>
        <w:ind w:firstLine="426"/>
        <w:rPr>
          <w:sz w:val="18"/>
          <w:szCs w:val="18"/>
        </w:rPr>
      </w:pPr>
      <w:r w:rsidRPr="00206AD4">
        <w:rPr>
          <w:sz w:val="18"/>
          <w:szCs w:val="18"/>
        </w:rPr>
        <w:t>Spoločnosť nemá náplň.</w:t>
      </w:r>
    </w:p>
    <w:p w:rsidR="009B1E52" w:rsidRPr="000F038C" w:rsidRDefault="009B1E52" w:rsidP="00775D22">
      <w:pPr>
        <w:pStyle w:val="Zkladntext"/>
      </w:pPr>
    </w:p>
    <w:p w:rsidR="00B62963" w:rsidRDefault="00B62963">
      <w:pPr>
        <w:pStyle w:val="Zkladntext"/>
        <w:rPr>
          <w:i/>
        </w:rPr>
      </w:pPr>
    </w:p>
    <w:p w:rsidR="00B62963" w:rsidRPr="003C0DE9" w:rsidRDefault="00750629">
      <w:pPr>
        <w:pStyle w:val="Zkladntext"/>
        <w:rPr>
          <w:i/>
          <w:u w:val="single"/>
        </w:rPr>
      </w:pPr>
      <w:r w:rsidRPr="00750629">
        <w:rPr>
          <w:b/>
          <w:i/>
          <w:u w:val="single"/>
        </w:rPr>
        <w:t>Ostatné finančné povinnosti</w:t>
      </w:r>
    </w:p>
    <w:p w:rsidR="00E23359" w:rsidRPr="000F038C" w:rsidRDefault="00E23359" w:rsidP="00E23359">
      <w:pPr>
        <w:pStyle w:val="Zkladntext"/>
      </w:pPr>
    </w:p>
    <w:p w:rsidR="00E23359" w:rsidRPr="000F038C" w:rsidRDefault="00F4619A" w:rsidP="00E23359">
      <w:pPr>
        <w:pStyle w:val="Zkladntext"/>
      </w:pPr>
      <w:r>
        <w:t>Ostatné finančné povinnosti, ktoré sa nesledujú v bežnom účtovníctve a neuvádzajú v súvahe, sú tieto:</w:t>
      </w:r>
    </w:p>
    <w:p w:rsidR="00E23359" w:rsidRDefault="00206AD4" w:rsidP="00206AD4">
      <w:pPr>
        <w:pStyle w:val="Zkladntext"/>
        <w:numPr>
          <w:ilvl w:val="0"/>
          <w:numId w:val="61"/>
        </w:numPr>
      </w:pPr>
      <w:r>
        <w:t>Zákonná povinnosť odobrať určité množstvo produktu</w:t>
      </w:r>
    </w:p>
    <w:p w:rsidR="00206AD4" w:rsidRDefault="00206AD4" w:rsidP="00206AD4">
      <w:pPr>
        <w:pStyle w:val="Zkladntext"/>
        <w:numPr>
          <w:ilvl w:val="0"/>
          <w:numId w:val="61"/>
        </w:numPr>
      </w:pPr>
      <w:r>
        <w:t>Zmluvná povinnosť odobrať určité množstvo produktu</w:t>
      </w:r>
    </w:p>
    <w:p w:rsidR="00206AD4" w:rsidRDefault="00206AD4" w:rsidP="00206AD4">
      <w:pPr>
        <w:pStyle w:val="Zkladntext"/>
        <w:numPr>
          <w:ilvl w:val="0"/>
          <w:numId w:val="61"/>
        </w:numPr>
      </w:pPr>
      <w:r>
        <w:t>Uskutočnené investície</w:t>
      </w:r>
    </w:p>
    <w:p w:rsidR="00206AD4" w:rsidRDefault="00206AD4" w:rsidP="00206AD4">
      <w:pPr>
        <w:pStyle w:val="Zkladntext"/>
        <w:numPr>
          <w:ilvl w:val="0"/>
          <w:numId w:val="61"/>
        </w:numPr>
      </w:pPr>
      <w:r>
        <w:t>Veľké opravy</w:t>
      </w:r>
    </w:p>
    <w:p w:rsidR="00206AD4" w:rsidRPr="000F038C" w:rsidRDefault="00206AD4" w:rsidP="00E23359">
      <w:pPr>
        <w:pStyle w:val="Zkladntext"/>
      </w:pPr>
    </w:p>
    <w:p w:rsidR="00B62963" w:rsidRDefault="00206AD4">
      <w:pPr>
        <w:pStyle w:val="Zkladntext"/>
        <w:ind w:left="766"/>
      </w:pPr>
      <w:r>
        <w:t>Spoločnosť nemá náplň.</w:t>
      </w:r>
    </w:p>
    <w:p w:rsidR="00E23359" w:rsidRPr="000F038C" w:rsidRDefault="00E23359" w:rsidP="000B5536">
      <w:pPr>
        <w:pStyle w:val="Zkladntext"/>
        <w:ind w:left="0"/>
      </w:pPr>
    </w:p>
    <w:p w:rsidR="0000290B" w:rsidRPr="000F038C" w:rsidRDefault="00F4619A" w:rsidP="0000290B">
      <w:pPr>
        <w:pStyle w:val="Nadpis1"/>
        <w:tabs>
          <w:tab w:val="clear" w:pos="450"/>
          <w:tab w:val="num" w:pos="360"/>
        </w:tabs>
        <w:spacing w:before="120" w:after="60"/>
        <w:ind w:left="360"/>
      </w:pPr>
      <w:r>
        <w:t>Informácie o iných aktívach a iných pasívach</w:t>
      </w:r>
    </w:p>
    <w:p w:rsidR="0000290B" w:rsidRPr="000F038C" w:rsidRDefault="0000290B" w:rsidP="0000290B">
      <w:pPr>
        <w:pStyle w:val="Zkladntext"/>
        <w:ind w:left="0"/>
      </w:pPr>
    </w:p>
    <w:p w:rsidR="0000290B" w:rsidRDefault="00F4619A" w:rsidP="002F770F">
      <w:pPr>
        <w:pStyle w:val="Nadpis2"/>
        <w:numPr>
          <w:ilvl w:val="0"/>
          <w:numId w:val="29"/>
        </w:numPr>
      </w:pPr>
      <w:bookmarkStart w:id="20" w:name="_Toc530739921"/>
      <w:r>
        <w:t>Podmienené záväzk</w:t>
      </w:r>
      <w:r w:rsidR="0000290B">
        <w:t>y</w:t>
      </w:r>
      <w:bookmarkEnd w:id="20"/>
    </w:p>
    <w:p w:rsidR="009715BA" w:rsidRDefault="009715BA" w:rsidP="009715BA">
      <w:pPr>
        <w:pStyle w:val="Zkladntext"/>
        <w:ind w:left="0"/>
      </w:pPr>
    </w:p>
    <w:p w:rsidR="009715BA" w:rsidRDefault="0000290B" w:rsidP="009715BA">
      <w:pPr>
        <w:pStyle w:val="Zkladntext"/>
      </w:pPr>
      <w:r>
        <w:t>Spoločnosť má nasledujúce podmienené záväzky, ktoré sa nesledujú v bežnom účtovníctve a neuvádzajú sa v súvahe:</w:t>
      </w:r>
    </w:p>
    <w:p w:rsidR="009715BA" w:rsidRDefault="009715BA" w:rsidP="009715BA">
      <w:pPr>
        <w:pStyle w:val="Zkladntext"/>
      </w:pPr>
    </w:p>
    <w:p w:rsidR="009715BA" w:rsidRPr="00206AD4" w:rsidRDefault="009715BA" w:rsidP="009715BA">
      <w:pPr>
        <w:pStyle w:val="Zkladntext"/>
        <w:rPr>
          <w:szCs w:val="18"/>
        </w:rPr>
      </w:pPr>
      <w:r w:rsidRPr="00206AD4">
        <w:rPr>
          <w:szCs w:val="18"/>
        </w:rPr>
        <w:t xml:space="preserve">opis a hodnota podmienených záväzkov vyplývajúcich zo súdnych rozhodnutí, z poskytnutých záruk, zo všeobecne záväzných právnych predpisov, zo zmlúv o podriadenom záväzku a z najrôznejších foriem ručenia </w:t>
      </w:r>
    </w:p>
    <w:p w:rsidR="009715BA" w:rsidRDefault="009715BA" w:rsidP="0000290B">
      <w:pPr>
        <w:pStyle w:val="Zkladntext"/>
      </w:pPr>
    </w:p>
    <w:p w:rsidR="00206AD4" w:rsidRDefault="00206AD4" w:rsidP="0000290B">
      <w:pPr>
        <w:pStyle w:val="Zkladntext"/>
      </w:pPr>
      <w:r>
        <w:t>Spoločnosť nemá náplň.</w:t>
      </w:r>
    </w:p>
    <w:p w:rsidR="00206AD4" w:rsidRDefault="00206AD4" w:rsidP="0000290B">
      <w:pPr>
        <w:pStyle w:val="Zkladntext"/>
      </w:pPr>
    </w:p>
    <w:p w:rsidR="00775D22" w:rsidRDefault="0000290B" w:rsidP="00E23359">
      <w:pPr>
        <w:pStyle w:val="Zkladntext"/>
      </w:pPr>
      <w:r>
        <w:t>Vzhľadom na to, že mnohé oblasti slovenského daňového práva doteraz neboli dostatočne overené praxou, existuje neistota v tom, ako ich budú daňové orgány aplikovať. Mieru tejto neistoty nie je možné kvantifikovať a zanikne až potom, keď budú k dispozícii právne precedensy, prípadne oficiálne interpretácie príslušných orgánov.</w:t>
      </w:r>
      <w:r w:rsidR="00C43B83">
        <w:t>Vedenie S</w:t>
      </w:r>
      <w:r w:rsidR="00775D22">
        <w:t>poločnosti si nie je vedomé žiadnych okolností, v dôsledku ktorých by jej vznikol významný náklad.</w:t>
      </w:r>
    </w:p>
    <w:p w:rsidR="0000290B" w:rsidRDefault="0000290B" w:rsidP="0000290B">
      <w:pPr>
        <w:pStyle w:val="Zkladntext"/>
      </w:pPr>
    </w:p>
    <w:p w:rsidR="0000290B" w:rsidRDefault="0000290B" w:rsidP="0000290B">
      <w:pPr>
        <w:pStyle w:val="Nadpis2"/>
        <w:numPr>
          <w:ilvl w:val="0"/>
          <w:numId w:val="2"/>
        </w:numPr>
      </w:pPr>
      <w:r>
        <w:t>Podmienený majetok</w:t>
      </w:r>
    </w:p>
    <w:p w:rsidR="009715BA" w:rsidRDefault="009715BA" w:rsidP="00206AD4">
      <w:pPr>
        <w:pStyle w:val="Zkladntext"/>
        <w:ind w:left="0"/>
      </w:pPr>
    </w:p>
    <w:p w:rsidR="0000290B" w:rsidRPr="00522AF0" w:rsidRDefault="009715BA" w:rsidP="00206AD4">
      <w:pPr>
        <w:pStyle w:val="Zkladntext"/>
        <w:rPr>
          <w:szCs w:val="18"/>
        </w:rPr>
      </w:pPr>
      <w:r w:rsidRPr="00522AF0">
        <w:rPr>
          <w:szCs w:val="18"/>
        </w:rPr>
        <w:t xml:space="preserve">opis a hodnota pravdepodobného majetku, ktorým je možný majetok, ktorý vznikol z minulých udalostí a jeho existencia závisí od neistej udalosti v budúcnosti nezávisle na účtovnej jednotke – napr. práva zo servisných zmlúv, poistných zmlúv, koncesionárskych zmlúv, licenčných zmlúv, práva z investovania prostriedkov </w:t>
      </w:r>
    </w:p>
    <w:p w:rsidR="00206AD4" w:rsidRDefault="00206AD4" w:rsidP="00206AD4">
      <w:pPr>
        <w:pStyle w:val="Zkladntext"/>
        <w:rPr>
          <w:rFonts w:ascii="Arial" w:hAnsi="Arial" w:cs="Arial"/>
          <w:szCs w:val="18"/>
        </w:rPr>
      </w:pPr>
    </w:p>
    <w:p w:rsidR="00206AD4" w:rsidRDefault="00206AD4" w:rsidP="00206AD4">
      <w:pPr>
        <w:pStyle w:val="Zkladntext"/>
      </w:pPr>
      <w:r>
        <w:t>Spoločnosť nemá náplň.</w:t>
      </w:r>
    </w:p>
    <w:p w:rsidR="009715BA" w:rsidRPr="002F770F" w:rsidRDefault="009715BA" w:rsidP="00486EC6">
      <w:pPr>
        <w:pStyle w:val="Zkladntext"/>
        <w:ind w:left="0"/>
      </w:pPr>
    </w:p>
    <w:p w:rsidR="003E0FA2" w:rsidRDefault="003E0FA2" w:rsidP="003E0FA2">
      <w:pPr>
        <w:pStyle w:val="Nadpis1"/>
        <w:tabs>
          <w:tab w:val="clear" w:pos="450"/>
          <w:tab w:val="num" w:pos="360"/>
        </w:tabs>
        <w:spacing w:before="120" w:after="60"/>
        <w:ind w:left="360"/>
      </w:pPr>
      <w:bookmarkStart w:id="21" w:name="_Toc530739925"/>
      <w:r>
        <w:t>Informácie o skutočnostiach, ktoré nastali po dni, ku ktorému sa zostavuje účtovná závierka, do dňa zostavenia účtovnej závierky</w:t>
      </w:r>
      <w:bookmarkEnd w:id="21"/>
    </w:p>
    <w:p w:rsidR="003E0FA2" w:rsidRDefault="003E0FA2" w:rsidP="003E0FA2">
      <w:pPr>
        <w:pStyle w:val="Zkladntext"/>
      </w:pPr>
    </w:p>
    <w:p w:rsidR="003E0FA2" w:rsidRPr="009715BA" w:rsidRDefault="003E0FA2" w:rsidP="009715BA">
      <w:pPr>
        <w:pStyle w:val="Zkladntext"/>
      </w:pPr>
      <w:r>
        <w:t xml:space="preserve">Po 31. decembri </w:t>
      </w:r>
      <w:r w:rsidR="005E6A76">
        <w:t>202</w:t>
      </w:r>
      <w:r w:rsidR="00476D1F">
        <w:t xml:space="preserve">4 </w:t>
      </w:r>
      <w:r w:rsidR="009715BA">
        <w:t>ne</w:t>
      </w:r>
      <w:r>
        <w:t>nastali udalosti majúce významný vplyv na verné zobrazenie skutočností,</w:t>
      </w:r>
      <w:r w:rsidR="009715BA">
        <w:t xml:space="preserve"> ktoré sú predmetom účtovníctva.</w:t>
      </w:r>
    </w:p>
    <w:p w:rsidR="005E6A76" w:rsidRDefault="00081356" w:rsidP="005E6A76">
      <w:pPr>
        <w:pStyle w:val="Zkladntext"/>
      </w:pPr>
      <w:r>
        <w:t xml:space="preserve">Kríza spôsobená pandémiou Covid19 stále pretrváva. </w:t>
      </w:r>
      <w:r w:rsidR="005E6A76">
        <w:t>Koncom februára 2022 došlo k voj</w:t>
      </w:r>
      <w:r>
        <w:t>novému</w:t>
      </w:r>
      <w:r w:rsidR="005E6A76">
        <w:t xml:space="preserve"> konfliktu na Ukrajine. </w:t>
      </w:r>
      <w:r w:rsidR="005A5C1B">
        <w:t>V čase zostavenia tejto účtovnej závierky vedenie účtovnej jednotky nezaznamenalo významný pokles predaja, z dôvodu COVID19</w:t>
      </w:r>
      <w:r>
        <w:t xml:space="preserve"> ani z dôvodu vojnového konfliktu na Ukrajine</w:t>
      </w:r>
      <w:r w:rsidR="005A5C1B">
        <w:t xml:space="preserve">,  nakoľko sa však situácia stále mení, nemožno predvídať budúce dopady. </w:t>
      </w:r>
    </w:p>
    <w:p w:rsidR="003E0FA2" w:rsidRDefault="005A5C1B" w:rsidP="003E0FA2">
      <w:pPr>
        <w:pStyle w:val="Zkladntext"/>
        <w:rPr>
          <w:szCs w:val="18"/>
        </w:rPr>
      </w:pPr>
      <w:r>
        <w:t>Manažment bude pokračovať v monitorovaní potenciálneho dopadu</w:t>
      </w:r>
      <w:r w:rsidR="00081356">
        <w:t xml:space="preserve"> pandémie Covid19 a vojnového</w:t>
      </w:r>
      <w:r w:rsidR="005E6A76">
        <w:t xml:space="preserve"> konfliktu na Ukrajine</w:t>
      </w:r>
      <w:r>
        <w:t xml:space="preserve"> a podnikne všetky možné kroky na zmiernenie akýchkoľvek negatívnych účinkov na spoločnosť.</w:t>
      </w:r>
    </w:p>
    <w:p w:rsidR="009715BA" w:rsidRPr="00EF5A22" w:rsidRDefault="009715BA" w:rsidP="003E0FA2">
      <w:pPr>
        <w:pStyle w:val="Zkladntext"/>
        <w:rPr>
          <w:szCs w:val="18"/>
        </w:rPr>
      </w:pPr>
    </w:p>
    <w:p w:rsidR="00206AD4" w:rsidRDefault="00206AD4" w:rsidP="00206AD4">
      <w:pPr>
        <w:pStyle w:val="Nadpis1"/>
      </w:pPr>
      <w:bookmarkStart w:id="22" w:name="_Toc530739907"/>
      <w:r w:rsidRPr="00CF0AFF">
        <w:t>OSTATNÉ INFORMÁCIE:</w:t>
      </w:r>
    </w:p>
    <w:p w:rsidR="00206AD4" w:rsidRPr="00206AD4" w:rsidRDefault="00206AD4" w:rsidP="00206AD4"/>
    <w:p w:rsidR="00206AD4" w:rsidRDefault="00206AD4" w:rsidP="00206AD4">
      <w:pPr>
        <w:pStyle w:val="Bezriadkovania"/>
        <w:ind w:left="426"/>
        <w:rPr>
          <w:rFonts w:ascii="Times New Roman" w:hAnsi="Times New Roman" w:cs="Times New Roman"/>
          <w:sz w:val="18"/>
          <w:szCs w:val="18"/>
        </w:rPr>
      </w:pPr>
      <w:r w:rsidRPr="00206AD4">
        <w:rPr>
          <w:rFonts w:ascii="Times New Roman" w:hAnsi="Times New Roman" w:cs="Times New Roman"/>
          <w:sz w:val="18"/>
          <w:szCs w:val="18"/>
        </w:rPr>
        <w:t>Informácia o udelení výlučného práva alebo osobitného práva,  ktorým sa udelilo právo poskytovať služby vo verejnom záujme:</w:t>
      </w:r>
    </w:p>
    <w:p w:rsidR="009B1E52" w:rsidRPr="00206AD4" w:rsidRDefault="009B1E52" w:rsidP="00206AD4">
      <w:pPr>
        <w:pStyle w:val="Bezriadkovania"/>
        <w:ind w:left="426"/>
        <w:rPr>
          <w:rFonts w:ascii="Times New Roman" w:hAnsi="Times New Roman" w:cs="Times New Roman"/>
          <w:sz w:val="18"/>
          <w:szCs w:val="18"/>
        </w:rPr>
      </w:pPr>
    </w:p>
    <w:bookmarkEnd w:id="22"/>
    <w:p w:rsidR="009B1E52" w:rsidRPr="00A11A59" w:rsidRDefault="009B1E52" w:rsidP="009B1E52">
      <w:pPr>
        <w:ind w:left="360"/>
        <w:rPr>
          <w:sz w:val="18"/>
          <w:szCs w:val="18"/>
        </w:rPr>
      </w:pPr>
      <w:r w:rsidRPr="00A11A59">
        <w:rPr>
          <w:sz w:val="18"/>
          <w:szCs w:val="18"/>
        </w:rPr>
        <w:t>Spoločnosť nemá náplň pre danú položku</w:t>
      </w:r>
      <w:r w:rsidR="00125486">
        <w:rPr>
          <w:sz w:val="18"/>
          <w:szCs w:val="18"/>
        </w:rPr>
        <w:t>.</w:t>
      </w:r>
    </w:p>
    <w:p w:rsidR="007D6502" w:rsidRPr="00F70C00" w:rsidRDefault="007D6502" w:rsidP="0058479C">
      <w:pPr>
        <w:pStyle w:val="Zkladntext"/>
      </w:pPr>
    </w:p>
    <w:sectPr w:rsidR="007D6502" w:rsidRPr="00F70C00" w:rsidSect="00474456">
      <w:headerReference w:type="default" r:id="rId14"/>
      <w:footerReference w:type="default" r:id="rId15"/>
      <w:headerReference w:type="first" r:id="rId16"/>
      <w:footerReference w:type="first" r:id="rId17"/>
      <w:pgSz w:w="11906" w:h="16838" w:code="9"/>
      <w:pgMar w:top="1979" w:right="991" w:bottom="1134" w:left="1673" w:header="675" w:footer="340"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2D32C4" w:rsidRDefault="002D32C4" w:rsidP="00E95128">
      <w:r>
        <w:separator/>
      </w:r>
    </w:p>
  </w:endnote>
  <w:endnote w:type="continuationSeparator" w:id="1">
    <w:p w:rsidR="002D32C4" w:rsidRDefault="002D32C4" w:rsidP="00E95128">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Times">
    <w:panose1 w:val="02020603050405020304"/>
    <w:charset w:val="EE"/>
    <w:family w:val="roman"/>
    <w:pitch w:val="variable"/>
    <w:sig w:usb0="E0002EFF" w:usb1="C000785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Univers 55">
    <w:charset w:val="00"/>
    <w:family w:val="auto"/>
    <w:pitch w:val="variable"/>
    <w:sig w:usb0="80000023" w:usb1="00000000" w:usb2="00000000" w:usb3="00000000" w:csb0="00000001" w:csb1="00000000"/>
  </w:font>
  <w:font w:name="Arial Narrow">
    <w:panose1 w:val="020B0606020202030204"/>
    <w:charset w:val="EE"/>
    <w:family w:val="swiss"/>
    <w:pitch w:val="variable"/>
    <w:sig w:usb0="00000287" w:usb1="00000800" w:usb2="00000000" w:usb3="00000000" w:csb0="0000009F" w:csb1="00000000"/>
  </w:font>
  <w:font w:name="Arial">
    <w:panose1 w:val="020B0604020202020204"/>
    <w:charset w:val="EE"/>
    <w:family w:val="swiss"/>
    <w:pitch w:val="variable"/>
    <w:sig w:usb0="E0002EFF" w:usb1="C000785B"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2260643"/>
      <w:docPartObj>
        <w:docPartGallery w:val="Page Numbers (Bottom of Page)"/>
        <w:docPartUnique/>
      </w:docPartObj>
    </w:sdtPr>
    <w:sdtContent>
      <w:p w:rsidR="005E6A76" w:rsidRDefault="00F04EFB">
        <w:pPr>
          <w:pStyle w:val="Pta"/>
          <w:jc w:val="right"/>
        </w:pPr>
        <w:r>
          <w:fldChar w:fldCharType="begin"/>
        </w:r>
        <w:r w:rsidR="002D32C4">
          <w:instrText xml:space="preserve"> PAGE   \* MERGEFORMAT </w:instrText>
        </w:r>
        <w:r>
          <w:fldChar w:fldCharType="separate"/>
        </w:r>
        <w:r w:rsidR="00476D1F">
          <w:rPr>
            <w:noProof/>
          </w:rPr>
          <w:t>10</w:t>
        </w:r>
        <w:r>
          <w:rPr>
            <w:noProof/>
          </w:rPr>
          <w:fldChar w:fldCharType="end"/>
        </w:r>
      </w:p>
    </w:sdtContent>
  </w:sdt>
  <w:p w:rsidR="005E6A76" w:rsidRDefault="005E6A76">
    <w:pPr>
      <w:pStyle w:val="Pt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E6A76" w:rsidRDefault="005E6A76" w:rsidP="00F70C00">
    <w:pPr>
      <w:pStyle w:val="Pta"/>
      <w:tabs>
        <w:tab w:val="clear" w:pos="9072"/>
        <w:tab w:val="right" w:pos="9214"/>
      </w:tabs>
    </w:pPr>
    <w:r w:rsidRPr="00803D2C">
      <w:rPr>
        <w:sz w:val="16"/>
        <w:szCs w:val="16"/>
        <w:lang w:val="en-US"/>
      </w:rPr>
      <w:t xml:space="preserve">© </w:t>
    </w:r>
    <w:r>
      <w:rPr>
        <w:sz w:val="16"/>
        <w:szCs w:val="16"/>
        <w:lang w:val="en-US"/>
      </w:rPr>
      <w:t>2013</w:t>
    </w:r>
    <w:r w:rsidRPr="00803D2C">
      <w:rPr>
        <w:sz w:val="16"/>
        <w:szCs w:val="16"/>
        <w:lang w:val="en-US"/>
      </w:rPr>
      <w:t xml:space="preserve"> KPMG Slovensko, spol. s r. o. V</w:t>
    </w:r>
    <w:r w:rsidRPr="00803D2C">
      <w:rPr>
        <w:sz w:val="16"/>
        <w:szCs w:val="16"/>
      </w:rPr>
      <w:t>šetky práva vyhradené. Vytlačené na Slovensku.</w:t>
    </w:r>
    <w:r>
      <w:tab/>
    </w:r>
    <w:sdt>
      <w:sdtPr>
        <w:id w:val="1542133"/>
        <w:docPartObj>
          <w:docPartGallery w:val="Page Numbers (Bottom of Page)"/>
          <w:docPartUnique/>
        </w:docPartObj>
      </w:sdtPr>
      <w:sdtContent>
        <w:r w:rsidR="00F04EFB" w:rsidRPr="00F70C00">
          <w:rPr>
            <w:b/>
          </w:rPr>
          <w:fldChar w:fldCharType="begin"/>
        </w:r>
        <w:r w:rsidRPr="00F70C00">
          <w:rPr>
            <w:b/>
          </w:rPr>
          <w:instrText xml:space="preserve"> PAGE   \* MERGEFORMAT </w:instrText>
        </w:r>
        <w:r w:rsidR="00F04EFB" w:rsidRPr="00F70C00">
          <w:rPr>
            <w:b/>
          </w:rPr>
          <w:fldChar w:fldCharType="separate"/>
        </w:r>
        <w:r>
          <w:rPr>
            <w:b/>
            <w:noProof/>
          </w:rPr>
          <w:t>17</w:t>
        </w:r>
        <w:r w:rsidR="00F04EFB" w:rsidRPr="00F70C00">
          <w:rPr>
            <w:b/>
          </w:rPr>
          <w:fldChar w:fldCharType="end"/>
        </w:r>
      </w:sdtContent>
    </w:sdt>
  </w:p>
  <w:p w:rsidR="005E6A76" w:rsidRDefault="005E6A76" w:rsidP="00F70C00">
    <w:pPr>
      <w:pStyle w:val="Pta"/>
      <w:tabs>
        <w:tab w:val="clear" w:pos="9072"/>
        <w:tab w:val="right" w:pos="9214"/>
      </w:tabs>
      <w:rPr>
        <w:sz w:val="16"/>
        <w:szCs w:val="16"/>
      </w:rPr>
    </w:pPr>
  </w:p>
  <w:p w:rsidR="005E6A76" w:rsidRPr="00F70C00" w:rsidRDefault="005E6A76" w:rsidP="00F70C00">
    <w:pPr>
      <w:pStyle w:val="Pta"/>
      <w:tabs>
        <w:tab w:val="clear" w:pos="9072"/>
        <w:tab w:val="right" w:pos="9214"/>
      </w:tabs>
      <w:rPr>
        <w:sz w:val="16"/>
        <w:szCs w:val="16"/>
      </w:rPr>
    </w:pPr>
    <w:r>
      <w:rPr>
        <w:sz w:val="16"/>
        <w:szCs w:val="16"/>
      </w:rPr>
      <w:tab/>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2D32C4" w:rsidRDefault="002D32C4" w:rsidP="00E95128">
      <w:r>
        <w:separator/>
      </w:r>
    </w:p>
  </w:footnote>
  <w:footnote w:type="continuationSeparator" w:id="1">
    <w:p w:rsidR="002D32C4" w:rsidRDefault="002D32C4" w:rsidP="00E95128">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E6A76" w:rsidRDefault="005E6A76" w:rsidP="00E95128">
    <w:pPr>
      <w:pStyle w:val="Hlavika"/>
      <w:tabs>
        <w:tab w:val="clear" w:pos="4536"/>
        <w:tab w:val="clear" w:pos="9072"/>
        <w:tab w:val="center" w:pos="3969"/>
        <w:tab w:val="right" w:pos="9214"/>
      </w:tabs>
      <w:jc w:val="right"/>
    </w:pPr>
  </w:p>
  <w:tbl>
    <w:tblPr>
      <w:tblW w:w="0" w:type="auto"/>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tblPr>
    <w:tblGrid>
      <w:gridCol w:w="2126"/>
      <w:gridCol w:w="4111"/>
      <w:gridCol w:w="284"/>
      <w:gridCol w:w="283"/>
      <w:gridCol w:w="284"/>
      <w:gridCol w:w="283"/>
      <w:gridCol w:w="284"/>
      <w:gridCol w:w="283"/>
      <w:gridCol w:w="284"/>
      <w:gridCol w:w="283"/>
      <w:gridCol w:w="284"/>
      <w:gridCol w:w="283"/>
    </w:tblGrid>
    <w:tr w:rsidR="005E6A76" w:rsidRPr="00DD1CC9" w:rsidTr="00DD1CC9">
      <w:trPr>
        <w:trHeight w:val="299"/>
      </w:trPr>
      <w:tc>
        <w:tcPr>
          <w:tcW w:w="2126" w:type="dxa"/>
          <w:vAlign w:val="center"/>
        </w:tcPr>
        <w:p w:rsidR="005E6A76" w:rsidRPr="00DD1CC9" w:rsidRDefault="005E6A76" w:rsidP="00E37E25">
          <w:pPr>
            <w:pStyle w:val="Hlavika"/>
            <w:tabs>
              <w:tab w:val="clear" w:pos="4536"/>
              <w:tab w:val="center" w:pos="4253"/>
              <w:tab w:val="right" w:pos="9214"/>
            </w:tabs>
            <w:jc w:val="center"/>
            <w:rPr>
              <w:sz w:val="18"/>
              <w:szCs w:val="18"/>
            </w:rPr>
          </w:pPr>
          <w:r w:rsidRPr="00DD1CC9">
            <w:rPr>
              <w:rFonts w:cs="Arial"/>
              <w:sz w:val="18"/>
              <w:szCs w:val="18"/>
              <w:lang w:eastAsia="sk-SK"/>
            </w:rPr>
            <w:t>Poznámky Úč POD 3 - 0</w:t>
          </w:r>
          <w:r>
            <w:rPr>
              <w:rFonts w:cs="Arial"/>
              <w:sz w:val="18"/>
              <w:szCs w:val="18"/>
              <w:lang w:eastAsia="sk-SK"/>
            </w:rPr>
            <w:t>1</w:t>
          </w:r>
        </w:p>
      </w:tc>
      <w:tc>
        <w:tcPr>
          <w:tcW w:w="4111" w:type="dxa"/>
          <w:tcBorders>
            <w:top w:val="nil"/>
            <w:bottom w:val="nil"/>
          </w:tcBorders>
          <w:vAlign w:val="center"/>
        </w:tcPr>
        <w:p w:rsidR="005E6A76" w:rsidRPr="00DD1CC9" w:rsidRDefault="005E6A76" w:rsidP="00D34B3E">
          <w:pPr>
            <w:pStyle w:val="Hlavika"/>
            <w:tabs>
              <w:tab w:val="clear" w:pos="4536"/>
              <w:tab w:val="center" w:pos="4253"/>
              <w:tab w:val="right" w:pos="9214"/>
            </w:tabs>
            <w:jc w:val="right"/>
            <w:rPr>
              <w:sz w:val="18"/>
              <w:szCs w:val="18"/>
            </w:rPr>
          </w:pPr>
          <w:r w:rsidRPr="00DD1CC9">
            <w:rPr>
              <w:sz w:val="18"/>
              <w:szCs w:val="18"/>
            </w:rPr>
            <w:t>DIČ</w:t>
          </w:r>
        </w:p>
      </w:tc>
      <w:tc>
        <w:tcPr>
          <w:tcW w:w="284" w:type="dxa"/>
          <w:vAlign w:val="center"/>
        </w:tcPr>
        <w:p w:rsidR="005E6A76" w:rsidRPr="00F11B5D" w:rsidRDefault="005E6A76" w:rsidP="00D34B3E">
          <w:pPr>
            <w:pStyle w:val="Hlavika"/>
            <w:tabs>
              <w:tab w:val="clear" w:pos="4536"/>
              <w:tab w:val="center" w:pos="4253"/>
              <w:tab w:val="right" w:pos="9214"/>
            </w:tabs>
            <w:jc w:val="center"/>
            <w:rPr>
              <w:sz w:val="18"/>
              <w:szCs w:val="18"/>
              <w:lang w:val="en-US"/>
            </w:rPr>
          </w:pPr>
          <w:r>
            <w:rPr>
              <w:sz w:val="18"/>
              <w:szCs w:val="18"/>
              <w:lang w:val="en-US"/>
            </w:rPr>
            <w:t>2</w:t>
          </w:r>
        </w:p>
      </w:tc>
      <w:tc>
        <w:tcPr>
          <w:tcW w:w="283" w:type="dxa"/>
          <w:vAlign w:val="center"/>
        </w:tcPr>
        <w:p w:rsidR="005E6A76" w:rsidRPr="00DD1CC9" w:rsidRDefault="005E6A76" w:rsidP="00D34B3E">
          <w:pPr>
            <w:pStyle w:val="Hlavika"/>
            <w:tabs>
              <w:tab w:val="clear" w:pos="4536"/>
              <w:tab w:val="center" w:pos="4253"/>
              <w:tab w:val="right" w:pos="9214"/>
            </w:tabs>
            <w:jc w:val="center"/>
            <w:rPr>
              <w:sz w:val="18"/>
              <w:szCs w:val="18"/>
            </w:rPr>
          </w:pPr>
          <w:r>
            <w:rPr>
              <w:sz w:val="18"/>
              <w:szCs w:val="18"/>
            </w:rPr>
            <w:t>0</w:t>
          </w:r>
        </w:p>
      </w:tc>
      <w:tc>
        <w:tcPr>
          <w:tcW w:w="284" w:type="dxa"/>
          <w:vAlign w:val="center"/>
        </w:tcPr>
        <w:p w:rsidR="005E6A76" w:rsidRPr="00DD1CC9" w:rsidRDefault="005E6A76" w:rsidP="00D34B3E">
          <w:pPr>
            <w:pStyle w:val="Hlavika"/>
            <w:tabs>
              <w:tab w:val="clear" w:pos="4536"/>
              <w:tab w:val="center" w:pos="4253"/>
              <w:tab w:val="right" w:pos="9214"/>
            </w:tabs>
            <w:jc w:val="center"/>
            <w:rPr>
              <w:sz w:val="18"/>
              <w:szCs w:val="18"/>
            </w:rPr>
          </w:pPr>
          <w:r>
            <w:rPr>
              <w:sz w:val="18"/>
              <w:szCs w:val="18"/>
            </w:rPr>
            <w:t>2</w:t>
          </w:r>
        </w:p>
      </w:tc>
      <w:tc>
        <w:tcPr>
          <w:tcW w:w="283" w:type="dxa"/>
          <w:vAlign w:val="center"/>
        </w:tcPr>
        <w:p w:rsidR="005E6A76" w:rsidRPr="00DD1CC9" w:rsidRDefault="005E6A76" w:rsidP="00D34B3E">
          <w:pPr>
            <w:pStyle w:val="Hlavika"/>
            <w:tabs>
              <w:tab w:val="clear" w:pos="4536"/>
              <w:tab w:val="center" w:pos="4253"/>
              <w:tab w:val="right" w:pos="9214"/>
            </w:tabs>
            <w:jc w:val="center"/>
            <w:rPr>
              <w:sz w:val="18"/>
              <w:szCs w:val="18"/>
            </w:rPr>
          </w:pPr>
          <w:r>
            <w:rPr>
              <w:sz w:val="18"/>
              <w:szCs w:val="18"/>
            </w:rPr>
            <w:t>3</w:t>
          </w:r>
        </w:p>
      </w:tc>
      <w:tc>
        <w:tcPr>
          <w:tcW w:w="284" w:type="dxa"/>
          <w:vAlign w:val="center"/>
        </w:tcPr>
        <w:p w:rsidR="005E6A76" w:rsidRPr="00DD1CC9" w:rsidRDefault="005E6A76" w:rsidP="00D34B3E">
          <w:pPr>
            <w:pStyle w:val="Hlavika"/>
            <w:tabs>
              <w:tab w:val="clear" w:pos="4536"/>
              <w:tab w:val="center" w:pos="4253"/>
              <w:tab w:val="right" w:pos="9214"/>
            </w:tabs>
            <w:jc w:val="center"/>
            <w:rPr>
              <w:sz w:val="18"/>
              <w:szCs w:val="18"/>
            </w:rPr>
          </w:pPr>
          <w:r>
            <w:rPr>
              <w:sz w:val="18"/>
              <w:szCs w:val="18"/>
            </w:rPr>
            <w:t>4</w:t>
          </w:r>
        </w:p>
      </w:tc>
      <w:tc>
        <w:tcPr>
          <w:tcW w:w="283" w:type="dxa"/>
          <w:vAlign w:val="center"/>
        </w:tcPr>
        <w:p w:rsidR="005E6A76" w:rsidRPr="00DD1CC9" w:rsidRDefault="005E6A76" w:rsidP="00D34B3E">
          <w:pPr>
            <w:pStyle w:val="Hlavika"/>
            <w:tabs>
              <w:tab w:val="clear" w:pos="4536"/>
              <w:tab w:val="center" w:pos="4253"/>
              <w:tab w:val="right" w:pos="9214"/>
            </w:tabs>
            <w:jc w:val="center"/>
            <w:rPr>
              <w:sz w:val="18"/>
              <w:szCs w:val="18"/>
            </w:rPr>
          </w:pPr>
          <w:r>
            <w:rPr>
              <w:sz w:val="18"/>
              <w:szCs w:val="18"/>
            </w:rPr>
            <w:t>6</w:t>
          </w:r>
        </w:p>
      </w:tc>
      <w:tc>
        <w:tcPr>
          <w:tcW w:w="284" w:type="dxa"/>
          <w:vAlign w:val="center"/>
        </w:tcPr>
        <w:p w:rsidR="005E6A76" w:rsidRPr="00DD1CC9" w:rsidRDefault="005E6A76" w:rsidP="00D34B3E">
          <w:pPr>
            <w:pStyle w:val="Hlavika"/>
            <w:tabs>
              <w:tab w:val="clear" w:pos="4536"/>
              <w:tab w:val="center" w:pos="4253"/>
              <w:tab w:val="right" w:pos="9214"/>
            </w:tabs>
            <w:jc w:val="center"/>
            <w:rPr>
              <w:sz w:val="18"/>
              <w:szCs w:val="18"/>
            </w:rPr>
          </w:pPr>
          <w:r>
            <w:rPr>
              <w:sz w:val="18"/>
              <w:szCs w:val="18"/>
            </w:rPr>
            <w:t>6</w:t>
          </w:r>
        </w:p>
      </w:tc>
      <w:tc>
        <w:tcPr>
          <w:tcW w:w="283" w:type="dxa"/>
          <w:vAlign w:val="center"/>
        </w:tcPr>
        <w:p w:rsidR="005E6A76" w:rsidRPr="00DD1CC9" w:rsidRDefault="005E6A76" w:rsidP="00D34B3E">
          <w:pPr>
            <w:pStyle w:val="Hlavika"/>
            <w:tabs>
              <w:tab w:val="clear" w:pos="4536"/>
              <w:tab w:val="center" w:pos="4253"/>
              <w:tab w:val="right" w:pos="9214"/>
            </w:tabs>
            <w:jc w:val="center"/>
            <w:rPr>
              <w:sz w:val="18"/>
              <w:szCs w:val="18"/>
            </w:rPr>
          </w:pPr>
          <w:r>
            <w:rPr>
              <w:sz w:val="18"/>
              <w:szCs w:val="18"/>
            </w:rPr>
            <w:t>6</w:t>
          </w:r>
        </w:p>
      </w:tc>
      <w:tc>
        <w:tcPr>
          <w:tcW w:w="284" w:type="dxa"/>
          <w:vAlign w:val="center"/>
        </w:tcPr>
        <w:p w:rsidR="005E6A76" w:rsidRPr="00DD1CC9" w:rsidRDefault="005E6A76" w:rsidP="00D34B3E">
          <w:pPr>
            <w:pStyle w:val="Hlavika"/>
            <w:tabs>
              <w:tab w:val="clear" w:pos="4536"/>
              <w:tab w:val="center" w:pos="4253"/>
              <w:tab w:val="right" w:pos="9214"/>
            </w:tabs>
            <w:jc w:val="center"/>
            <w:rPr>
              <w:sz w:val="18"/>
              <w:szCs w:val="18"/>
            </w:rPr>
          </w:pPr>
          <w:r>
            <w:rPr>
              <w:sz w:val="18"/>
              <w:szCs w:val="18"/>
            </w:rPr>
            <w:t>9</w:t>
          </w:r>
        </w:p>
      </w:tc>
      <w:tc>
        <w:tcPr>
          <w:tcW w:w="283" w:type="dxa"/>
          <w:vAlign w:val="center"/>
        </w:tcPr>
        <w:p w:rsidR="005E6A76" w:rsidRPr="00DD1CC9" w:rsidRDefault="005E6A76" w:rsidP="00D34B3E">
          <w:pPr>
            <w:pStyle w:val="Hlavika"/>
            <w:tabs>
              <w:tab w:val="clear" w:pos="4536"/>
              <w:tab w:val="center" w:pos="4253"/>
              <w:tab w:val="right" w:pos="9214"/>
            </w:tabs>
            <w:jc w:val="center"/>
            <w:rPr>
              <w:sz w:val="18"/>
              <w:szCs w:val="18"/>
            </w:rPr>
          </w:pPr>
          <w:r>
            <w:rPr>
              <w:sz w:val="18"/>
              <w:szCs w:val="18"/>
            </w:rPr>
            <w:t>8</w:t>
          </w:r>
        </w:p>
      </w:tc>
    </w:tr>
  </w:tbl>
  <w:p w:rsidR="005E6A76" w:rsidRPr="00E95128" w:rsidRDefault="005E6A76" w:rsidP="00E95128">
    <w:pPr>
      <w:pStyle w:val="Hlavika"/>
      <w:tabs>
        <w:tab w:val="clear" w:pos="4536"/>
        <w:tab w:val="clear" w:pos="9072"/>
        <w:tab w:val="center" w:pos="3969"/>
        <w:tab w:val="right" w:pos="9214"/>
      </w:tabs>
      <w:jc w:val="right"/>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E6A76" w:rsidRDefault="005E6A76" w:rsidP="008A2D79">
    <w:pPr>
      <w:pStyle w:val="Hlavika"/>
      <w:tabs>
        <w:tab w:val="center" w:pos="4820"/>
        <w:tab w:val="right" w:pos="9214"/>
      </w:tabs>
      <w:jc w:val="right"/>
      <w:rPr>
        <w:sz w:val="18"/>
      </w:rPr>
    </w:pPr>
  </w:p>
  <w:p w:rsidR="005E6A76" w:rsidRPr="00E95128" w:rsidRDefault="005E6A76" w:rsidP="008A2D79">
    <w:pPr>
      <w:pStyle w:val="Hlavika"/>
      <w:tabs>
        <w:tab w:val="center" w:pos="4820"/>
        <w:tab w:val="right" w:pos="9214"/>
      </w:tabs>
      <w:jc w:val="right"/>
      <w:rPr>
        <w:sz w:val="18"/>
      </w:rPr>
    </w:pPr>
    <w:r>
      <w:rPr>
        <w:rFonts w:eastAsiaTheme="minorHAnsi"/>
        <w:noProof/>
        <w:lang w:eastAsia="sk-SK"/>
      </w:rPr>
      <w:drawing>
        <wp:anchor distT="0" distB="0" distL="114300" distR="114300" simplePos="0" relativeHeight="251668480" behindDoc="1" locked="0" layoutInCell="1" allowOverlap="1">
          <wp:simplePos x="0" y="0"/>
          <wp:positionH relativeFrom="column">
            <wp:align>left</wp:align>
          </wp:positionH>
          <wp:positionV relativeFrom="page">
            <wp:posOffset>561975</wp:posOffset>
          </wp:positionV>
          <wp:extent cx="629920" cy="243840"/>
          <wp:effectExtent l="19050" t="0" r="0" b="0"/>
          <wp:wrapNone/>
          <wp:docPr id="10" name="Picture 1" descr="KPMG_20mm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KPMG_20mm56"/>
                  <pic:cNvPicPr>
                    <a:picLocks noChangeAspect="1" noChangeArrowheads="1"/>
                  </pic:cNvPicPr>
                </pic:nvPicPr>
                <pic:blipFill>
                  <a:blip r:embed="rId1"/>
                  <a:srcRect/>
                  <a:stretch>
                    <a:fillRect/>
                  </a:stretch>
                </pic:blipFill>
                <pic:spPr bwMode="auto">
                  <a:xfrm>
                    <a:off x="0" y="0"/>
                    <a:ext cx="629920" cy="243840"/>
                  </a:xfrm>
                  <a:prstGeom prst="rect">
                    <a:avLst/>
                  </a:prstGeom>
                  <a:noFill/>
                  <a:ln w="9525">
                    <a:noFill/>
                    <a:miter lim="800000"/>
                    <a:headEnd/>
                    <a:tailEnd/>
                  </a:ln>
                </pic:spPr>
              </pic:pic>
            </a:graphicData>
          </a:graphic>
        </wp:anchor>
      </w:drawing>
    </w:r>
    <w:r w:rsidRPr="008D6361">
      <w:rPr>
        <w:sz w:val="18"/>
        <w:szCs w:val="18"/>
      </w:rPr>
      <w:t>Vzorová účtovná závierka</w:t>
    </w:r>
  </w:p>
  <w:p w:rsidR="005E6A76" w:rsidRDefault="005E6A76" w:rsidP="008A2D79">
    <w:pPr>
      <w:pStyle w:val="Hlavika"/>
      <w:tabs>
        <w:tab w:val="clear" w:pos="4536"/>
        <w:tab w:val="clear" w:pos="9072"/>
        <w:tab w:val="center" w:pos="3969"/>
        <w:tab w:val="right" w:pos="9214"/>
      </w:tabs>
      <w:jc w:val="right"/>
      <w:rPr>
        <w:sz w:val="18"/>
        <w:szCs w:val="18"/>
      </w:rPr>
    </w:pPr>
    <w:r>
      <w:rPr>
        <w:b/>
        <w:bCs/>
        <w:sz w:val="18"/>
        <w:szCs w:val="18"/>
      </w:rPr>
      <w:tab/>
    </w:r>
    <w:r w:rsidRPr="00E95128">
      <w:rPr>
        <w:b/>
        <w:bCs/>
        <w:sz w:val="18"/>
        <w:szCs w:val="18"/>
      </w:rPr>
      <w:t>ABC Slovenská výroba, spol. s r. o.</w:t>
    </w:r>
    <w:r>
      <w:rPr>
        <w:b/>
        <w:bCs/>
        <w:sz w:val="18"/>
        <w:szCs w:val="18"/>
      </w:rPr>
      <w:tab/>
    </w:r>
    <w:r w:rsidRPr="008D6361">
      <w:rPr>
        <w:sz w:val="18"/>
        <w:szCs w:val="18"/>
      </w:rPr>
      <w:t>k</w:t>
    </w:r>
    <w:r w:rsidRPr="0075768F">
      <w:rPr>
        <w:sz w:val="18"/>
        <w:szCs w:val="18"/>
      </w:rPr>
      <w:t>3</w:t>
    </w:r>
    <w:r w:rsidRPr="008D6361">
      <w:rPr>
        <w:sz w:val="18"/>
        <w:szCs w:val="18"/>
      </w:rPr>
      <w:t xml:space="preserve">1. decembru </w:t>
    </w:r>
    <w:r>
      <w:rPr>
        <w:sz w:val="18"/>
        <w:szCs w:val="18"/>
      </w:rPr>
      <w:t>2013</w:t>
    </w:r>
  </w:p>
  <w:p w:rsidR="005E6A76" w:rsidRPr="00E95128" w:rsidRDefault="005E6A76" w:rsidP="008A2D79">
    <w:pPr>
      <w:pStyle w:val="Hlavika"/>
      <w:tabs>
        <w:tab w:val="clear" w:pos="4536"/>
        <w:tab w:val="clear" w:pos="9072"/>
        <w:tab w:val="center" w:pos="3969"/>
        <w:tab w:val="right" w:pos="9214"/>
      </w:tabs>
      <w:jc w:val="right"/>
    </w:pPr>
  </w:p>
  <w:tbl>
    <w:tblPr>
      <w:tblW w:w="0" w:type="auto"/>
      <w:tblInd w:w="-5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tblPr>
    <w:tblGrid>
      <w:gridCol w:w="2251"/>
      <w:gridCol w:w="4252"/>
      <w:gridCol w:w="284"/>
      <w:gridCol w:w="283"/>
      <w:gridCol w:w="284"/>
      <w:gridCol w:w="283"/>
      <w:gridCol w:w="284"/>
      <w:gridCol w:w="283"/>
      <w:gridCol w:w="284"/>
      <w:gridCol w:w="283"/>
      <w:gridCol w:w="284"/>
      <w:gridCol w:w="283"/>
    </w:tblGrid>
    <w:tr w:rsidR="005E6A76" w:rsidTr="00D34B3E">
      <w:trPr>
        <w:trHeight w:val="299"/>
      </w:trPr>
      <w:tc>
        <w:tcPr>
          <w:tcW w:w="2251" w:type="dxa"/>
          <w:vAlign w:val="center"/>
        </w:tcPr>
        <w:p w:rsidR="005E6A76" w:rsidRDefault="005E6A76" w:rsidP="00D34B3E">
          <w:pPr>
            <w:pStyle w:val="Hlavika"/>
            <w:tabs>
              <w:tab w:val="clear" w:pos="4536"/>
              <w:tab w:val="center" w:pos="4253"/>
              <w:tab w:val="right" w:pos="9214"/>
            </w:tabs>
            <w:jc w:val="center"/>
            <w:rPr>
              <w:sz w:val="22"/>
            </w:rPr>
          </w:pPr>
          <w:r>
            <w:rPr>
              <w:rFonts w:cs="Arial"/>
              <w:szCs w:val="22"/>
              <w:lang w:eastAsia="sk-SK"/>
            </w:rPr>
            <w:t>Poznámky Úč POD 3 - 04</w:t>
          </w:r>
        </w:p>
      </w:tc>
      <w:tc>
        <w:tcPr>
          <w:tcW w:w="4252" w:type="dxa"/>
          <w:tcBorders>
            <w:top w:val="nil"/>
            <w:bottom w:val="nil"/>
          </w:tcBorders>
          <w:vAlign w:val="center"/>
        </w:tcPr>
        <w:p w:rsidR="005E6A76" w:rsidRDefault="005E6A76" w:rsidP="00D34B3E">
          <w:pPr>
            <w:pStyle w:val="Hlavika"/>
            <w:tabs>
              <w:tab w:val="clear" w:pos="4536"/>
              <w:tab w:val="center" w:pos="4253"/>
              <w:tab w:val="right" w:pos="9214"/>
            </w:tabs>
            <w:jc w:val="right"/>
            <w:rPr>
              <w:sz w:val="22"/>
            </w:rPr>
          </w:pPr>
          <w:r>
            <w:rPr>
              <w:sz w:val="22"/>
            </w:rPr>
            <w:t>DIČ</w:t>
          </w:r>
        </w:p>
      </w:tc>
      <w:tc>
        <w:tcPr>
          <w:tcW w:w="284" w:type="dxa"/>
          <w:vAlign w:val="center"/>
        </w:tcPr>
        <w:p w:rsidR="005E6A76" w:rsidRDefault="005E6A76" w:rsidP="00D34B3E">
          <w:pPr>
            <w:pStyle w:val="Hlavika"/>
            <w:tabs>
              <w:tab w:val="clear" w:pos="4536"/>
              <w:tab w:val="center" w:pos="4253"/>
              <w:tab w:val="right" w:pos="9214"/>
            </w:tabs>
            <w:jc w:val="center"/>
            <w:rPr>
              <w:sz w:val="22"/>
            </w:rPr>
          </w:pPr>
        </w:p>
      </w:tc>
      <w:tc>
        <w:tcPr>
          <w:tcW w:w="283" w:type="dxa"/>
          <w:vAlign w:val="center"/>
        </w:tcPr>
        <w:p w:rsidR="005E6A76" w:rsidRDefault="005E6A76" w:rsidP="00D34B3E">
          <w:pPr>
            <w:pStyle w:val="Hlavika"/>
            <w:tabs>
              <w:tab w:val="clear" w:pos="4536"/>
              <w:tab w:val="center" w:pos="4253"/>
              <w:tab w:val="right" w:pos="9214"/>
            </w:tabs>
            <w:jc w:val="center"/>
            <w:rPr>
              <w:sz w:val="22"/>
            </w:rPr>
          </w:pPr>
        </w:p>
      </w:tc>
      <w:tc>
        <w:tcPr>
          <w:tcW w:w="284" w:type="dxa"/>
          <w:vAlign w:val="center"/>
        </w:tcPr>
        <w:p w:rsidR="005E6A76" w:rsidRDefault="005E6A76" w:rsidP="00D34B3E">
          <w:pPr>
            <w:pStyle w:val="Hlavika"/>
            <w:tabs>
              <w:tab w:val="clear" w:pos="4536"/>
              <w:tab w:val="center" w:pos="4253"/>
              <w:tab w:val="right" w:pos="9214"/>
            </w:tabs>
            <w:jc w:val="center"/>
            <w:rPr>
              <w:sz w:val="22"/>
            </w:rPr>
          </w:pPr>
        </w:p>
      </w:tc>
      <w:tc>
        <w:tcPr>
          <w:tcW w:w="283" w:type="dxa"/>
          <w:vAlign w:val="center"/>
        </w:tcPr>
        <w:p w:rsidR="005E6A76" w:rsidRDefault="005E6A76" w:rsidP="00D34B3E">
          <w:pPr>
            <w:pStyle w:val="Hlavika"/>
            <w:tabs>
              <w:tab w:val="clear" w:pos="4536"/>
              <w:tab w:val="center" w:pos="4253"/>
              <w:tab w:val="right" w:pos="9214"/>
            </w:tabs>
            <w:jc w:val="center"/>
            <w:rPr>
              <w:sz w:val="22"/>
            </w:rPr>
          </w:pPr>
        </w:p>
      </w:tc>
      <w:tc>
        <w:tcPr>
          <w:tcW w:w="284" w:type="dxa"/>
          <w:vAlign w:val="center"/>
        </w:tcPr>
        <w:p w:rsidR="005E6A76" w:rsidRDefault="005E6A76" w:rsidP="00D34B3E">
          <w:pPr>
            <w:pStyle w:val="Hlavika"/>
            <w:tabs>
              <w:tab w:val="clear" w:pos="4536"/>
              <w:tab w:val="center" w:pos="4253"/>
              <w:tab w:val="right" w:pos="9214"/>
            </w:tabs>
            <w:jc w:val="center"/>
            <w:rPr>
              <w:sz w:val="22"/>
            </w:rPr>
          </w:pPr>
        </w:p>
      </w:tc>
      <w:tc>
        <w:tcPr>
          <w:tcW w:w="283" w:type="dxa"/>
          <w:vAlign w:val="center"/>
        </w:tcPr>
        <w:p w:rsidR="005E6A76" w:rsidRDefault="005E6A76" w:rsidP="00D34B3E">
          <w:pPr>
            <w:pStyle w:val="Hlavika"/>
            <w:tabs>
              <w:tab w:val="clear" w:pos="4536"/>
              <w:tab w:val="center" w:pos="4253"/>
              <w:tab w:val="right" w:pos="9214"/>
            </w:tabs>
            <w:jc w:val="center"/>
            <w:rPr>
              <w:sz w:val="22"/>
            </w:rPr>
          </w:pPr>
        </w:p>
      </w:tc>
      <w:tc>
        <w:tcPr>
          <w:tcW w:w="284" w:type="dxa"/>
          <w:vAlign w:val="center"/>
        </w:tcPr>
        <w:p w:rsidR="005E6A76" w:rsidRDefault="005E6A76" w:rsidP="00D34B3E">
          <w:pPr>
            <w:pStyle w:val="Hlavika"/>
            <w:tabs>
              <w:tab w:val="clear" w:pos="4536"/>
              <w:tab w:val="center" w:pos="4253"/>
              <w:tab w:val="right" w:pos="9214"/>
            </w:tabs>
            <w:jc w:val="center"/>
            <w:rPr>
              <w:sz w:val="22"/>
            </w:rPr>
          </w:pPr>
        </w:p>
      </w:tc>
      <w:tc>
        <w:tcPr>
          <w:tcW w:w="283" w:type="dxa"/>
          <w:vAlign w:val="center"/>
        </w:tcPr>
        <w:p w:rsidR="005E6A76" w:rsidRDefault="005E6A76" w:rsidP="00D34B3E">
          <w:pPr>
            <w:pStyle w:val="Hlavika"/>
            <w:tabs>
              <w:tab w:val="clear" w:pos="4536"/>
              <w:tab w:val="center" w:pos="4253"/>
              <w:tab w:val="right" w:pos="9214"/>
            </w:tabs>
            <w:jc w:val="center"/>
            <w:rPr>
              <w:sz w:val="22"/>
            </w:rPr>
          </w:pPr>
        </w:p>
      </w:tc>
      <w:tc>
        <w:tcPr>
          <w:tcW w:w="284" w:type="dxa"/>
          <w:vAlign w:val="center"/>
        </w:tcPr>
        <w:p w:rsidR="005E6A76" w:rsidRDefault="005E6A76" w:rsidP="00D34B3E">
          <w:pPr>
            <w:pStyle w:val="Hlavika"/>
            <w:tabs>
              <w:tab w:val="clear" w:pos="4536"/>
              <w:tab w:val="center" w:pos="4253"/>
              <w:tab w:val="right" w:pos="9214"/>
            </w:tabs>
            <w:jc w:val="center"/>
            <w:rPr>
              <w:sz w:val="22"/>
            </w:rPr>
          </w:pPr>
        </w:p>
      </w:tc>
      <w:tc>
        <w:tcPr>
          <w:tcW w:w="283" w:type="dxa"/>
          <w:vAlign w:val="center"/>
        </w:tcPr>
        <w:p w:rsidR="005E6A76" w:rsidRDefault="005E6A76" w:rsidP="00D34B3E">
          <w:pPr>
            <w:pStyle w:val="Hlavika"/>
            <w:tabs>
              <w:tab w:val="clear" w:pos="4536"/>
              <w:tab w:val="center" w:pos="4253"/>
              <w:tab w:val="right" w:pos="9214"/>
            </w:tabs>
            <w:jc w:val="center"/>
            <w:rPr>
              <w:sz w:val="22"/>
            </w:rPr>
          </w:pPr>
        </w:p>
      </w:tc>
    </w:tr>
  </w:tbl>
  <w:p w:rsidR="005E6A76" w:rsidRPr="00E95128" w:rsidRDefault="005E6A76" w:rsidP="008648B4">
    <w:pPr>
      <w:pStyle w:val="Hlavika"/>
      <w:tabs>
        <w:tab w:val="clear" w:pos="4536"/>
        <w:tab w:val="center" w:pos="4253"/>
        <w:tab w:val="right" w:pos="9214"/>
      </w:tabs>
      <w:jc w:val="right"/>
      <w:rPr>
        <w:sz w:val="22"/>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FE"/>
    <w:multiLevelType w:val="singleLevel"/>
    <w:tmpl w:val="FFFFFFFF"/>
    <w:lvl w:ilvl="0">
      <w:numFmt w:val="decimal"/>
      <w:lvlText w:val="*"/>
      <w:lvlJc w:val="left"/>
      <w:rPr>
        <w:rFonts w:cs="Times New Roman"/>
      </w:rPr>
    </w:lvl>
  </w:abstractNum>
  <w:abstractNum w:abstractNumId="1">
    <w:nsid w:val="036C7DE6"/>
    <w:multiLevelType w:val="singleLevel"/>
    <w:tmpl w:val="0930CF9A"/>
    <w:lvl w:ilvl="0">
      <w:start w:val="1"/>
      <w:numFmt w:val="bullet"/>
      <w:lvlText w:val=""/>
      <w:lvlJc w:val="left"/>
      <w:pPr>
        <w:tabs>
          <w:tab w:val="num" w:pos="340"/>
        </w:tabs>
        <w:ind w:left="340" w:hanging="340"/>
      </w:pPr>
      <w:rPr>
        <w:rFonts w:ascii="Symbol" w:hAnsi="Symbol" w:hint="default"/>
        <w:color w:val="auto"/>
        <w:sz w:val="22"/>
      </w:rPr>
    </w:lvl>
  </w:abstractNum>
  <w:abstractNum w:abstractNumId="2">
    <w:nsid w:val="04B71293"/>
    <w:multiLevelType w:val="singleLevel"/>
    <w:tmpl w:val="5D2CEDE4"/>
    <w:lvl w:ilvl="0">
      <w:start w:val="1"/>
      <w:numFmt w:val="bullet"/>
      <w:lvlText w:val=""/>
      <w:lvlJc w:val="left"/>
      <w:pPr>
        <w:tabs>
          <w:tab w:val="num" w:pos="340"/>
        </w:tabs>
        <w:ind w:left="340" w:hanging="340"/>
      </w:pPr>
      <w:rPr>
        <w:rFonts w:ascii="Symbol" w:hAnsi="Symbol" w:hint="default"/>
        <w:color w:val="auto"/>
        <w:sz w:val="22"/>
      </w:rPr>
    </w:lvl>
  </w:abstractNum>
  <w:abstractNum w:abstractNumId="3">
    <w:nsid w:val="0C5537CD"/>
    <w:multiLevelType w:val="hybridMultilevel"/>
    <w:tmpl w:val="FB08211E"/>
    <w:lvl w:ilvl="0" w:tplc="04090017">
      <w:start w:val="1"/>
      <w:numFmt w:val="lowerLetter"/>
      <w:lvlText w:val="%1)"/>
      <w:lvlJc w:val="left"/>
      <w:pPr>
        <w:tabs>
          <w:tab w:val="num" w:pos="1192"/>
        </w:tabs>
        <w:ind w:left="1192" w:hanging="360"/>
      </w:pPr>
      <w:rPr>
        <w:rFonts w:cs="Times New Roman"/>
      </w:rPr>
    </w:lvl>
    <w:lvl w:ilvl="1" w:tplc="04090019" w:tentative="1">
      <w:start w:val="1"/>
      <w:numFmt w:val="lowerLetter"/>
      <w:lvlText w:val="%2."/>
      <w:lvlJc w:val="left"/>
      <w:pPr>
        <w:tabs>
          <w:tab w:val="num" w:pos="1912"/>
        </w:tabs>
        <w:ind w:left="1912" w:hanging="360"/>
      </w:pPr>
      <w:rPr>
        <w:rFonts w:cs="Times New Roman"/>
      </w:rPr>
    </w:lvl>
    <w:lvl w:ilvl="2" w:tplc="0409001B" w:tentative="1">
      <w:start w:val="1"/>
      <w:numFmt w:val="lowerRoman"/>
      <w:lvlText w:val="%3."/>
      <w:lvlJc w:val="right"/>
      <w:pPr>
        <w:tabs>
          <w:tab w:val="num" w:pos="2632"/>
        </w:tabs>
        <w:ind w:left="2632" w:hanging="180"/>
      </w:pPr>
      <w:rPr>
        <w:rFonts w:cs="Times New Roman"/>
      </w:rPr>
    </w:lvl>
    <w:lvl w:ilvl="3" w:tplc="0409000F" w:tentative="1">
      <w:start w:val="1"/>
      <w:numFmt w:val="decimal"/>
      <w:lvlText w:val="%4."/>
      <w:lvlJc w:val="left"/>
      <w:pPr>
        <w:tabs>
          <w:tab w:val="num" w:pos="3352"/>
        </w:tabs>
        <w:ind w:left="3352" w:hanging="360"/>
      </w:pPr>
      <w:rPr>
        <w:rFonts w:cs="Times New Roman"/>
      </w:rPr>
    </w:lvl>
    <w:lvl w:ilvl="4" w:tplc="04090019" w:tentative="1">
      <w:start w:val="1"/>
      <w:numFmt w:val="lowerLetter"/>
      <w:lvlText w:val="%5."/>
      <w:lvlJc w:val="left"/>
      <w:pPr>
        <w:tabs>
          <w:tab w:val="num" w:pos="4072"/>
        </w:tabs>
        <w:ind w:left="4072" w:hanging="360"/>
      </w:pPr>
      <w:rPr>
        <w:rFonts w:cs="Times New Roman"/>
      </w:rPr>
    </w:lvl>
    <w:lvl w:ilvl="5" w:tplc="0409001B" w:tentative="1">
      <w:start w:val="1"/>
      <w:numFmt w:val="lowerRoman"/>
      <w:lvlText w:val="%6."/>
      <w:lvlJc w:val="right"/>
      <w:pPr>
        <w:tabs>
          <w:tab w:val="num" w:pos="4792"/>
        </w:tabs>
        <w:ind w:left="4792" w:hanging="180"/>
      </w:pPr>
      <w:rPr>
        <w:rFonts w:cs="Times New Roman"/>
      </w:rPr>
    </w:lvl>
    <w:lvl w:ilvl="6" w:tplc="0409000F" w:tentative="1">
      <w:start w:val="1"/>
      <w:numFmt w:val="decimal"/>
      <w:lvlText w:val="%7."/>
      <w:lvlJc w:val="left"/>
      <w:pPr>
        <w:tabs>
          <w:tab w:val="num" w:pos="5512"/>
        </w:tabs>
        <w:ind w:left="5512" w:hanging="360"/>
      </w:pPr>
      <w:rPr>
        <w:rFonts w:cs="Times New Roman"/>
      </w:rPr>
    </w:lvl>
    <w:lvl w:ilvl="7" w:tplc="04090019" w:tentative="1">
      <w:start w:val="1"/>
      <w:numFmt w:val="lowerLetter"/>
      <w:lvlText w:val="%8."/>
      <w:lvlJc w:val="left"/>
      <w:pPr>
        <w:tabs>
          <w:tab w:val="num" w:pos="6232"/>
        </w:tabs>
        <w:ind w:left="6232" w:hanging="360"/>
      </w:pPr>
      <w:rPr>
        <w:rFonts w:cs="Times New Roman"/>
      </w:rPr>
    </w:lvl>
    <w:lvl w:ilvl="8" w:tplc="0409001B" w:tentative="1">
      <w:start w:val="1"/>
      <w:numFmt w:val="lowerRoman"/>
      <w:lvlText w:val="%9."/>
      <w:lvlJc w:val="right"/>
      <w:pPr>
        <w:tabs>
          <w:tab w:val="num" w:pos="6952"/>
        </w:tabs>
        <w:ind w:left="6952" w:hanging="180"/>
      </w:pPr>
      <w:rPr>
        <w:rFonts w:cs="Times New Roman"/>
      </w:rPr>
    </w:lvl>
  </w:abstractNum>
  <w:abstractNum w:abstractNumId="4">
    <w:nsid w:val="0F7B201E"/>
    <w:multiLevelType w:val="hybridMultilevel"/>
    <w:tmpl w:val="C07CDD90"/>
    <w:lvl w:ilvl="0" w:tplc="041B0001">
      <w:start w:val="1"/>
      <w:numFmt w:val="bullet"/>
      <w:lvlText w:val=""/>
      <w:lvlJc w:val="left"/>
      <w:pPr>
        <w:ind w:left="720" w:hanging="360"/>
      </w:pPr>
      <w:rPr>
        <w:rFonts w:ascii="Symbol" w:hAnsi="Symbol" w:hint="default"/>
      </w:rPr>
    </w:lvl>
    <w:lvl w:ilvl="1" w:tplc="041B0003">
      <w:start w:val="1"/>
      <w:numFmt w:val="decimal"/>
      <w:lvlText w:val="%2."/>
      <w:lvlJc w:val="left"/>
      <w:pPr>
        <w:tabs>
          <w:tab w:val="num" w:pos="1440"/>
        </w:tabs>
        <w:ind w:left="1440" w:hanging="360"/>
      </w:pPr>
    </w:lvl>
    <w:lvl w:ilvl="2" w:tplc="041B0005">
      <w:start w:val="1"/>
      <w:numFmt w:val="decimal"/>
      <w:lvlText w:val="%3."/>
      <w:lvlJc w:val="left"/>
      <w:pPr>
        <w:tabs>
          <w:tab w:val="num" w:pos="2160"/>
        </w:tabs>
        <w:ind w:left="2160" w:hanging="360"/>
      </w:pPr>
    </w:lvl>
    <w:lvl w:ilvl="3" w:tplc="041B0001">
      <w:start w:val="1"/>
      <w:numFmt w:val="decimal"/>
      <w:lvlText w:val="%4."/>
      <w:lvlJc w:val="left"/>
      <w:pPr>
        <w:tabs>
          <w:tab w:val="num" w:pos="2880"/>
        </w:tabs>
        <w:ind w:left="2880" w:hanging="360"/>
      </w:pPr>
    </w:lvl>
    <w:lvl w:ilvl="4" w:tplc="041B0003">
      <w:start w:val="1"/>
      <w:numFmt w:val="decimal"/>
      <w:lvlText w:val="%5."/>
      <w:lvlJc w:val="left"/>
      <w:pPr>
        <w:tabs>
          <w:tab w:val="num" w:pos="3600"/>
        </w:tabs>
        <w:ind w:left="3600" w:hanging="360"/>
      </w:pPr>
    </w:lvl>
    <w:lvl w:ilvl="5" w:tplc="041B0005">
      <w:start w:val="1"/>
      <w:numFmt w:val="decimal"/>
      <w:lvlText w:val="%6."/>
      <w:lvlJc w:val="left"/>
      <w:pPr>
        <w:tabs>
          <w:tab w:val="num" w:pos="4320"/>
        </w:tabs>
        <w:ind w:left="4320" w:hanging="360"/>
      </w:pPr>
    </w:lvl>
    <w:lvl w:ilvl="6" w:tplc="041B0001">
      <w:start w:val="1"/>
      <w:numFmt w:val="decimal"/>
      <w:lvlText w:val="%7."/>
      <w:lvlJc w:val="left"/>
      <w:pPr>
        <w:tabs>
          <w:tab w:val="num" w:pos="5040"/>
        </w:tabs>
        <w:ind w:left="5040" w:hanging="360"/>
      </w:pPr>
    </w:lvl>
    <w:lvl w:ilvl="7" w:tplc="041B0003">
      <w:start w:val="1"/>
      <w:numFmt w:val="decimal"/>
      <w:lvlText w:val="%8."/>
      <w:lvlJc w:val="left"/>
      <w:pPr>
        <w:tabs>
          <w:tab w:val="num" w:pos="5760"/>
        </w:tabs>
        <w:ind w:left="5760" w:hanging="360"/>
      </w:pPr>
    </w:lvl>
    <w:lvl w:ilvl="8" w:tplc="041B0005">
      <w:start w:val="1"/>
      <w:numFmt w:val="decimal"/>
      <w:lvlText w:val="%9."/>
      <w:lvlJc w:val="left"/>
      <w:pPr>
        <w:tabs>
          <w:tab w:val="num" w:pos="6480"/>
        </w:tabs>
        <w:ind w:left="6480" w:hanging="360"/>
      </w:pPr>
    </w:lvl>
  </w:abstractNum>
  <w:abstractNum w:abstractNumId="5">
    <w:nsid w:val="10890113"/>
    <w:multiLevelType w:val="singleLevel"/>
    <w:tmpl w:val="D41A76FC"/>
    <w:lvl w:ilvl="0">
      <w:start w:val="1"/>
      <w:numFmt w:val="bullet"/>
      <w:lvlText w:val=""/>
      <w:lvlJc w:val="left"/>
      <w:pPr>
        <w:tabs>
          <w:tab w:val="num" w:pos="340"/>
        </w:tabs>
        <w:ind w:left="340" w:hanging="340"/>
      </w:pPr>
      <w:rPr>
        <w:rFonts w:ascii="Symbol" w:hAnsi="Symbol" w:hint="default"/>
        <w:color w:val="auto"/>
        <w:sz w:val="22"/>
      </w:rPr>
    </w:lvl>
  </w:abstractNum>
  <w:abstractNum w:abstractNumId="6">
    <w:nsid w:val="141343CD"/>
    <w:multiLevelType w:val="singleLevel"/>
    <w:tmpl w:val="55AAC7D0"/>
    <w:lvl w:ilvl="0">
      <w:start w:val="1"/>
      <w:numFmt w:val="bullet"/>
      <w:lvlText w:val=""/>
      <w:lvlJc w:val="left"/>
      <w:pPr>
        <w:tabs>
          <w:tab w:val="num" w:pos="340"/>
        </w:tabs>
        <w:ind w:left="340" w:hanging="340"/>
      </w:pPr>
      <w:rPr>
        <w:rFonts w:ascii="Symbol" w:hAnsi="Symbol" w:hint="default"/>
        <w:color w:val="auto"/>
        <w:sz w:val="22"/>
      </w:rPr>
    </w:lvl>
  </w:abstractNum>
  <w:abstractNum w:abstractNumId="7">
    <w:nsid w:val="15B444EE"/>
    <w:multiLevelType w:val="singleLevel"/>
    <w:tmpl w:val="36F0DF82"/>
    <w:lvl w:ilvl="0">
      <w:start w:val="1"/>
      <w:numFmt w:val="lowerLetter"/>
      <w:lvlText w:val="(%1)"/>
      <w:lvlJc w:val="left"/>
      <w:pPr>
        <w:tabs>
          <w:tab w:val="num" w:pos="360"/>
        </w:tabs>
        <w:ind w:left="360" w:hanging="360"/>
      </w:pPr>
      <w:rPr>
        <w:rFonts w:cs="Times New Roman" w:hint="default"/>
        <w:b/>
      </w:rPr>
    </w:lvl>
  </w:abstractNum>
  <w:abstractNum w:abstractNumId="8">
    <w:nsid w:val="161A1F5E"/>
    <w:multiLevelType w:val="singleLevel"/>
    <w:tmpl w:val="30BE6116"/>
    <w:lvl w:ilvl="0">
      <w:start w:val="5"/>
      <w:numFmt w:val="bullet"/>
      <w:lvlText w:val="-"/>
      <w:lvlJc w:val="left"/>
      <w:pPr>
        <w:tabs>
          <w:tab w:val="num" w:pos="360"/>
        </w:tabs>
        <w:ind w:left="360" w:hanging="360"/>
      </w:pPr>
      <w:rPr>
        <w:rFonts w:hint="default"/>
      </w:rPr>
    </w:lvl>
  </w:abstractNum>
  <w:abstractNum w:abstractNumId="9">
    <w:nsid w:val="18E009EA"/>
    <w:multiLevelType w:val="hybridMultilevel"/>
    <w:tmpl w:val="1A86108C"/>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
    <w:nsid w:val="1C7D1952"/>
    <w:multiLevelType w:val="hybridMultilevel"/>
    <w:tmpl w:val="3A7296C4"/>
    <w:lvl w:ilvl="0" w:tplc="6660CD6E">
      <w:start w:val="1"/>
      <w:numFmt w:val="bullet"/>
      <w:lvlText w:val="–"/>
      <w:lvlJc w:val="left"/>
      <w:pPr>
        <w:tabs>
          <w:tab w:val="num" w:pos="766"/>
        </w:tabs>
        <w:ind w:left="766" w:hanging="340"/>
      </w:pPr>
      <w:rPr>
        <w:rFonts w:ascii="Times New Roman" w:hAnsi="Times New Roman" w:hint="default"/>
      </w:rPr>
    </w:lvl>
    <w:lvl w:ilvl="1" w:tplc="041B0003" w:tentative="1">
      <w:start w:val="1"/>
      <w:numFmt w:val="bullet"/>
      <w:lvlText w:val="o"/>
      <w:lvlJc w:val="left"/>
      <w:pPr>
        <w:tabs>
          <w:tab w:val="num" w:pos="1866"/>
        </w:tabs>
        <w:ind w:left="1866" w:hanging="360"/>
      </w:pPr>
      <w:rPr>
        <w:rFonts w:ascii="Courier New" w:hAnsi="Courier New" w:hint="default"/>
      </w:rPr>
    </w:lvl>
    <w:lvl w:ilvl="2" w:tplc="041B0005" w:tentative="1">
      <w:start w:val="1"/>
      <w:numFmt w:val="bullet"/>
      <w:lvlText w:val=""/>
      <w:lvlJc w:val="left"/>
      <w:pPr>
        <w:tabs>
          <w:tab w:val="num" w:pos="2586"/>
        </w:tabs>
        <w:ind w:left="2586" w:hanging="360"/>
      </w:pPr>
      <w:rPr>
        <w:rFonts w:ascii="Wingdings" w:hAnsi="Wingdings" w:hint="default"/>
      </w:rPr>
    </w:lvl>
    <w:lvl w:ilvl="3" w:tplc="041B0001" w:tentative="1">
      <w:start w:val="1"/>
      <w:numFmt w:val="bullet"/>
      <w:lvlText w:val=""/>
      <w:lvlJc w:val="left"/>
      <w:pPr>
        <w:tabs>
          <w:tab w:val="num" w:pos="3306"/>
        </w:tabs>
        <w:ind w:left="3306" w:hanging="360"/>
      </w:pPr>
      <w:rPr>
        <w:rFonts w:ascii="Symbol" w:hAnsi="Symbol" w:hint="default"/>
      </w:rPr>
    </w:lvl>
    <w:lvl w:ilvl="4" w:tplc="041B0003" w:tentative="1">
      <w:start w:val="1"/>
      <w:numFmt w:val="bullet"/>
      <w:lvlText w:val="o"/>
      <w:lvlJc w:val="left"/>
      <w:pPr>
        <w:tabs>
          <w:tab w:val="num" w:pos="4026"/>
        </w:tabs>
        <w:ind w:left="4026" w:hanging="360"/>
      </w:pPr>
      <w:rPr>
        <w:rFonts w:ascii="Courier New" w:hAnsi="Courier New" w:hint="default"/>
      </w:rPr>
    </w:lvl>
    <w:lvl w:ilvl="5" w:tplc="041B0005" w:tentative="1">
      <w:start w:val="1"/>
      <w:numFmt w:val="bullet"/>
      <w:lvlText w:val=""/>
      <w:lvlJc w:val="left"/>
      <w:pPr>
        <w:tabs>
          <w:tab w:val="num" w:pos="4746"/>
        </w:tabs>
        <w:ind w:left="4746" w:hanging="360"/>
      </w:pPr>
      <w:rPr>
        <w:rFonts w:ascii="Wingdings" w:hAnsi="Wingdings" w:hint="default"/>
      </w:rPr>
    </w:lvl>
    <w:lvl w:ilvl="6" w:tplc="041B0001" w:tentative="1">
      <w:start w:val="1"/>
      <w:numFmt w:val="bullet"/>
      <w:lvlText w:val=""/>
      <w:lvlJc w:val="left"/>
      <w:pPr>
        <w:tabs>
          <w:tab w:val="num" w:pos="5466"/>
        </w:tabs>
        <w:ind w:left="5466" w:hanging="360"/>
      </w:pPr>
      <w:rPr>
        <w:rFonts w:ascii="Symbol" w:hAnsi="Symbol" w:hint="default"/>
      </w:rPr>
    </w:lvl>
    <w:lvl w:ilvl="7" w:tplc="041B0003" w:tentative="1">
      <w:start w:val="1"/>
      <w:numFmt w:val="bullet"/>
      <w:lvlText w:val="o"/>
      <w:lvlJc w:val="left"/>
      <w:pPr>
        <w:tabs>
          <w:tab w:val="num" w:pos="6186"/>
        </w:tabs>
        <w:ind w:left="6186" w:hanging="360"/>
      </w:pPr>
      <w:rPr>
        <w:rFonts w:ascii="Courier New" w:hAnsi="Courier New" w:hint="default"/>
      </w:rPr>
    </w:lvl>
    <w:lvl w:ilvl="8" w:tplc="041B0005" w:tentative="1">
      <w:start w:val="1"/>
      <w:numFmt w:val="bullet"/>
      <w:lvlText w:val=""/>
      <w:lvlJc w:val="left"/>
      <w:pPr>
        <w:tabs>
          <w:tab w:val="num" w:pos="6906"/>
        </w:tabs>
        <w:ind w:left="6906" w:hanging="360"/>
      </w:pPr>
      <w:rPr>
        <w:rFonts w:ascii="Wingdings" w:hAnsi="Wingdings" w:hint="default"/>
      </w:rPr>
    </w:lvl>
  </w:abstractNum>
  <w:abstractNum w:abstractNumId="11">
    <w:nsid w:val="1D2A1A4E"/>
    <w:multiLevelType w:val="hybridMultilevel"/>
    <w:tmpl w:val="B034514E"/>
    <w:lvl w:ilvl="0" w:tplc="6660CD6E">
      <w:start w:val="1"/>
      <w:numFmt w:val="bullet"/>
      <w:lvlText w:val="–"/>
      <w:lvlJc w:val="left"/>
      <w:pPr>
        <w:tabs>
          <w:tab w:val="num" w:pos="766"/>
        </w:tabs>
        <w:ind w:left="766" w:hanging="340"/>
      </w:pPr>
      <w:rPr>
        <w:rFonts w:ascii="Times New Roman" w:hAnsi="Times New Roman" w:hint="default"/>
      </w:rPr>
    </w:lvl>
    <w:lvl w:ilvl="1" w:tplc="041B0003" w:tentative="1">
      <w:start w:val="1"/>
      <w:numFmt w:val="bullet"/>
      <w:lvlText w:val="o"/>
      <w:lvlJc w:val="left"/>
      <w:pPr>
        <w:tabs>
          <w:tab w:val="num" w:pos="1866"/>
        </w:tabs>
        <w:ind w:left="1866" w:hanging="360"/>
      </w:pPr>
      <w:rPr>
        <w:rFonts w:ascii="Courier New" w:hAnsi="Courier New" w:hint="default"/>
      </w:rPr>
    </w:lvl>
    <w:lvl w:ilvl="2" w:tplc="041B0005" w:tentative="1">
      <w:start w:val="1"/>
      <w:numFmt w:val="bullet"/>
      <w:lvlText w:val=""/>
      <w:lvlJc w:val="left"/>
      <w:pPr>
        <w:tabs>
          <w:tab w:val="num" w:pos="2586"/>
        </w:tabs>
        <w:ind w:left="2586" w:hanging="360"/>
      </w:pPr>
      <w:rPr>
        <w:rFonts w:ascii="Wingdings" w:hAnsi="Wingdings" w:hint="default"/>
      </w:rPr>
    </w:lvl>
    <w:lvl w:ilvl="3" w:tplc="041B0001" w:tentative="1">
      <w:start w:val="1"/>
      <w:numFmt w:val="bullet"/>
      <w:lvlText w:val=""/>
      <w:lvlJc w:val="left"/>
      <w:pPr>
        <w:tabs>
          <w:tab w:val="num" w:pos="3306"/>
        </w:tabs>
        <w:ind w:left="3306" w:hanging="360"/>
      </w:pPr>
      <w:rPr>
        <w:rFonts w:ascii="Symbol" w:hAnsi="Symbol" w:hint="default"/>
      </w:rPr>
    </w:lvl>
    <w:lvl w:ilvl="4" w:tplc="041B0003" w:tentative="1">
      <w:start w:val="1"/>
      <w:numFmt w:val="bullet"/>
      <w:lvlText w:val="o"/>
      <w:lvlJc w:val="left"/>
      <w:pPr>
        <w:tabs>
          <w:tab w:val="num" w:pos="4026"/>
        </w:tabs>
        <w:ind w:left="4026" w:hanging="360"/>
      </w:pPr>
      <w:rPr>
        <w:rFonts w:ascii="Courier New" w:hAnsi="Courier New" w:hint="default"/>
      </w:rPr>
    </w:lvl>
    <w:lvl w:ilvl="5" w:tplc="041B0005" w:tentative="1">
      <w:start w:val="1"/>
      <w:numFmt w:val="bullet"/>
      <w:lvlText w:val=""/>
      <w:lvlJc w:val="left"/>
      <w:pPr>
        <w:tabs>
          <w:tab w:val="num" w:pos="4746"/>
        </w:tabs>
        <w:ind w:left="4746" w:hanging="360"/>
      </w:pPr>
      <w:rPr>
        <w:rFonts w:ascii="Wingdings" w:hAnsi="Wingdings" w:hint="default"/>
      </w:rPr>
    </w:lvl>
    <w:lvl w:ilvl="6" w:tplc="041B0001" w:tentative="1">
      <w:start w:val="1"/>
      <w:numFmt w:val="bullet"/>
      <w:lvlText w:val=""/>
      <w:lvlJc w:val="left"/>
      <w:pPr>
        <w:tabs>
          <w:tab w:val="num" w:pos="5466"/>
        </w:tabs>
        <w:ind w:left="5466" w:hanging="360"/>
      </w:pPr>
      <w:rPr>
        <w:rFonts w:ascii="Symbol" w:hAnsi="Symbol" w:hint="default"/>
      </w:rPr>
    </w:lvl>
    <w:lvl w:ilvl="7" w:tplc="041B0003" w:tentative="1">
      <w:start w:val="1"/>
      <w:numFmt w:val="bullet"/>
      <w:lvlText w:val="o"/>
      <w:lvlJc w:val="left"/>
      <w:pPr>
        <w:tabs>
          <w:tab w:val="num" w:pos="6186"/>
        </w:tabs>
        <w:ind w:left="6186" w:hanging="360"/>
      </w:pPr>
      <w:rPr>
        <w:rFonts w:ascii="Courier New" w:hAnsi="Courier New" w:hint="default"/>
      </w:rPr>
    </w:lvl>
    <w:lvl w:ilvl="8" w:tplc="041B0005" w:tentative="1">
      <w:start w:val="1"/>
      <w:numFmt w:val="bullet"/>
      <w:lvlText w:val=""/>
      <w:lvlJc w:val="left"/>
      <w:pPr>
        <w:tabs>
          <w:tab w:val="num" w:pos="6906"/>
        </w:tabs>
        <w:ind w:left="6906" w:hanging="360"/>
      </w:pPr>
      <w:rPr>
        <w:rFonts w:ascii="Wingdings" w:hAnsi="Wingdings" w:hint="default"/>
      </w:rPr>
    </w:lvl>
  </w:abstractNum>
  <w:abstractNum w:abstractNumId="12">
    <w:nsid w:val="237329C6"/>
    <w:multiLevelType w:val="hybridMultilevel"/>
    <w:tmpl w:val="AA0C3734"/>
    <w:lvl w:ilvl="0" w:tplc="6660CD6E">
      <w:start w:val="1"/>
      <w:numFmt w:val="bullet"/>
      <w:lvlText w:val="–"/>
      <w:lvlJc w:val="left"/>
      <w:pPr>
        <w:ind w:left="1150" w:hanging="360"/>
      </w:pPr>
      <w:rPr>
        <w:rFonts w:ascii="Times New Roman" w:hAnsi="Times New Roman" w:hint="default"/>
      </w:rPr>
    </w:lvl>
    <w:lvl w:ilvl="1" w:tplc="041B0003" w:tentative="1">
      <w:start w:val="1"/>
      <w:numFmt w:val="bullet"/>
      <w:lvlText w:val="o"/>
      <w:lvlJc w:val="left"/>
      <w:pPr>
        <w:ind w:left="1870" w:hanging="360"/>
      </w:pPr>
      <w:rPr>
        <w:rFonts w:ascii="Courier New" w:hAnsi="Courier New" w:cs="Courier New" w:hint="default"/>
      </w:rPr>
    </w:lvl>
    <w:lvl w:ilvl="2" w:tplc="041B0005" w:tentative="1">
      <w:start w:val="1"/>
      <w:numFmt w:val="bullet"/>
      <w:lvlText w:val=""/>
      <w:lvlJc w:val="left"/>
      <w:pPr>
        <w:ind w:left="2590" w:hanging="360"/>
      </w:pPr>
      <w:rPr>
        <w:rFonts w:ascii="Wingdings" w:hAnsi="Wingdings" w:hint="default"/>
      </w:rPr>
    </w:lvl>
    <w:lvl w:ilvl="3" w:tplc="041B0001" w:tentative="1">
      <w:start w:val="1"/>
      <w:numFmt w:val="bullet"/>
      <w:lvlText w:val=""/>
      <w:lvlJc w:val="left"/>
      <w:pPr>
        <w:ind w:left="3310" w:hanging="360"/>
      </w:pPr>
      <w:rPr>
        <w:rFonts w:ascii="Symbol" w:hAnsi="Symbol" w:hint="default"/>
      </w:rPr>
    </w:lvl>
    <w:lvl w:ilvl="4" w:tplc="041B0003" w:tentative="1">
      <w:start w:val="1"/>
      <w:numFmt w:val="bullet"/>
      <w:lvlText w:val="o"/>
      <w:lvlJc w:val="left"/>
      <w:pPr>
        <w:ind w:left="4030" w:hanging="360"/>
      </w:pPr>
      <w:rPr>
        <w:rFonts w:ascii="Courier New" w:hAnsi="Courier New" w:cs="Courier New" w:hint="default"/>
      </w:rPr>
    </w:lvl>
    <w:lvl w:ilvl="5" w:tplc="041B0005" w:tentative="1">
      <w:start w:val="1"/>
      <w:numFmt w:val="bullet"/>
      <w:lvlText w:val=""/>
      <w:lvlJc w:val="left"/>
      <w:pPr>
        <w:ind w:left="4750" w:hanging="360"/>
      </w:pPr>
      <w:rPr>
        <w:rFonts w:ascii="Wingdings" w:hAnsi="Wingdings" w:hint="default"/>
      </w:rPr>
    </w:lvl>
    <w:lvl w:ilvl="6" w:tplc="041B0001" w:tentative="1">
      <w:start w:val="1"/>
      <w:numFmt w:val="bullet"/>
      <w:lvlText w:val=""/>
      <w:lvlJc w:val="left"/>
      <w:pPr>
        <w:ind w:left="5470" w:hanging="360"/>
      </w:pPr>
      <w:rPr>
        <w:rFonts w:ascii="Symbol" w:hAnsi="Symbol" w:hint="default"/>
      </w:rPr>
    </w:lvl>
    <w:lvl w:ilvl="7" w:tplc="041B0003" w:tentative="1">
      <w:start w:val="1"/>
      <w:numFmt w:val="bullet"/>
      <w:lvlText w:val="o"/>
      <w:lvlJc w:val="left"/>
      <w:pPr>
        <w:ind w:left="6190" w:hanging="360"/>
      </w:pPr>
      <w:rPr>
        <w:rFonts w:ascii="Courier New" w:hAnsi="Courier New" w:cs="Courier New" w:hint="default"/>
      </w:rPr>
    </w:lvl>
    <w:lvl w:ilvl="8" w:tplc="041B0005" w:tentative="1">
      <w:start w:val="1"/>
      <w:numFmt w:val="bullet"/>
      <w:lvlText w:val=""/>
      <w:lvlJc w:val="left"/>
      <w:pPr>
        <w:ind w:left="6910" w:hanging="360"/>
      </w:pPr>
      <w:rPr>
        <w:rFonts w:ascii="Wingdings" w:hAnsi="Wingdings" w:hint="default"/>
      </w:rPr>
    </w:lvl>
  </w:abstractNum>
  <w:abstractNum w:abstractNumId="13">
    <w:nsid w:val="24480A66"/>
    <w:multiLevelType w:val="singleLevel"/>
    <w:tmpl w:val="0409000F"/>
    <w:lvl w:ilvl="0">
      <w:start w:val="1"/>
      <w:numFmt w:val="decimal"/>
      <w:lvlText w:val="%1."/>
      <w:lvlJc w:val="left"/>
      <w:pPr>
        <w:tabs>
          <w:tab w:val="num" w:pos="450"/>
        </w:tabs>
        <w:ind w:left="450" w:hanging="360"/>
      </w:pPr>
      <w:rPr>
        <w:rFonts w:cs="Times New Roman"/>
      </w:rPr>
    </w:lvl>
  </w:abstractNum>
  <w:abstractNum w:abstractNumId="14">
    <w:nsid w:val="2D5A0C36"/>
    <w:multiLevelType w:val="hybridMultilevel"/>
    <w:tmpl w:val="2FB49100"/>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
    <w:nsid w:val="2D9D26CD"/>
    <w:multiLevelType w:val="hybridMultilevel"/>
    <w:tmpl w:val="94389250"/>
    <w:lvl w:ilvl="0" w:tplc="187CADAE">
      <w:start w:val="1"/>
      <w:numFmt w:val="lowerLetter"/>
      <w:lvlText w:val="%1)"/>
      <w:lvlJc w:val="left"/>
      <w:pPr>
        <w:tabs>
          <w:tab w:val="num" w:pos="680"/>
        </w:tabs>
        <w:ind w:left="964" w:hanging="284"/>
      </w:pPr>
      <w:rPr>
        <w:rFonts w:hint="default"/>
      </w:rPr>
    </w:lvl>
    <w:lvl w:ilvl="1" w:tplc="8B28ECEE">
      <w:start w:val="1"/>
      <w:numFmt w:val="decimal"/>
      <w:lvlText w:val="%2."/>
      <w:lvlJc w:val="left"/>
      <w:pPr>
        <w:tabs>
          <w:tab w:val="num" w:pos="680"/>
        </w:tabs>
        <w:ind w:left="1531" w:hanging="284"/>
      </w:pPr>
      <w:rPr>
        <w:rFonts w:hint="default"/>
      </w:rPr>
    </w:lvl>
    <w:lvl w:ilvl="2" w:tplc="0405001B">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6">
    <w:nsid w:val="36A33A4E"/>
    <w:multiLevelType w:val="hybridMultilevel"/>
    <w:tmpl w:val="A3FA38CC"/>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7">
    <w:nsid w:val="36BE61C3"/>
    <w:multiLevelType w:val="singleLevel"/>
    <w:tmpl w:val="E6BC554C"/>
    <w:lvl w:ilvl="0">
      <w:start w:val="1"/>
      <w:numFmt w:val="decimal"/>
      <w:pStyle w:val="Nadpis2"/>
      <w:lvlText w:val="%1."/>
      <w:lvlJc w:val="left"/>
      <w:pPr>
        <w:tabs>
          <w:tab w:val="num" w:pos="360"/>
        </w:tabs>
        <w:ind w:left="360" w:hanging="360"/>
      </w:pPr>
      <w:rPr>
        <w:rFonts w:cs="Times New Roman" w:hint="default"/>
      </w:rPr>
    </w:lvl>
  </w:abstractNum>
  <w:abstractNum w:abstractNumId="18">
    <w:nsid w:val="392739C7"/>
    <w:multiLevelType w:val="singleLevel"/>
    <w:tmpl w:val="2C7CE2C6"/>
    <w:lvl w:ilvl="0">
      <w:start w:val="1"/>
      <w:numFmt w:val="bullet"/>
      <w:lvlText w:val=""/>
      <w:lvlJc w:val="left"/>
      <w:pPr>
        <w:tabs>
          <w:tab w:val="num" w:pos="340"/>
        </w:tabs>
        <w:ind w:left="340" w:hanging="340"/>
      </w:pPr>
      <w:rPr>
        <w:rFonts w:ascii="Symbol" w:hAnsi="Symbol" w:hint="default"/>
        <w:color w:val="auto"/>
        <w:sz w:val="22"/>
      </w:rPr>
    </w:lvl>
  </w:abstractNum>
  <w:abstractNum w:abstractNumId="19">
    <w:nsid w:val="42074114"/>
    <w:multiLevelType w:val="hybridMultilevel"/>
    <w:tmpl w:val="D99AA040"/>
    <w:lvl w:ilvl="0" w:tplc="6660CD6E">
      <w:start w:val="1"/>
      <w:numFmt w:val="bullet"/>
      <w:lvlText w:val="–"/>
      <w:lvlJc w:val="left"/>
      <w:pPr>
        <w:tabs>
          <w:tab w:val="num" w:pos="766"/>
        </w:tabs>
        <w:ind w:left="766" w:hanging="340"/>
      </w:pPr>
      <w:rPr>
        <w:rFonts w:ascii="Times New Roman" w:hAnsi="Times New Roman" w:hint="default"/>
      </w:rPr>
    </w:lvl>
    <w:lvl w:ilvl="1" w:tplc="041B0003" w:tentative="1">
      <w:start w:val="1"/>
      <w:numFmt w:val="bullet"/>
      <w:lvlText w:val="o"/>
      <w:lvlJc w:val="left"/>
      <w:pPr>
        <w:tabs>
          <w:tab w:val="num" w:pos="2292"/>
        </w:tabs>
        <w:ind w:left="2292" w:hanging="360"/>
      </w:pPr>
      <w:rPr>
        <w:rFonts w:ascii="Courier New" w:hAnsi="Courier New" w:hint="default"/>
      </w:rPr>
    </w:lvl>
    <w:lvl w:ilvl="2" w:tplc="041B0005" w:tentative="1">
      <w:start w:val="1"/>
      <w:numFmt w:val="bullet"/>
      <w:lvlText w:val=""/>
      <w:lvlJc w:val="left"/>
      <w:pPr>
        <w:tabs>
          <w:tab w:val="num" w:pos="3012"/>
        </w:tabs>
        <w:ind w:left="3012" w:hanging="360"/>
      </w:pPr>
      <w:rPr>
        <w:rFonts w:ascii="Wingdings" w:hAnsi="Wingdings" w:hint="default"/>
      </w:rPr>
    </w:lvl>
    <w:lvl w:ilvl="3" w:tplc="041B0001" w:tentative="1">
      <w:start w:val="1"/>
      <w:numFmt w:val="bullet"/>
      <w:lvlText w:val=""/>
      <w:lvlJc w:val="left"/>
      <w:pPr>
        <w:tabs>
          <w:tab w:val="num" w:pos="3732"/>
        </w:tabs>
        <w:ind w:left="3732" w:hanging="360"/>
      </w:pPr>
      <w:rPr>
        <w:rFonts w:ascii="Symbol" w:hAnsi="Symbol" w:hint="default"/>
      </w:rPr>
    </w:lvl>
    <w:lvl w:ilvl="4" w:tplc="041B0003" w:tentative="1">
      <w:start w:val="1"/>
      <w:numFmt w:val="bullet"/>
      <w:lvlText w:val="o"/>
      <w:lvlJc w:val="left"/>
      <w:pPr>
        <w:tabs>
          <w:tab w:val="num" w:pos="4452"/>
        </w:tabs>
        <w:ind w:left="4452" w:hanging="360"/>
      </w:pPr>
      <w:rPr>
        <w:rFonts w:ascii="Courier New" w:hAnsi="Courier New" w:hint="default"/>
      </w:rPr>
    </w:lvl>
    <w:lvl w:ilvl="5" w:tplc="041B0005" w:tentative="1">
      <w:start w:val="1"/>
      <w:numFmt w:val="bullet"/>
      <w:lvlText w:val=""/>
      <w:lvlJc w:val="left"/>
      <w:pPr>
        <w:tabs>
          <w:tab w:val="num" w:pos="5172"/>
        </w:tabs>
        <w:ind w:left="5172" w:hanging="360"/>
      </w:pPr>
      <w:rPr>
        <w:rFonts w:ascii="Wingdings" w:hAnsi="Wingdings" w:hint="default"/>
      </w:rPr>
    </w:lvl>
    <w:lvl w:ilvl="6" w:tplc="041B0001" w:tentative="1">
      <w:start w:val="1"/>
      <w:numFmt w:val="bullet"/>
      <w:lvlText w:val=""/>
      <w:lvlJc w:val="left"/>
      <w:pPr>
        <w:tabs>
          <w:tab w:val="num" w:pos="5892"/>
        </w:tabs>
        <w:ind w:left="5892" w:hanging="360"/>
      </w:pPr>
      <w:rPr>
        <w:rFonts w:ascii="Symbol" w:hAnsi="Symbol" w:hint="default"/>
      </w:rPr>
    </w:lvl>
    <w:lvl w:ilvl="7" w:tplc="041B0003" w:tentative="1">
      <w:start w:val="1"/>
      <w:numFmt w:val="bullet"/>
      <w:lvlText w:val="o"/>
      <w:lvlJc w:val="left"/>
      <w:pPr>
        <w:tabs>
          <w:tab w:val="num" w:pos="6612"/>
        </w:tabs>
        <w:ind w:left="6612" w:hanging="360"/>
      </w:pPr>
      <w:rPr>
        <w:rFonts w:ascii="Courier New" w:hAnsi="Courier New" w:hint="default"/>
      </w:rPr>
    </w:lvl>
    <w:lvl w:ilvl="8" w:tplc="041B0005" w:tentative="1">
      <w:start w:val="1"/>
      <w:numFmt w:val="bullet"/>
      <w:lvlText w:val=""/>
      <w:lvlJc w:val="left"/>
      <w:pPr>
        <w:tabs>
          <w:tab w:val="num" w:pos="7332"/>
        </w:tabs>
        <w:ind w:left="7332" w:hanging="360"/>
      </w:pPr>
      <w:rPr>
        <w:rFonts w:ascii="Wingdings" w:hAnsi="Wingdings" w:hint="default"/>
      </w:rPr>
    </w:lvl>
  </w:abstractNum>
  <w:abstractNum w:abstractNumId="20">
    <w:nsid w:val="44570724"/>
    <w:multiLevelType w:val="hybridMultilevel"/>
    <w:tmpl w:val="A18AA188"/>
    <w:lvl w:ilvl="0" w:tplc="B2062AB4">
      <w:numFmt w:val="bullet"/>
      <w:lvlText w:val="-"/>
      <w:lvlJc w:val="left"/>
      <w:pPr>
        <w:ind w:left="786" w:hanging="360"/>
      </w:pPr>
      <w:rPr>
        <w:rFonts w:ascii="Times New Roman" w:eastAsia="Times New Roman" w:hAnsi="Times New Roman" w:cs="Times New Roman" w:hint="default"/>
      </w:rPr>
    </w:lvl>
    <w:lvl w:ilvl="1" w:tplc="041B0003" w:tentative="1">
      <w:start w:val="1"/>
      <w:numFmt w:val="bullet"/>
      <w:lvlText w:val="o"/>
      <w:lvlJc w:val="left"/>
      <w:pPr>
        <w:ind w:left="1506" w:hanging="360"/>
      </w:pPr>
      <w:rPr>
        <w:rFonts w:ascii="Courier New" w:hAnsi="Courier New" w:cs="Courier New" w:hint="default"/>
      </w:rPr>
    </w:lvl>
    <w:lvl w:ilvl="2" w:tplc="041B0005" w:tentative="1">
      <w:start w:val="1"/>
      <w:numFmt w:val="bullet"/>
      <w:lvlText w:val=""/>
      <w:lvlJc w:val="left"/>
      <w:pPr>
        <w:ind w:left="2226" w:hanging="360"/>
      </w:pPr>
      <w:rPr>
        <w:rFonts w:ascii="Wingdings" w:hAnsi="Wingdings" w:hint="default"/>
      </w:rPr>
    </w:lvl>
    <w:lvl w:ilvl="3" w:tplc="041B0001" w:tentative="1">
      <w:start w:val="1"/>
      <w:numFmt w:val="bullet"/>
      <w:lvlText w:val=""/>
      <w:lvlJc w:val="left"/>
      <w:pPr>
        <w:ind w:left="2946" w:hanging="360"/>
      </w:pPr>
      <w:rPr>
        <w:rFonts w:ascii="Symbol" w:hAnsi="Symbol" w:hint="default"/>
      </w:rPr>
    </w:lvl>
    <w:lvl w:ilvl="4" w:tplc="041B0003" w:tentative="1">
      <w:start w:val="1"/>
      <w:numFmt w:val="bullet"/>
      <w:lvlText w:val="o"/>
      <w:lvlJc w:val="left"/>
      <w:pPr>
        <w:ind w:left="3666" w:hanging="360"/>
      </w:pPr>
      <w:rPr>
        <w:rFonts w:ascii="Courier New" w:hAnsi="Courier New" w:cs="Courier New" w:hint="default"/>
      </w:rPr>
    </w:lvl>
    <w:lvl w:ilvl="5" w:tplc="041B0005" w:tentative="1">
      <w:start w:val="1"/>
      <w:numFmt w:val="bullet"/>
      <w:lvlText w:val=""/>
      <w:lvlJc w:val="left"/>
      <w:pPr>
        <w:ind w:left="4386" w:hanging="360"/>
      </w:pPr>
      <w:rPr>
        <w:rFonts w:ascii="Wingdings" w:hAnsi="Wingdings" w:hint="default"/>
      </w:rPr>
    </w:lvl>
    <w:lvl w:ilvl="6" w:tplc="041B0001" w:tentative="1">
      <w:start w:val="1"/>
      <w:numFmt w:val="bullet"/>
      <w:lvlText w:val=""/>
      <w:lvlJc w:val="left"/>
      <w:pPr>
        <w:ind w:left="5106" w:hanging="360"/>
      </w:pPr>
      <w:rPr>
        <w:rFonts w:ascii="Symbol" w:hAnsi="Symbol" w:hint="default"/>
      </w:rPr>
    </w:lvl>
    <w:lvl w:ilvl="7" w:tplc="041B0003" w:tentative="1">
      <w:start w:val="1"/>
      <w:numFmt w:val="bullet"/>
      <w:lvlText w:val="o"/>
      <w:lvlJc w:val="left"/>
      <w:pPr>
        <w:ind w:left="5826" w:hanging="360"/>
      </w:pPr>
      <w:rPr>
        <w:rFonts w:ascii="Courier New" w:hAnsi="Courier New" w:cs="Courier New" w:hint="default"/>
      </w:rPr>
    </w:lvl>
    <w:lvl w:ilvl="8" w:tplc="041B0005" w:tentative="1">
      <w:start w:val="1"/>
      <w:numFmt w:val="bullet"/>
      <w:lvlText w:val=""/>
      <w:lvlJc w:val="left"/>
      <w:pPr>
        <w:ind w:left="6546" w:hanging="360"/>
      </w:pPr>
      <w:rPr>
        <w:rFonts w:ascii="Wingdings" w:hAnsi="Wingdings" w:hint="default"/>
      </w:rPr>
    </w:lvl>
  </w:abstractNum>
  <w:abstractNum w:abstractNumId="21">
    <w:nsid w:val="53D71478"/>
    <w:multiLevelType w:val="hybridMultilevel"/>
    <w:tmpl w:val="D2FA37DA"/>
    <w:lvl w:ilvl="0" w:tplc="DC4610B2">
      <w:start w:val="1"/>
      <w:numFmt w:val="lowerLetter"/>
      <w:lvlText w:val="%1)"/>
      <w:lvlJc w:val="left"/>
      <w:pPr>
        <w:ind w:left="786" w:hanging="360"/>
      </w:pPr>
      <w:rPr>
        <w:rFonts w:hint="default"/>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22">
    <w:nsid w:val="5402120D"/>
    <w:multiLevelType w:val="singleLevel"/>
    <w:tmpl w:val="362C932C"/>
    <w:lvl w:ilvl="0">
      <w:start w:val="1"/>
      <w:numFmt w:val="bullet"/>
      <w:lvlText w:val=""/>
      <w:lvlJc w:val="left"/>
      <w:pPr>
        <w:tabs>
          <w:tab w:val="num" w:pos="340"/>
        </w:tabs>
        <w:ind w:left="340" w:hanging="340"/>
      </w:pPr>
      <w:rPr>
        <w:rFonts w:ascii="Symbol" w:hAnsi="Symbol" w:hint="default"/>
        <w:color w:val="auto"/>
        <w:sz w:val="22"/>
      </w:rPr>
    </w:lvl>
  </w:abstractNum>
  <w:abstractNum w:abstractNumId="23">
    <w:nsid w:val="5A621859"/>
    <w:multiLevelType w:val="hybridMultilevel"/>
    <w:tmpl w:val="99921000"/>
    <w:lvl w:ilvl="0" w:tplc="15A47E66">
      <w:numFmt w:val="bullet"/>
      <w:lvlText w:val="-"/>
      <w:lvlJc w:val="left"/>
      <w:pPr>
        <w:ind w:left="720" w:hanging="360"/>
      </w:pPr>
      <w:rPr>
        <w:rFonts w:ascii="Calibri" w:eastAsiaTheme="minorHAnsi" w:hAnsi="Calibri" w:cstheme="minorBidi"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4">
    <w:nsid w:val="5F411567"/>
    <w:multiLevelType w:val="hybridMultilevel"/>
    <w:tmpl w:val="DF820AC2"/>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5">
    <w:nsid w:val="73473C13"/>
    <w:multiLevelType w:val="singleLevel"/>
    <w:tmpl w:val="2A50B936"/>
    <w:lvl w:ilvl="0">
      <w:start w:val="1"/>
      <w:numFmt w:val="upperLetter"/>
      <w:pStyle w:val="Nadpis1"/>
      <w:lvlText w:val="%1."/>
      <w:lvlJc w:val="left"/>
      <w:pPr>
        <w:tabs>
          <w:tab w:val="num" w:pos="450"/>
        </w:tabs>
        <w:ind w:left="450" w:hanging="360"/>
      </w:pPr>
      <w:rPr>
        <w:rFonts w:cs="Times New Roman" w:hint="default"/>
      </w:rPr>
    </w:lvl>
  </w:abstractNum>
  <w:abstractNum w:abstractNumId="26">
    <w:nsid w:val="74B22D21"/>
    <w:multiLevelType w:val="hybridMultilevel"/>
    <w:tmpl w:val="FFB42D56"/>
    <w:lvl w:ilvl="0" w:tplc="A6CEDE30">
      <w:start w:val="1"/>
      <w:numFmt w:val="bullet"/>
      <w:lvlText w:val="–"/>
      <w:lvlJc w:val="left"/>
      <w:pPr>
        <w:tabs>
          <w:tab w:val="num" w:pos="720"/>
        </w:tabs>
        <w:ind w:left="720" w:hanging="360"/>
      </w:pPr>
      <w:rPr>
        <w:rFonts w:ascii="Times New Roman" w:hAnsi="Times New Roman" w:hint="default"/>
      </w:rPr>
    </w:lvl>
    <w:lvl w:ilvl="1" w:tplc="041B0003" w:tentative="1">
      <w:start w:val="1"/>
      <w:numFmt w:val="bullet"/>
      <w:lvlText w:val="o"/>
      <w:lvlJc w:val="left"/>
      <w:pPr>
        <w:tabs>
          <w:tab w:val="num" w:pos="1440"/>
        </w:tabs>
        <w:ind w:left="1440" w:hanging="360"/>
      </w:pPr>
      <w:rPr>
        <w:rFonts w:ascii="Courier New" w:hAnsi="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27">
    <w:nsid w:val="785F33ED"/>
    <w:multiLevelType w:val="singleLevel"/>
    <w:tmpl w:val="F54E5832"/>
    <w:lvl w:ilvl="0">
      <w:start w:val="1"/>
      <w:numFmt w:val="bullet"/>
      <w:lvlText w:val=""/>
      <w:lvlJc w:val="left"/>
      <w:pPr>
        <w:tabs>
          <w:tab w:val="num" w:pos="340"/>
        </w:tabs>
        <w:ind w:left="340" w:hanging="340"/>
      </w:pPr>
      <w:rPr>
        <w:rFonts w:ascii="Symbol" w:hAnsi="Symbol" w:hint="default"/>
        <w:color w:val="auto"/>
        <w:sz w:val="22"/>
      </w:rPr>
    </w:lvl>
  </w:abstractNum>
  <w:abstractNum w:abstractNumId="28">
    <w:nsid w:val="78CD316A"/>
    <w:multiLevelType w:val="singleLevel"/>
    <w:tmpl w:val="28081C9C"/>
    <w:lvl w:ilvl="0">
      <w:start w:val="1"/>
      <w:numFmt w:val="lowerLetter"/>
      <w:pStyle w:val="Pismenka"/>
      <w:lvlText w:val="(%1)"/>
      <w:lvlJc w:val="left"/>
      <w:pPr>
        <w:tabs>
          <w:tab w:val="num" w:pos="360"/>
        </w:tabs>
        <w:ind w:left="360" w:hanging="360"/>
      </w:pPr>
      <w:rPr>
        <w:rFonts w:cs="Times New Roman" w:hint="default"/>
      </w:rPr>
    </w:lvl>
  </w:abstractNum>
  <w:abstractNum w:abstractNumId="29">
    <w:nsid w:val="7D8531CC"/>
    <w:multiLevelType w:val="hybridMultilevel"/>
    <w:tmpl w:val="52AE7564"/>
    <w:lvl w:ilvl="0" w:tplc="6660CD6E">
      <w:start w:val="1"/>
      <w:numFmt w:val="bullet"/>
      <w:lvlText w:val="–"/>
      <w:lvlJc w:val="left"/>
      <w:pPr>
        <w:tabs>
          <w:tab w:val="num" w:pos="766"/>
        </w:tabs>
        <w:ind w:left="766" w:hanging="340"/>
      </w:pPr>
      <w:rPr>
        <w:rFonts w:ascii="Times New Roman" w:hAnsi="Times New Roman" w:hint="default"/>
      </w:rPr>
    </w:lvl>
    <w:lvl w:ilvl="1" w:tplc="041B0003" w:tentative="1">
      <w:start w:val="1"/>
      <w:numFmt w:val="bullet"/>
      <w:lvlText w:val="o"/>
      <w:lvlJc w:val="left"/>
      <w:pPr>
        <w:tabs>
          <w:tab w:val="num" w:pos="1866"/>
        </w:tabs>
        <w:ind w:left="1866" w:hanging="360"/>
      </w:pPr>
      <w:rPr>
        <w:rFonts w:ascii="Courier New" w:hAnsi="Courier New" w:hint="default"/>
      </w:rPr>
    </w:lvl>
    <w:lvl w:ilvl="2" w:tplc="041B0005" w:tentative="1">
      <w:start w:val="1"/>
      <w:numFmt w:val="bullet"/>
      <w:lvlText w:val=""/>
      <w:lvlJc w:val="left"/>
      <w:pPr>
        <w:tabs>
          <w:tab w:val="num" w:pos="2586"/>
        </w:tabs>
        <w:ind w:left="2586" w:hanging="360"/>
      </w:pPr>
      <w:rPr>
        <w:rFonts w:ascii="Wingdings" w:hAnsi="Wingdings" w:hint="default"/>
      </w:rPr>
    </w:lvl>
    <w:lvl w:ilvl="3" w:tplc="041B0001" w:tentative="1">
      <w:start w:val="1"/>
      <w:numFmt w:val="bullet"/>
      <w:lvlText w:val=""/>
      <w:lvlJc w:val="left"/>
      <w:pPr>
        <w:tabs>
          <w:tab w:val="num" w:pos="3306"/>
        </w:tabs>
        <w:ind w:left="3306" w:hanging="360"/>
      </w:pPr>
      <w:rPr>
        <w:rFonts w:ascii="Symbol" w:hAnsi="Symbol" w:hint="default"/>
      </w:rPr>
    </w:lvl>
    <w:lvl w:ilvl="4" w:tplc="041B0003" w:tentative="1">
      <w:start w:val="1"/>
      <w:numFmt w:val="bullet"/>
      <w:lvlText w:val="o"/>
      <w:lvlJc w:val="left"/>
      <w:pPr>
        <w:tabs>
          <w:tab w:val="num" w:pos="4026"/>
        </w:tabs>
        <w:ind w:left="4026" w:hanging="360"/>
      </w:pPr>
      <w:rPr>
        <w:rFonts w:ascii="Courier New" w:hAnsi="Courier New" w:hint="default"/>
      </w:rPr>
    </w:lvl>
    <w:lvl w:ilvl="5" w:tplc="041B0005" w:tentative="1">
      <w:start w:val="1"/>
      <w:numFmt w:val="bullet"/>
      <w:lvlText w:val=""/>
      <w:lvlJc w:val="left"/>
      <w:pPr>
        <w:tabs>
          <w:tab w:val="num" w:pos="4746"/>
        </w:tabs>
        <w:ind w:left="4746" w:hanging="360"/>
      </w:pPr>
      <w:rPr>
        <w:rFonts w:ascii="Wingdings" w:hAnsi="Wingdings" w:hint="default"/>
      </w:rPr>
    </w:lvl>
    <w:lvl w:ilvl="6" w:tplc="041B0001" w:tentative="1">
      <w:start w:val="1"/>
      <w:numFmt w:val="bullet"/>
      <w:lvlText w:val=""/>
      <w:lvlJc w:val="left"/>
      <w:pPr>
        <w:tabs>
          <w:tab w:val="num" w:pos="5466"/>
        </w:tabs>
        <w:ind w:left="5466" w:hanging="360"/>
      </w:pPr>
      <w:rPr>
        <w:rFonts w:ascii="Symbol" w:hAnsi="Symbol" w:hint="default"/>
      </w:rPr>
    </w:lvl>
    <w:lvl w:ilvl="7" w:tplc="041B0003" w:tentative="1">
      <w:start w:val="1"/>
      <w:numFmt w:val="bullet"/>
      <w:lvlText w:val="o"/>
      <w:lvlJc w:val="left"/>
      <w:pPr>
        <w:tabs>
          <w:tab w:val="num" w:pos="6186"/>
        </w:tabs>
        <w:ind w:left="6186" w:hanging="360"/>
      </w:pPr>
      <w:rPr>
        <w:rFonts w:ascii="Courier New" w:hAnsi="Courier New" w:hint="default"/>
      </w:rPr>
    </w:lvl>
    <w:lvl w:ilvl="8" w:tplc="041B0005" w:tentative="1">
      <w:start w:val="1"/>
      <w:numFmt w:val="bullet"/>
      <w:lvlText w:val=""/>
      <w:lvlJc w:val="left"/>
      <w:pPr>
        <w:tabs>
          <w:tab w:val="num" w:pos="6906"/>
        </w:tabs>
        <w:ind w:left="6906" w:hanging="360"/>
      </w:pPr>
      <w:rPr>
        <w:rFonts w:ascii="Wingdings" w:hAnsi="Wingdings" w:hint="default"/>
      </w:rPr>
    </w:lvl>
  </w:abstractNum>
  <w:abstractNum w:abstractNumId="30">
    <w:nsid w:val="7DAD294D"/>
    <w:multiLevelType w:val="singleLevel"/>
    <w:tmpl w:val="F274FF98"/>
    <w:lvl w:ilvl="0">
      <w:start w:val="1"/>
      <w:numFmt w:val="bullet"/>
      <w:lvlText w:val=""/>
      <w:lvlJc w:val="left"/>
      <w:pPr>
        <w:tabs>
          <w:tab w:val="num" w:pos="340"/>
        </w:tabs>
        <w:ind w:left="340" w:hanging="340"/>
      </w:pPr>
      <w:rPr>
        <w:rFonts w:ascii="Symbol" w:hAnsi="Symbol" w:hint="default"/>
        <w:color w:val="auto"/>
        <w:sz w:val="22"/>
      </w:rPr>
    </w:lvl>
  </w:abstractNum>
  <w:num w:numId="1">
    <w:abstractNumId w:val="25"/>
  </w:num>
  <w:num w:numId="2">
    <w:abstractNumId w:val="17"/>
  </w:num>
  <w:num w:numId="3">
    <w:abstractNumId w:val="13"/>
  </w:num>
  <w:num w:numId="4">
    <w:abstractNumId w:val="26"/>
  </w:num>
  <w:num w:numId="5">
    <w:abstractNumId w:val="0"/>
    <w:lvlOverride w:ilvl="0">
      <w:lvl w:ilvl="0">
        <w:start w:val="1"/>
        <w:numFmt w:val="bullet"/>
        <w:lvlText w:val="-"/>
        <w:legacy w:legacy="1" w:legacySpace="0" w:legacyIndent="360"/>
        <w:lvlJc w:val="left"/>
        <w:pPr>
          <w:ind w:left="360" w:hanging="360"/>
        </w:pPr>
      </w:lvl>
    </w:lvlOverride>
  </w:num>
  <w:num w:numId="6">
    <w:abstractNumId w:val="17"/>
  </w:num>
  <w:num w:numId="7">
    <w:abstractNumId w:val="28"/>
  </w:num>
  <w:num w:numId="8">
    <w:abstractNumId w:val="3"/>
  </w:num>
  <w:num w:numId="9">
    <w:abstractNumId w:val="17"/>
  </w:num>
  <w:num w:numId="10">
    <w:abstractNumId w:val="17"/>
  </w:num>
  <w:num w:numId="11">
    <w:abstractNumId w:val="7"/>
  </w:num>
  <w:num w:numId="12">
    <w:abstractNumId w:val="17"/>
  </w:num>
  <w:num w:numId="13">
    <w:abstractNumId w:val="17"/>
  </w:num>
  <w:num w:numId="14">
    <w:abstractNumId w:val="8"/>
  </w:num>
  <w:num w:numId="15">
    <w:abstractNumId w:val="17"/>
    <w:lvlOverride w:ilvl="0">
      <w:startOverride w:val="1"/>
    </w:lvlOverride>
  </w:num>
  <w:num w:numId="16">
    <w:abstractNumId w:val="17"/>
    <w:lvlOverride w:ilvl="0">
      <w:startOverride w:val="1"/>
    </w:lvlOverride>
  </w:num>
  <w:num w:numId="17">
    <w:abstractNumId w:val="17"/>
    <w:lvlOverride w:ilvl="0">
      <w:startOverride w:val="1"/>
    </w:lvlOverride>
  </w:num>
  <w:num w:numId="18">
    <w:abstractNumId w:val="17"/>
    <w:lvlOverride w:ilvl="0">
      <w:startOverride w:val="1"/>
    </w:lvlOverride>
  </w:num>
  <w:num w:numId="19">
    <w:abstractNumId w:val="2"/>
  </w:num>
  <w:num w:numId="20">
    <w:abstractNumId w:val="17"/>
    <w:lvlOverride w:ilvl="0">
      <w:startOverride w:val="1"/>
    </w:lvlOverride>
  </w:num>
  <w:num w:numId="21">
    <w:abstractNumId w:val="19"/>
  </w:num>
  <w:num w:numId="22">
    <w:abstractNumId w:val="11"/>
  </w:num>
  <w:num w:numId="23">
    <w:abstractNumId w:val="10"/>
  </w:num>
  <w:num w:numId="24">
    <w:abstractNumId w:val="29"/>
  </w:num>
  <w:num w:numId="25">
    <w:abstractNumId w:val="17"/>
    <w:lvlOverride w:ilvl="0">
      <w:startOverride w:val="1"/>
    </w:lvlOverride>
  </w:num>
  <w:num w:numId="26">
    <w:abstractNumId w:val="17"/>
    <w:lvlOverride w:ilvl="0">
      <w:startOverride w:val="1"/>
    </w:lvlOverride>
  </w:num>
  <w:num w:numId="27">
    <w:abstractNumId w:val="17"/>
    <w:lvlOverride w:ilvl="0">
      <w:startOverride w:val="1"/>
    </w:lvlOverride>
  </w:num>
  <w:num w:numId="28">
    <w:abstractNumId w:val="17"/>
    <w:lvlOverride w:ilvl="0">
      <w:startOverride w:val="1"/>
    </w:lvlOverride>
  </w:num>
  <w:num w:numId="29">
    <w:abstractNumId w:val="17"/>
    <w:lvlOverride w:ilvl="0">
      <w:startOverride w:val="1"/>
    </w:lvlOverride>
  </w:num>
  <w:num w:numId="30">
    <w:abstractNumId w:val="17"/>
  </w:num>
  <w:num w:numId="31">
    <w:abstractNumId w:val="17"/>
  </w:num>
  <w:num w:numId="32">
    <w:abstractNumId w:val="17"/>
  </w:num>
  <w:num w:numId="33">
    <w:abstractNumId w:val="17"/>
  </w:num>
  <w:num w:numId="34">
    <w:abstractNumId w:val="13"/>
    <w:lvlOverride w:ilvl="0">
      <w:startOverride w:val="1"/>
    </w:lvlOverride>
  </w:num>
  <w:num w:numId="35">
    <w:abstractNumId w:val="17"/>
  </w:num>
  <w:num w:numId="36">
    <w:abstractNumId w:val="17"/>
  </w:num>
  <w:num w:numId="37">
    <w:abstractNumId w:val="17"/>
  </w:num>
  <w:num w:numId="38">
    <w:abstractNumId w:val="17"/>
  </w:num>
  <w:num w:numId="39">
    <w:abstractNumId w:val="25"/>
  </w:num>
  <w:num w:numId="40">
    <w:abstractNumId w:val="25"/>
  </w:num>
  <w:num w:numId="41">
    <w:abstractNumId w:val="25"/>
  </w:num>
  <w:num w:numId="42">
    <w:abstractNumId w:val="6"/>
  </w:num>
  <w:num w:numId="43">
    <w:abstractNumId w:val="27"/>
  </w:num>
  <w:num w:numId="44">
    <w:abstractNumId w:val="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abstractNumId w:val="4"/>
  </w:num>
  <w:num w:numId="46">
    <w:abstractNumId w:val="22"/>
  </w:num>
  <w:num w:numId="47">
    <w:abstractNumId w:val="25"/>
  </w:num>
  <w:num w:numId="48">
    <w:abstractNumId w:val="1"/>
  </w:num>
  <w:num w:numId="49">
    <w:abstractNumId w:val="25"/>
  </w:num>
  <w:num w:numId="50">
    <w:abstractNumId w:val="9"/>
  </w:num>
  <w:num w:numId="51">
    <w:abstractNumId w:val="5"/>
  </w:num>
  <w:num w:numId="52">
    <w:abstractNumId w:val="30"/>
  </w:num>
  <w:num w:numId="53">
    <w:abstractNumId w:val="12"/>
  </w:num>
  <w:num w:numId="54">
    <w:abstractNumId w:val="15"/>
  </w:num>
  <w:num w:numId="55">
    <w:abstractNumId w:val="18"/>
  </w:num>
  <w:num w:numId="56">
    <w:abstractNumId w:val="24"/>
  </w:num>
  <w:num w:numId="57">
    <w:abstractNumId w:val="23"/>
  </w:num>
  <w:num w:numId="58">
    <w:abstractNumId w:val="17"/>
  </w:num>
  <w:num w:numId="59">
    <w:abstractNumId w:val="14"/>
  </w:num>
  <w:num w:numId="60">
    <w:abstractNumId w:val="16"/>
  </w:num>
  <w:num w:numId="61">
    <w:abstractNumId w:val="21"/>
  </w:num>
  <w:num w:numId="62">
    <w:abstractNumId w:val="20"/>
  </w:num>
  <w:numIdMacAtCleanup w:val="53"/>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hyphenationZone w:val="425"/>
  <w:drawingGridHorizontalSpacing w:val="100"/>
  <w:displayHorizontalDrawingGridEvery w:val="2"/>
  <w:characterSpacingControl w:val="doNotCompress"/>
  <w:hdrShapeDefaults>
    <o:shapedefaults v:ext="edit" spidmax="4098"/>
  </w:hdrShapeDefaults>
  <w:footnotePr>
    <w:footnote w:id="0"/>
    <w:footnote w:id="1"/>
  </w:footnotePr>
  <w:endnotePr>
    <w:endnote w:id="0"/>
    <w:endnote w:id="1"/>
  </w:endnotePr>
  <w:compat/>
  <w:rsids>
    <w:rsidRoot w:val="00E95128"/>
    <w:rsid w:val="00000EBD"/>
    <w:rsid w:val="0000290B"/>
    <w:rsid w:val="00002921"/>
    <w:rsid w:val="00003C63"/>
    <w:rsid w:val="000040F5"/>
    <w:rsid w:val="00006F02"/>
    <w:rsid w:val="00010822"/>
    <w:rsid w:val="00010C2A"/>
    <w:rsid w:val="000172DD"/>
    <w:rsid w:val="00017791"/>
    <w:rsid w:val="00025561"/>
    <w:rsid w:val="000324E1"/>
    <w:rsid w:val="000331E6"/>
    <w:rsid w:val="000338A2"/>
    <w:rsid w:val="0003793C"/>
    <w:rsid w:val="000422E9"/>
    <w:rsid w:val="00042A09"/>
    <w:rsid w:val="00043393"/>
    <w:rsid w:val="00045A17"/>
    <w:rsid w:val="000470EC"/>
    <w:rsid w:val="000517AC"/>
    <w:rsid w:val="00052495"/>
    <w:rsid w:val="00054859"/>
    <w:rsid w:val="00062334"/>
    <w:rsid w:val="000658BA"/>
    <w:rsid w:val="0007097A"/>
    <w:rsid w:val="00073853"/>
    <w:rsid w:val="000738DF"/>
    <w:rsid w:val="000739AC"/>
    <w:rsid w:val="00075B41"/>
    <w:rsid w:val="00076486"/>
    <w:rsid w:val="00077153"/>
    <w:rsid w:val="00081356"/>
    <w:rsid w:val="00082DB2"/>
    <w:rsid w:val="0008425B"/>
    <w:rsid w:val="00085012"/>
    <w:rsid w:val="00085A3A"/>
    <w:rsid w:val="00086A82"/>
    <w:rsid w:val="00092C39"/>
    <w:rsid w:val="00093CC4"/>
    <w:rsid w:val="00095A95"/>
    <w:rsid w:val="000965D0"/>
    <w:rsid w:val="000A0830"/>
    <w:rsid w:val="000A1BBA"/>
    <w:rsid w:val="000A3BBB"/>
    <w:rsid w:val="000A4ACF"/>
    <w:rsid w:val="000A5AA5"/>
    <w:rsid w:val="000A6FBA"/>
    <w:rsid w:val="000B4629"/>
    <w:rsid w:val="000B5536"/>
    <w:rsid w:val="000B6195"/>
    <w:rsid w:val="000B7957"/>
    <w:rsid w:val="000C17C3"/>
    <w:rsid w:val="000C2309"/>
    <w:rsid w:val="000C2D66"/>
    <w:rsid w:val="000C2E5F"/>
    <w:rsid w:val="000C3422"/>
    <w:rsid w:val="000C68B3"/>
    <w:rsid w:val="000D22FF"/>
    <w:rsid w:val="000D479C"/>
    <w:rsid w:val="000D4824"/>
    <w:rsid w:val="000E4B8D"/>
    <w:rsid w:val="000E4D12"/>
    <w:rsid w:val="000E6FA7"/>
    <w:rsid w:val="000F038C"/>
    <w:rsid w:val="000F0A6B"/>
    <w:rsid w:val="000F1306"/>
    <w:rsid w:val="000F27A2"/>
    <w:rsid w:val="000F40C4"/>
    <w:rsid w:val="000F5666"/>
    <w:rsid w:val="000F66C2"/>
    <w:rsid w:val="00102C1A"/>
    <w:rsid w:val="00103B71"/>
    <w:rsid w:val="00104E7E"/>
    <w:rsid w:val="0011133F"/>
    <w:rsid w:val="00113259"/>
    <w:rsid w:val="001139DB"/>
    <w:rsid w:val="0011546A"/>
    <w:rsid w:val="001176F5"/>
    <w:rsid w:val="00117C0F"/>
    <w:rsid w:val="00120F3A"/>
    <w:rsid w:val="0012205A"/>
    <w:rsid w:val="00125486"/>
    <w:rsid w:val="00126EB9"/>
    <w:rsid w:val="00127D9C"/>
    <w:rsid w:val="00130684"/>
    <w:rsid w:val="00132E99"/>
    <w:rsid w:val="00135187"/>
    <w:rsid w:val="00136273"/>
    <w:rsid w:val="00136A4A"/>
    <w:rsid w:val="0013788A"/>
    <w:rsid w:val="00141691"/>
    <w:rsid w:val="00141832"/>
    <w:rsid w:val="00142DDE"/>
    <w:rsid w:val="001438AC"/>
    <w:rsid w:val="0014486E"/>
    <w:rsid w:val="00146904"/>
    <w:rsid w:val="00147FB3"/>
    <w:rsid w:val="0015039D"/>
    <w:rsid w:val="00150D3F"/>
    <w:rsid w:val="00151067"/>
    <w:rsid w:val="00156231"/>
    <w:rsid w:val="0015674B"/>
    <w:rsid w:val="00156885"/>
    <w:rsid w:val="00160AAA"/>
    <w:rsid w:val="001712A8"/>
    <w:rsid w:val="0017267A"/>
    <w:rsid w:val="00172D44"/>
    <w:rsid w:val="001733C5"/>
    <w:rsid w:val="0017651F"/>
    <w:rsid w:val="00177051"/>
    <w:rsid w:val="00177BCA"/>
    <w:rsid w:val="00177C59"/>
    <w:rsid w:val="001824D2"/>
    <w:rsid w:val="001844A9"/>
    <w:rsid w:val="00184E52"/>
    <w:rsid w:val="00190013"/>
    <w:rsid w:val="00193EE6"/>
    <w:rsid w:val="001A14AF"/>
    <w:rsid w:val="001A1C39"/>
    <w:rsid w:val="001A4977"/>
    <w:rsid w:val="001A566C"/>
    <w:rsid w:val="001A5F9F"/>
    <w:rsid w:val="001A7B6D"/>
    <w:rsid w:val="001A7CD7"/>
    <w:rsid w:val="001B5156"/>
    <w:rsid w:val="001B5855"/>
    <w:rsid w:val="001C0A6A"/>
    <w:rsid w:val="001C4C04"/>
    <w:rsid w:val="001C6938"/>
    <w:rsid w:val="001C6A47"/>
    <w:rsid w:val="001D06F0"/>
    <w:rsid w:val="001D181E"/>
    <w:rsid w:val="001D3160"/>
    <w:rsid w:val="001D3DCB"/>
    <w:rsid w:val="001D4E8A"/>
    <w:rsid w:val="001D507C"/>
    <w:rsid w:val="001D5F78"/>
    <w:rsid w:val="001E03E6"/>
    <w:rsid w:val="001E1815"/>
    <w:rsid w:val="001E27A6"/>
    <w:rsid w:val="001E3EC9"/>
    <w:rsid w:val="001E4714"/>
    <w:rsid w:val="001E6A82"/>
    <w:rsid w:val="001E7DAF"/>
    <w:rsid w:val="001F225B"/>
    <w:rsid w:val="001F338B"/>
    <w:rsid w:val="001F340D"/>
    <w:rsid w:val="001F4E5F"/>
    <w:rsid w:val="00201219"/>
    <w:rsid w:val="00205E14"/>
    <w:rsid w:val="00206AD4"/>
    <w:rsid w:val="002112DA"/>
    <w:rsid w:val="0021293B"/>
    <w:rsid w:val="002130D8"/>
    <w:rsid w:val="00214198"/>
    <w:rsid w:val="00214924"/>
    <w:rsid w:val="0021533B"/>
    <w:rsid w:val="00216E9E"/>
    <w:rsid w:val="0021757D"/>
    <w:rsid w:val="00221F76"/>
    <w:rsid w:val="00223446"/>
    <w:rsid w:val="00225398"/>
    <w:rsid w:val="0023026F"/>
    <w:rsid w:val="002303A4"/>
    <w:rsid w:val="002304B6"/>
    <w:rsid w:val="00232D0A"/>
    <w:rsid w:val="0023562B"/>
    <w:rsid w:val="002414BC"/>
    <w:rsid w:val="002418D5"/>
    <w:rsid w:val="0024584A"/>
    <w:rsid w:val="00245B3F"/>
    <w:rsid w:val="00246542"/>
    <w:rsid w:val="002513D6"/>
    <w:rsid w:val="00251BF2"/>
    <w:rsid w:val="00254418"/>
    <w:rsid w:val="0025662A"/>
    <w:rsid w:val="002573B3"/>
    <w:rsid w:val="00260C4C"/>
    <w:rsid w:val="00262CD4"/>
    <w:rsid w:val="00262E33"/>
    <w:rsid w:val="00271316"/>
    <w:rsid w:val="00271323"/>
    <w:rsid w:val="002724ED"/>
    <w:rsid w:val="0027298D"/>
    <w:rsid w:val="002761B2"/>
    <w:rsid w:val="00280D5B"/>
    <w:rsid w:val="00283139"/>
    <w:rsid w:val="002861DB"/>
    <w:rsid w:val="00286A3D"/>
    <w:rsid w:val="00286D2A"/>
    <w:rsid w:val="00290A84"/>
    <w:rsid w:val="00290F83"/>
    <w:rsid w:val="00294BAE"/>
    <w:rsid w:val="002977CC"/>
    <w:rsid w:val="002A264B"/>
    <w:rsid w:val="002A597C"/>
    <w:rsid w:val="002A7CDF"/>
    <w:rsid w:val="002B2E36"/>
    <w:rsid w:val="002B4000"/>
    <w:rsid w:val="002B6120"/>
    <w:rsid w:val="002C191C"/>
    <w:rsid w:val="002C341E"/>
    <w:rsid w:val="002C4BC0"/>
    <w:rsid w:val="002D32C4"/>
    <w:rsid w:val="002D4AEE"/>
    <w:rsid w:val="002D6457"/>
    <w:rsid w:val="002D69FB"/>
    <w:rsid w:val="002D79A9"/>
    <w:rsid w:val="002E0DE7"/>
    <w:rsid w:val="002E0E7B"/>
    <w:rsid w:val="002E31E7"/>
    <w:rsid w:val="002E35FC"/>
    <w:rsid w:val="002F033C"/>
    <w:rsid w:val="002F05C7"/>
    <w:rsid w:val="002F2C69"/>
    <w:rsid w:val="002F3429"/>
    <w:rsid w:val="002F3C09"/>
    <w:rsid w:val="002F5513"/>
    <w:rsid w:val="002F626C"/>
    <w:rsid w:val="002F6D94"/>
    <w:rsid w:val="002F770F"/>
    <w:rsid w:val="00301031"/>
    <w:rsid w:val="00301C73"/>
    <w:rsid w:val="00302B7A"/>
    <w:rsid w:val="00307540"/>
    <w:rsid w:val="003147AA"/>
    <w:rsid w:val="00330008"/>
    <w:rsid w:val="00331FD6"/>
    <w:rsid w:val="00332136"/>
    <w:rsid w:val="00335C04"/>
    <w:rsid w:val="00340CB1"/>
    <w:rsid w:val="0034119B"/>
    <w:rsid w:val="00342E08"/>
    <w:rsid w:val="003434C5"/>
    <w:rsid w:val="00352453"/>
    <w:rsid w:val="00354B2F"/>
    <w:rsid w:val="00361248"/>
    <w:rsid w:val="003642CE"/>
    <w:rsid w:val="0036502B"/>
    <w:rsid w:val="00367A6E"/>
    <w:rsid w:val="00370F56"/>
    <w:rsid w:val="00375AB4"/>
    <w:rsid w:val="003846B1"/>
    <w:rsid w:val="003911FC"/>
    <w:rsid w:val="003A0F96"/>
    <w:rsid w:val="003A1A88"/>
    <w:rsid w:val="003A2AE6"/>
    <w:rsid w:val="003A4862"/>
    <w:rsid w:val="003A5476"/>
    <w:rsid w:val="003A6371"/>
    <w:rsid w:val="003B03F8"/>
    <w:rsid w:val="003B1FF2"/>
    <w:rsid w:val="003B2A5D"/>
    <w:rsid w:val="003B591C"/>
    <w:rsid w:val="003B762E"/>
    <w:rsid w:val="003B7C90"/>
    <w:rsid w:val="003C0DE9"/>
    <w:rsid w:val="003C233B"/>
    <w:rsid w:val="003C3FDF"/>
    <w:rsid w:val="003C6B7B"/>
    <w:rsid w:val="003D140B"/>
    <w:rsid w:val="003D2067"/>
    <w:rsid w:val="003D5127"/>
    <w:rsid w:val="003E0FA2"/>
    <w:rsid w:val="003E149A"/>
    <w:rsid w:val="003E1D5F"/>
    <w:rsid w:val="003E25DD"/>
    <w:rsid w:val="003E4261"/>
    <w:rsid w:val="003F28D5"/>
    <w:rsid w:val="003F4C92"/>
    <w:rsid w:val="003F7ADD"/>
    <w:rsid w:val="004007CA"/>
    <w:rsid w:val="00401579"/>
    <w:rsid w:val="00401912"/>
    <w:rsid w:val="00401F9E"/>
    <w:rsid w:val="004027CF"/>
    <w:rsid w:val="00403FF5"/>
    <w:rsid w:val="0040614D"/>
    <w:rsid w:val="00407243"/>
    <w:rsid w:val="004108AD"/>
    <w:rsid w:val="00411D88"/>
    <w:rsid w:val="00416A0F"/>
    <w:rsid w:val="0041793E"/>
    <w:rsid w:val="00420D87"/>
    <w:rsid w:val="00423AFA"/>
    <w:rsid w:val="00424C34"/>
    <w:rsid w:val="004262D7"/>
    <w:rsid w:val="00430148"/>
    <w:rsid w:val="004313A2"/>
    <w:rsid w:val="004317F0"/>
    <w:rsid w:val="00432AE6"/>
    <w:rsid w:val="004330B3"/>
    <w:rsid w:val="00435C31"/>
    <w:rsid w:val="0043618D"/>
    <w:rsid w:val="00436388"/>
    <w:rsid w:val="004409F5"/>
    <w:rsid w:val="00442157"/>
    <w:rsid w:val="004430B4"/>
    <w:rsid w:val="00444033"/>
    <w:rsid w:val="00446423"/>
    <w:rsid w:val="0044737A"/>
    <w:rsid w:val="004508CD"/>
    <w:rsid w:val="00452C96"/>
    <w:rsid w:val="0045465E"/>
    <w:rsid w:val="0046024D"/>
    <w:rsid w:val="00460337"/>
    <w:rsid w:val="00460A08"/>
    <w:rsid w:val="0046138C"/>
    <w:rsid w:val="00461D2D"/>
    <w:rsid w:val="00474456"/>
    <w:rsid w:val="00476914"/>
    <w:rsid w:val="00476D1F"/>
    <w:rsid w:val="00483A16"/>
    <w:rsid w:val="00486EC6"/>
    <w:rsid w:val="00490ED4"/>
    <w:rsid w:val="00491AF0"/>
    <w:rsid w:val="00491C69"/>
    <w:rsid w:val="00493E78"/>
    <w:rsid w:val="00494B7D"/>
    <w:rsid w:val="00496A4E"/>
    <w:rsid w:val="00497423"/>
    <w:rsid w:val="004A045E"/>
    <w:rsid w:val="004A085B"/>
    <w:rsid w:val="004A4D80"/>
    <w:rsid w:val="004A591E"/>
    <w:rsid w:val="004A64A5"/>
    <w:rsid w:val="004A6C40"/>
    <w:rsid w:val="004B0930"/>
    <w:rsid w:val="004B0F19"/>
    <w:rsid w:val="004B1B38"/>
    <w:rsid w:val="004B2651"/>
    <w:rsid w:val="004B3FDA"/>
    <w:rsid w:val="004B4940"/>
    <w:rsid w:val="004B4C5F"/>
    <w:rsid w:val="004B599A"/>
    <w:rsid w:val="004B69E1"/>
    <w:rsid w:val="004C0B85"/>
    <w:rsid w:val="004C0D06"/>
    <w:rsid w:val="004C154B"/>
    <w:rsid w:val="004C1C27"/>
    <w:rsid w:val="004C540D"/>
    <w:rsid w:val="004C587E"/>
    <w:rsid w:val="004D1815"/>
    <w:rsid w:val="004D25F3"/>
    <w:rsid w:val="004D3B14"/>
    <w:rsid w:val="004D3B4A"/>
    <w:rsid w:val="004E0168"/>
    <w:rsid w:val="004E0BAA"/>
    <w:rsid w:val="004E0C8C"/>
    <w:rsid w:val="004E624B"/>
    <w:rsid w:val="004E7FC9"/>
    <w:rsid w:val="004F1F45"/>
    <w:rsid w:val="004F3DD3"/>
    <w:rsid w:val="00500B7D"/>
    <w:rsid w:val="00503C90"/>
    <w:rsid w:val="00506E0F"/>
    <w:rsid w:val="00507B8B"/>
    <w:rsid w:val="00507CB4"/>
    <w:rsid w:val="005131C0"/>
    <w:rsid w:val="005138B1"/>
    <w:rsid w:val="00515879"/>
    <w:rsid w:val="00522617"/>
    <w:rsid w:val="00522AF0"/>
    <w:rsid w:val="00530F38"/>
    <w:rsid w:val="00540718"/>
    <w:rsid w:val="00541789"/>
    <w:rsid w:val="00542006"/>
    <w:rsid w:val="005422A4"/>
    <w:rsid w:val="0054259E"/>
    <w:rsid w:val="005450B9"/>
    <w:rsid w:val="00545B77"/>
    <w:rsid w:val="00546BD3"/>
    <w:rsid w:val="0054786F"/>
    <w:rsid w:val="00553AFB"/>
    <w:rsid w:val="00564B72"/>
    <w:rsid w:val="00565ABC"/>
    <w:rsid w:val="00566389"/>
    <w:rsid w:val="00567765"/>
    <w:rsid w:val="0057382A"/>
    <w:rsid w:val="00574527"/>
    <w:rsid w:val="0057480F"/>
    <w:rsid w:val="0058479C"/>
    <w:rsid w:val="00592616"/>
    <w:rsid w:val="00592B74"/>
    <w:rsid w:val="00594529"/>
    <w:rsid w:val="00594FB1"/>
    <w:rsid w:val="005A2556"/>
    <w:rsid w:val="005A25EA"/>
    <w:rsid w:val="005A38F9"/>
    <w:rsid w:val="005A5552"/>
    <w:rsid w:val="005A5C1B"/>
    <w:rsid w:val="005A76F0"/>
    <w:rsid w:val="005A7FDD"/>
    <w:rsid w:val="005B316E"/>
    <w:rsid w:val="005B4970"/>
    <w:rsid w:val="005B508D"/>
    <w:rsid w:val="005C50FC"/>
    <w:rsid w:val="005C6657"/>
    <w:rsid w:val="005D25E4"/>
    <w:rsid w:val="005D2A89"/>
    <w:rsid w:val="005D330E"/>
    <w:rsid w:val="005D4842"/>
    <w:rsid w:val="005D614C"/>
    <w:rsid w:val="005E020D"/>
    <w:rsid w:val="005E09B4"/>
    <w:rsid w:val="005E0DD6"/>
    <w:rsid w:val="005E3ACC"/>
    <w:rsid w:val="005E4178"/>
    <w:rsid w:val="005E6A76"/>
    <w:rsid w:val="005E7AC3"/>
    <w:rsid w:val="005F2BC8"/>
    <w:rsid w:val="005F54A3"/>
    <w:rsid w:val="005F5D4F"/>
    <w:rsid w:val="005F6E8B"/>
    <w:rsid w:val="005F7FDE"/>
    <w:rsid w:val="00600330"/>
    <w:rsid w:val="0060236A"/>
    <w:rsid w:val="00603EFB"/>
    <w:rsid w:val="00605372"/>
    <w:rsid w:val="006063E8"/>
    <w:rsid w:val="006069D3"/>
    <w:rsid w:val="0060790D"/>
    <w:rsid w:val="00611027"/>
    <w:rsid w:val="006261D1"/>
    <w:rsid w:val="00627B6C"/>
    <w:rsid w:val="00630386"/>
    <w:rsid w:val="00632FB0"/>
    <w:rsid w:val="006339DC"/>
    <w:rsid w:val="00641554"/>
    <w:rsid w:val="00642387"/>
    <w:rsid w:val="00644449"/>
    <w:rsid w:val="0064520D"/>
    <w:rsid w:val="006470D0"/>
    <w:rsid w:val="00647862"/>
    <w:rsid w:val="006510AA"/>
    <w:rsid w:val="00651689"/>
    <w:rsid w:val="006575EA"/>
    <w:rsid w:val="0066152D"/>
    <w:rsid w:val="00662C25"/>
    <w:rsid w:val="0066346C"/>
    <w:rsid w:val="0066618F"/>
    <w:rsid w:val="00671BB4"/>
    <w:rsid w:val="00674FDB"/>
    <w:rsid w:val="006750FE"/>
    <w:rsid w:val="00676CB7"/>
    <w:rsid w:val="00676D74"/>
    <w:rsid w:val="0068537D"/>
    <w:rsid w:val="0068778D"/>
    <w:rsid w:val="00691205"/>
    <w:rsid w:val="00694931"/>
    <w:rsid w:val="006957CC"/>
    <w:rsid w:val="00697F7C"/>
    <w:rsid w:val="006A3C75"/>
    <w:rsid w:val="006A737C"/>
    <w:rsid w:val="006B2D3C"/>
    <w:rsid w:val="006B3E8C"/>
    <w:rsid w:val="006B74EA"/>
    <w:rsid w:val="006C0296"/>
    <w:rsid w:val="006C0F4D"/>
    <w:rsid w:val="006C27AA"/>
    <w:rsid w:val="006C3FDF"/>
    <w:rsid w:val="006C7E90"/>
    <w:rsid w:val="006D36EA"/>
    <w:rsid w:val="006D3989"/>
    <w:rsid w:val="006D3C83"/>
    <w:rsid w:val="006D3D0B"/>
    <w:rsid w:val="006D4AE5"/>
    <w:rsid w:val="006D7585"/>
    <w:rsid w:val="006E26E5"/>
    <w:rsid w:val="006E36A2"/>
    <w:rsid w:val="006E4804"/>
    <w:rsid w:val="006E554A"/>
    <w:rsid w:val="006E6B24"/>
    <w:rsid w:val="006E7A01"/>
    <w:rsid w:val="006F0125"/>
    <w:rsid w:val="006F056A"/>
    <w:rsid w:val="006F188E"/>
    <w:rsid w:val="006F28DA"/>
    <w:rsid w:val="006F5D26"/>
    <w:rsid w:val="007019A7"/>
    <w:rsid w:val="00701F03"/>
    <w:rsid w:val="00703344"/>
    <w:rsid w:val="00703D6F"/>
    <w:rsid w:val="00705108"/>
    <w:rsid w:val="00714597"/>
    <w:rsid w:val="007245ED"/>
    <w:rsid w:val="0072695D"/>
    <w:rsid w:val="00726991"/>
    <w:rsid w:val="00726DDA"/>
    <w:rsid w:val="0073065F"/>
    <w:rsid w:val="007336EE"/>
    <w:rsid w:val="00741092"/>
    <w:rsid w:val="00741BDA"/>
    <w:rsid w:val="00742680"/>
    <w:rsid w:val="007432E7"/>
    <w:rsid w:val="007434A2"/>
    <w:rsid w:val="00744DA2"/>
    <w:rsid w:val="00746C9E"/>
    <w:rsid w:val="00746F6B"/>
    <w:rsid w:val="00750259"/>
    <w:rsid w:val="00750343"/>
    <w:rsid w:val="00750629"/>
    <w:rsid w:val="007508D8"/>
    <w:rsid w:val="0075139D"/>
    <w:rsid w:val="00756D0D"/>
    <w:rsid w:val="0076129D"/>
    <w:rsid w:val="007616D8"/>
    <w:rsid w:val="00761D76"/>
    <w:rsid w:val="00761E3B"/>
    <w:rsid w:val="007658EA"/>
    <w:rsid w:val="0077399F"/>
    <w:rsid w:val="00775D22"/>
    <w:rsid w:val="007760BC"/>
    <w:rsid w:val="00777324"/>
    <w:rsid w:val="00781875"/>
    <w:rsid w:val="00783CA6"/>
    <w:rsid w:val="007859A6"/>
    <w:rsid w:val="0078754C"/>
    <w:rsid w:val="007902B7"/>
    <w:rsid w:val="007903B8"/>
    <w:rsid w:val="0079191F"/>
    <w:rsid w:val="00793FFB"/>
    <w:rsid w:val="007A005F"/>
    <w:rsid w:val="007A1781"/>
    <w:rsid w:val="007A1E20"/>
    <w:rsid w:val="007A491D"/>
    <w:rsid w:val="007B2031"/>
    <w:rsid w:val="007B2E7A"/>
    <w:rsid w:val="007B314C"/>
    <w:rsid w:val="007B3A69"/>
    <w:rsid w:val="007C00E6"/>
    <w:rsid w:val="007C3B50"/>
    <w:rsid w:val="007D3E38"/>
    <w:rsid w:val="007D6155"/>
    <w:rsid w:val="007D6502"/>
    <w:rsid w:val="007D7B37"/>
    <w:rsid w:val="007E04F1"/>
    <w:rsid w:val="007E47FA"/>
    <w:rsid w:val="007E4E9F"/>
    <w:rsid w:val="007E594B"/>
    <w:rsid w:val="007F0C3F"/>
    <w:rsid w:val="007F232A"/>
    <w:rsid w:val="007F4606"/>
    <w:rsid w:val="007F4D88"/>
    <w:rsid w:val="007F6CF4"/>
    <w:rsid w:val="0080190B"/>
    <w:rsid w:val="00804AFA"/>
    <w:rsid w:val="00805075"/>
    <w:rsid w:val="0080548E"/>
    <w:rsid w:val="00805AB5"/>
    <w:rsid w:val="00806CE9"/>
    <w:rsid w:val="00806EE2"/>
    <w:rsid w:val="00815894"/>
    <w:rsid w:val="00815A32"/>
    <w:rsid w:val="00816C5F"/>
    <w:rsid w:val="0082704D"/>
    <w:rsid w:val="0083201C"/>
    <w:rsid w:val="008323FB"/>
    <w:rsid w:val="0083467A"/>
    <w:rsid w:val="00835222"/>
    <w:rsid w:val="00837B46"/>
    <w:rsid w:val="0085196C"/>
    <w:rsid w:val="008543BA"/>
    <w:rsid w:val="00854DEA"/>
    <w:rsid w:val="0085539F"/>
    <w:rsid w:val="00857145"/>
    <w:rsid w:val="00857559"/>
    <w:rsid w:val="00861749"/>
    <w:rsid w:val="008648B4"/>
    <w:rsid w:val="00864CBA"/>
    <w:rsid w:val="008669C1"/>
    <w:rsid w:val="00870FD1"/>
    <w:rsid w:val="00871463"/>
    <w:rsid w:val="00871D6F"/>
    <w:rsid w:val="00872118"/>
    <w:rsid w:val="00874443"/>
    <w:rsid w:val="0087477C"/>
    <w:rsid w:val="00875528"/>
    <w:rsid w:val="0088588B"/>
    <w:rsid w:val="00887301"/>
    <w:rsid w:val="00887683"/>
    <w:rsid w:val="00887C84"/>
    <w:rsid w:val="008925D9"/>
    <w:rsid w:val="00893756"/>
    <w:rsid w:val="0089652C"/>
    <w:rsid w:val="00896DD3"/>
    <w:rsid w:val="008A0EA1"/>
    <w:rsid w:val="008A22AF"/>
    <w:rsid w:val="008A2D79"/>
    <w:rsid w:val="008A4A75"/>
    <w:rsid w:val="008A4F86"/>
    <w:rsid w:val="008A5C84"/>
    <w:rsid w:val="008A6D28"/>
    <w:rsid w:val="008A724F"/>
    <w:rsid w:val="008B1245"/>
    <w:rsid w:val="008B1B50"/>
    <w:rsid w:val="008B206F"/>
    <w:rsid w:val="008B439F"/>
    <w:rsid w:val="008B6694"/>
    <w:rsid w:val="008C7812"/>
    <w:rsid w:val="008D0944"/>
    <w:rsid w:val="008D2F11"/>
    <w:rsid w:val="008D347E"/>
    <w:rsid w:val="008D489F"/>
    <w:rsid w:val="008D48E9"/>
    <w:rsid w:val="008D4A2B"/>
    <w:rsid w:val="008D4EAD"/>
    <w:rsid w:val="008D5C0A"/>
    <w:rsid w:val="008D7145"/>
    <w:rsid w:val="008D763E"/>
    <w:rsid w:val="008E04AE"/>
    <w:rsid w:val="008E3DB7"/>
    <w:rsid w:val="008E518D"/>
    <w:rsid w:val="008E68A4"/>
    <w:rsid w:val="008E7463"/>
    <w:rsid w:val="008E7475"/>
    <w:rsid w:val="008F0030"/>
    <w:rsid w:val="008F49A3"/>
    <w:rsid w:val="00900696"/>
    <w:rsid w:val="0090078A"/>
    <w:rsid w:val="009068AD"/>
    <w:rsid w:val="00913B04"/>
    <w:rsid w:val="009145D4"/>
    <w:rsid w:val="00915C15"/>
    <w:rsid w:val="00916A1E"/>
    <w:rsid w:val="009226CD"/>
    <w:rsid w:val="00923139"/>
    <w:rsid w:val="00923813"/>
    <w:rsid w:val="00931E37"/>
    <w:rsid w:val="00933F27"/>
    <w:rsid w:val="00940D06"/>
    <w:rsid w:val="009441EB"/>
    <w:rsid w:val="00944984"/>
    <w:rsid w:val="009458E0"/>
    <w:rsid w:val="0095003F"/>
    <w:rsid w:val="00951A64"/>
    <w:rsid w:val="00953F9F"/>
    <w:rsid w:val="00954399"/>
    <w:rsid w:val="00966BB7"/>
    <w:rsid w:val="009715BA"/>
    <w:rsid w:val="00972988"/>
    <w:rsid w:val="00973324"/>
    <w:rsid w:val="009738C3"/>
    <w:rsid w:val="009743BF"/>
    <w:rsid w:val="009748D7"/>
    <w:rsid w:val="00977B3B"/>
    <w:rsid w:val="0098136C"/>
    <w:rsid w:val="00981A10"/>
    <w:rsid w:val="00984588"/>
    <w:rsid w:val="0098537D"/>
    <w:rsid w:val="00985D23"/>
    <w:rsid w:val="0098647C"/>
    <w:rsid w:val="009904D9"/>
    <w:rsid w:val="00991C72"/>
    <w:rsid w:val="00994D41"/>
    <w:rsid w:val="00994FD3"/>
    <w:rsid w:val="009A024D"/>
    <w:rsid w:val="009A1CEB"/>
    <w:rsid w:val="009A57FC"/>
    <w:rsid w:val="009A7168"/>
    <w:rsid w:val="009B1E52"/>
    <w:rsid w:val="009B46BC"/>
    <w:rsid w:val="009B56FC"/>
    <w:rsid w:val="009B60B7"/>
    <w:rsid w:val="009B7215"/>
    <w:rsid w:val="009B7785"/>
    <w:rsid w:val="009C48A3"/>
    <w:rsid w:val="009D02E9"/>
    <w:rsid w:val="009D0700"/>
    <w:rsid w:val="009D2ECF"/>
    <w:rsid w:val="009D56BB"/>
    <w:rsid w:val="009E1555"/>
    <w:rsid w:val="009E16EA"/>
    <w:rsid w:val="009E5E66"/>
    <w:rsid w:val="009E736D"/>
    <w:rsid w:val="009F2D9A"/>
    <w:rsid w:val="009F614A"/>
    <w:rsid w:val="009F6927"/>
    <w:rsid w:val="00A0137D"/>
    <w:rsid w:val="00A02942"/>
    <w:rsid w:val="00A0389B"/>
    <w:rsid w:val="00A04D47"/>
    <w:rsid w:val="00A05FBA"/>
    <w:rsid w:val="00A07873"/>
    <w:rsid w:val="00A11A59"/>
    <w:rsid w:val="00A13E99"/>
    <w:rsid w:val="00A2012A"/>
    <w:rsid w:val="00A20D49"/>
    <w:rsid w:val="00A20DD0"/>
    <w:rsid w:val="00A21B29"/>
    <w:rsid w:val="00A2269B"/>
    <w:rsid w:val="00A25722"/>
    <w:rsid w:val="00A26359"/>
    <w:rsid w:val="00A26C17"/>
    <w:rsid w:val="00A31DFF"/>
    <w:rsid w:val="00A355CC"/>
    <w:rsid w:val="00A41EC6"/>
    <w:rsid w:val="00A443B1"/>
    <w:rsid w:val="00A52311"/>
    <w:rsid w:val="00A5391E"/>
    <w:rsid w:val="00A5618F"/>
    <w:rsid w:val="00A61B19"/>
    <w:rsid w:val="00A61FB3"/>
    <w:rsid w:val="00A639F4"/>
    <w:rsid w:val="00A6527B"/>
    <w:rsid w:val="00A70B8E"/>
    <w:rsid w:val="00A7144F"/>
    <w:rsid w:val="00A72805"/>
    <w:rsid w:val="00A73577"/>
    <w:rsid w:val="00A7672A"/>
    <w:rsid w:val="00A76984"/>
    <w:rsid w:val="00A777E1"/>
    <w:rsid w:val="00A8108C"/>
    <w:rsid w:val="00A8551E"/>
    <w:rsid w:val="00A86EC1"/>
    <w:rsid w:val="00A9048F"/>
    <w:rsid w:val="00A91E48"/>
    <w:rsid w:val="00A94356"/>
    <w:rsid w:val="00A947C7"/>
    <w:rsid w:val="00A94FFF"/>
    <w:rsid w:val="00A95312"/>
    <w:rsid w:val="00AA0675"/>
    <w:rsid w:val="00AA1F05"/>
    <w:rsid w:val="00AA2589"/>
    <w:rsid w:val="00AA2AAB"/>
    <w:rsid w:val="00AA51D1"/>
    <w:rsid w:val="00AA5D23"/>
    <w:rsid w:val="00AB3FDB"/>
    <w:rsid w:val="00AB572C"/>
    <w:rsid w:val="00AB58B6"/>
    <w:rsid w:val="00AB6B04"/>
    <w:rsid w:val="00AC12B2"/>
    <w:rsid w:val="00AC3BB4"/>
    <w:rsid w:val="00AC63EC"/>
    <w:rsid w:val="00AD26D8"/>
    <w:rsid w:val="00AD43BD"/>
    <w:rsid w:val="00AD4FCA"/>
    <w:rsid w:val="00AD6758"/>
    <w:rsid w:val="00AD7880"/>
    <w:rsid w:val="00AE07E3"/>
    <w:rsid w:val="00AE0C13"/>
    <w:rsid w:val="00AE4AC7"/>
    <w:rsid w:val="00AE5250"/>
    <w:rsid w:val="00AF29D2"/>
    <w:rsid w:val="00AF55E6"/>
    <w:rsid w:val="00B03577"/>
    <w:rsid w:val="00B0368E"/>
    <w:rsid w:val="00B12204"/>
    <w:rsid w:val="00B12629"/>
    <w:rsid w:val="00B12F56"/>
    <w:rsid w:val="00B13F93"/>
    <w:rsid w:val="00B146E6"/>
    <w:rsid w:val="00B24BBD"/>
    <w:rsid w:val="00B345EE"/>
    <w:rsid w:val="00B36A47"/>
    <w:rsid w:val="00B37382"/>
    <w:rsid w:val="00B41461"/>
    <w:rsid w:val="00B417AF"/>
    <w:rsid w:val="00B433AF"/>
    <w:rsid w:val="00B55A09"/>
    <w:rsid w:val="00B55B0A"/>
    <w:rsid w:val="00B564FF"/>
    <w:rsid w:val="00B56595"/>
    <w:rsid w:val="00B56CBE"/>
    <w:rsid w:val="00B6076C"/>
    <w:rsid w:val="00B62963"/>
    <w:rsid w:val="00B67573"/>
    <w:rsid w:val="00B71C86"/>
    <w:rsid w:val="00B720C9"/>
    <w:rsid w:val="00B723D4"/>
    <w:rsid w:val="00B72DCB"/>
    <w:rsid w:val="00B765D9"/>
    <w:rsid w:val="00B77494"/>
    <w:rsid w:val="00B80383"/>
    <w:rsid w:val="00B825EB"/>
    <w:rsid w:val="00B84860"/>
    <w:rsid w:val="00B848A8"/>
    <w:rsid w:val="00B866AF"/>
    <w:rsid w:val="00B914CA"/>
    <w:rsid w:val="00B92CE0"/>
    <w:rsid w:val="00B94837"/>
    <w:rsid w:val="00B96BFB"/>
    <w:rsid w:val="00BA11AF"/>
    <w:rsid w:val="00BA2537"/>
    <w:rsid w:val="00BA3FB7"/>
    <w:rsid w:val="00BA4957"/>
    <w:rsid w:val="00BB0327"/>
    <w:rsid w:val="00BB218F"/>
    <w:rsid w:val="00BB2336"/>
    <w:rsid w:val="00BC09C5"/>
    <w:rsid w:val="00BC0C8D"/>
    <w:rsid w:val="00BC2432"/>
    <w:rsid w:val="00BC28FE"/>
    <w:rsid w:val="00BC6157"/>
    <w:rsid w:val="00BC631F"/>
    <w:rsid w:val="00BD04D9"/>
    <w:rsid w:val="00BD5EE7"/>
    <w:rsid w:val="00BD7181"/>
    <w:rsid w:val="00BE075E"/>
    <w:rsid w:val="00BE5FAF"/>
    <w:rsid w:val="00BF1727"/>
    <w:rsid w:val="00BF255E"/>
    <w:rsid w:val="00BF425D"/>
    <w:rsid w:val="00BF4BD8"/>
    <w:rsid w:val="00BF54D0"/>
    <w:rsid w:val="00BF5CA9"/>
    <w:rsid w:val="00C0257D"/>
    <w:rsid w:val="00C02C96"/>
    <w:rsid w:val="00C03840"/>
    <w:rsid w:val="00C03B46"/>
    <w:rsid w:val="00C0443B"/>
    <w:rsid w:val="00C12F2A"/>
    <w:rsid w:val="00C13216"/>
    <w:rsid w:val="00C22B63"/>
    <w:rsid w:val="00C22C68"/>
    <w:rsid w:val="00C235CB"/>
    <w:rsid w:val="00C2402A"/>
    <w:rsid w:val="00C24B6B"/>
    <w:rsid w:val="00C3571D"/>
    <w:rsid w:val="00C42031"/>
    <w:rsid w:val="00C43092"/>
    <w:rsid w:val="00C430B3"/>
    <w:rsid w:val="00C43A59"/>
    <w:rsid w:val="00C43B83"/>
    <w:rsid w:val="00C44120"/>
    <w:rsid w:val="00C4486C"/>
    <w:rsid w:val="00C459DC"/>
    <w:rsid w:val="00C460D7"/>
    <w:rsid w:val="00C462F1"/>
    <w:rsid w:val="00C47E49"/>
    <w:rsid w:val="00C520AC"/>
    <w:rsid w:val="00C55C56"/>
    <w:rsid w:val="00C56D14"/>
    <w:rsid w:val="00C57290"/>
    <w:rsid w:val="00C575CA"/>
    <w:rsid w:val="00C60BFD"/>
    <w:rsid w:val="00C672BA"/>
    <w:rsid w:val="00C712A3"/>
    <w:rsid w:val="00C7293F"/>
    <w:rsid w:val="00C72986"/>
    <w:rsid w:val="00C730D3"/>
    <w:rsid w:val="00C74505"/>
    <w:rsid w:val="00C76D6A"/>
    <w:rsid w:val="00C83FF3"/>
    <w:rsid w:val="00C854EE"/>
    <w:rsid w:val="00C854FD"/>
    <w:rsid w:val="00C9243F"/>
    <w:rsid w:val="00C93259"/>
    <w:rsid w:val="00C94614"/>
    <w:rsid w:val="00C94FB8"/>
    <w:rsid w:val="00CA0147"/>
    <w:rsid w:val="00CA1CFF"/>
    <w:rsid w:val="00CA3116"/>
    <w:rsid w:val="00CA441D"/>
    <w:rsid w:val="00CA79CF"/>
    <w:rsid w:val="00CB000E"/>
    <w:rsid w:val="00CB0CD3"/>
    <w:rsid w:val="00CB18D7"/>
    <w:rsid w:val="00CB3140"/>
    <w:rsid w:val="00CB6A54"/>
    <w:rsid w:val="00CC153E"/>
    <w:rsid w:val="00CC3798"/>
    <w:rsid w:val="00CC3F89"/>
    <w:rsid w:val="00CD0B6A"/>
    <w:rsid w:val="00CD2EFC"/>
    <w:rsid w:val="00CD302E"/>
    <w:rsid w:val="00CD3A8A"/>
    <w:rsid w:val="00CD4F6B"/>
    <w:rsid w:val="00CE2623"/>
    <w:rsid w:val="00CE44AF"/>
    <w:rsid w:val="00CE612B"/>
    <w:rsid w:val="00CF2329"/>
    <w:rsid w:val="00CF2FC7"/>
    <w:rsid w:val="00CF414F"/>
    <w:rsid w:val="00CF7C4C"/>
    <w:rsid w:val="00D00810"/>
    <w:rsid w:val="00D02B99"/>
    <w:rsid w:val="00D03709"/>
    <w:rsid w:val="00D04670"/>
    <w:rsid w:val="00D04D91"/>
    <w:rsid w:val="00D1180C"/>
    <w:rsid w:val="00D1786B"/>
    <w:rsid w:val="00D21626"/>
    <w:rsid w:val="00D22B03"/>
    <w:rsid w:val="00D247C0"/>
    <w:rsid w:val="00D24870"/>
    <w:rsid w:val="00D254D4"/>
    <w:rsid w:val="00D31DEF"/>
    <w:rsid w:val="00D3260D"/>
    <w:rsid w:val="00D34932"/>
    <w:rsid w:val="00D34B3E"/>
    <w:rsid w:val="00D37FCF"/>
    <w:rsid w:val="00D422DB"/>
    <w:rsid w:val="00D4302D"/>
    <w:rsid w:val="00D4557E"/>
    <w:rsid w:val="00D4583E"/>
    <w:rsid w:val="00D4614E"/>
    <w:rsid w:val="00D51F9E"/>
    <w:rsid w:val="00D529F9"/>
    <w:rsid w:val="00D54563"/>
    <w:rsid w:val="00D551EB"/>
    <w:rsid w:val="00D55508"/>
    <w:rsid w:val="00D566E2"/>
    <w:rsid w:val="00D57044"/>
    <w:rsid w:val="00D572A9"/>
    <w:rsid w:val="00D66184"/>
    <w:rsid w:val="00D70C7D"/>
    <w:rsid w:val="00D72087"/>
    <w:rsid w:val="00D74289"/>
    <w:rsid w:val="00D75116"/>
    <w:rsid w:val="00D75C9B"/>
    <w:rsid w:val="00D81072"/>
    <w:rsid w:val="00D85454"/>
    <w:rsid w:val="00D85970"/>
    <w:rsid w:val="00D8645F"/>
    <w:rsid w:val="00D90AF1"/>
    <w:rsid w:val="00D91A08"/>
    <w:rsid w:val="00D91BEC"/>
    <w:rsid w:val="00D922AE"/>
    <w:rsid w:val="00D933FB"/>
    <w:rsid w:val="00D9677E"/>
    <w:rsid w:val="00DA0D3E"/>
    <w:rsid w:val="00DA1B0B"/>
    <w:rsid w:val="00DA2806"/>
    <w:rsid w:val="00DA69AE"/>
    <w:rsid w:val="00DA6F92"/>
    <w:rsid w:val="00DB1FDB"/>
    <w:rsid w:val="00DB4BB7"/>
    <w:rsid w:val="00DC0F89"/>
    <w:rsid w:val="00DC2A64"/>
    <w:rsid w:val="00DC68C3"/>
    <w:rsid w:val="00DD1CC9"/>
    <w:rsid w:val="00DD23C0"/>
    <w:rsid w:val="00DD5774"/>
    <w:rsid w:val="00DE16DE"/>
    <w:rsid w:val="00DE1D1A"/>
    <w:rsid w:val="00DE358C"/>
    <w:rsid w:val="00DE5898"/>
    <w:rsid w:val="00E02FF0"/>
    <w:rsid w:val="00E03B57"/>
    <w:rsid w:val="00E10B8A"/>
    <w:rsid w:val="00E1390D"/>
    <w:rsid w:val="00E1728C"/>
    <w:rsid w:val="00E22AD2"/>
    <w:rsid w:val="00E231BA"/>
    <w:rsid w:val="00E23359"/>
    <w:rsid w:val="00E2794A"/>
    <w:rsid w:val="00E33387"/>
    <w:rsid w:val="00E34872"/>
    <w:rsid w:val="00E34DCA"/>
    <w:rsid w:val="00E34E5E"/>
    <w:rsid w:val="00E3652A"/>
    <w:rsid w:val="00E37E25"/>
    <w:rsid w:val="00E41FA2"/>
    <w:rsid w:val="00E44B03"/>
    <w:rsid w:val="00E45084"/>
    <w:rsid w:val="00E45765"/>
    <w:rsid w:val="00E45B32"/>
    <w:rsid w:val="00E45D99"/>
    <w:rsid w:val="00E46C27"/>
    <w:rsid w:val="00E5113F"/>
    <w:rsid w:val="00E52FC0"/>
    <w:rsid w:val="00E5385A"/>
    <w:rsid w:val="00E56466"/>
    <w:rsid w:val="00E5726F"/>
    <w:rsid w:val="00E608DB"/>
    <w:rsid w:val="00E6166E"/>
    <w:rsid w:val="00E62183"/>
    <w:rsid w:val="00E626B1"/>
    <w:rsid w:val="00E627BF"/>
    <w:rsid w:val="00E64317"/>
    <w:rsid w:val="00E677EF"/>
    <w:rsid w:val="00E718F5"/>
    <w:rsid w:val="00E72295"/>
    <w:rsid w:val="00E72C65"/>
    <w:rsid w:val="00E77BCF"/>
    <w:rsid w:val="00E80605"/>
    <w:rsid w:val="00E830DA"/>
    <w:rsid w:val="00E84C69"/>
    <w:rsid w:val="00E854B4"/>
    <w:rsid w:val="00E8786C"/>
    <w:rsid w:val="00E95128"/>
    <w:rsid w:val="00E97810"/>
    <w:rsid w:val="00EA0B3F"/>
    <w:rsid w:val="00EA71F4"/>
    <w:rsid w:val="00EA7B8D"/>
    <w:rsid w:val="00EB0931"/>
    <w:rsid w:val="00EC0820"/>
    <w:rsid w:val="00EC24D3"/>
    <w:rsid w:val="00EC5C0B"/>
    <w:rsid w:val="00EC73DC"/>
    <w:rsid w:val="00ED1E98"/>
    <w:rsid w:val="00ED3AA1"/>
    <w:rsid w:val="00ED51F0"/>
    <w:rsid w:val="00ED5F95"/>
    <w:rsid w:val="00ED67D4"/>
    <w:rsid w:val="00ED715D"/>
    <w:rsid w:val="00ED7A56"/>
    <w:rsid w:val="00EE0E21"/>
    <w:rsid w:val="00EE21A1"/>
    <w:rsid w:val="00EE2450"/>
    <w:rsid w:val="00EE7047"/>
    <w:rsid w:val="00EF0B01"/>
    <w:rsid w:val="00EF0F13"/>
    <w:rsid w:val="00EF34AE"/>
    <w:rsid w:val="00EF495B"/>
    <w:rsid w:val="00EF4E72"/>
    <w:rsid w:val="00EF4FC7"/>
    <w:rsid w:val="00EF578D"/>
    <w:rsid w:val="00EF5A22"/>
    <w:rsid w:val="00EF688C"/>
    <w:rsid w:val="00F00603"/>
    <w:rsid w:val="00F04EFB"/>
    <w:rsid w:val="00F07829"/>
    <w:rsid w:val="00F10E0E"/>
    <w:rsid w:val="00F11B5D"/>
    <w:rsid w:val="00F12594"/>
    <w:rsid w:val="00F12BF1"/>
    <w:rsid w:val="00F12EFB"/>
    <w:rsid w:val="00F150F1"/>
    <w:rsid w:val="00F16237"/>
    <w:rsid w:val="00F16F26"/>
    <w:rsid w:val="00F17012"/>
    <w:rsid w:val="00F20205"/>
    <w:rsid w:val="00F26B99"/>
    <w:rsid w:val="00F27004"/>
    <w:rsid w:val="00F37AF6"/>
    <w:rsid w:val="00F40350"/>
    <w:rsid w:val="00F4385F"/>
    <w:rsid w:val="00F4619A"/>
    <w:rsid w:val="00F501FB"/>
    <w:rsid w:val="00F51DF6"/>
    <w:rsid w:val="00F54864"/>
    <w:rsid w:val="00F60D47"/>
    <w:rsid w:val="00F612DD"/>
    <w:rsid w:val="00F620AA"/>
    <w:rsid w:val="00F709E2"/>
    <w:rsid w:val="00F70C00"/>
    <w:rsid w:val="00F70E82"/>
    <w:rsid w:val="00F71552"/>
    <w:rsid w:val="00F75DF5"/>
    <w:rsid w:val="00F77ADF"/>
    <w:rsid w:val="00F802C8"/>
    <w:rsid w:val="00F82153"/>
    <w:rsid w:val="00F838BE"/>
    <w:rsid w:val="00F83A95"/>
    <w:rsid w:val="00F85872"/>
    <w:rsid w:val="00F859F1"/>
    <w:rsid w:val="00F865E8"/>
    <w:rsid w:val="00F91913"/>
    <w:rsid w:val="00F9359C"/>
    <w:rsid w:val="00F9506A"/>
    <w:rsid w:val="00F96564"/>
    <w:rsid w:val="00FA01BC"/>
    <w:rsid w:val="00FA1EF8"/>
    <w:rsid w:val="00FA2A9D"/>
    <w:rsid w:val="00FA44BB"/>
    <w:rsid w:val="00FA6ADD"/>
    <w:rsid w:val="00FA6B26"/>
    <w:rsid w:val="00FA6C5D"/>
    <w:rsid w:val="00FA6D0F"/>
    <w:rsid w:val="00FA704F"/>
    <w:rsid w:val="00FB0C8B"/>
    <w:rsid w:val="00FB1326"/>
    <w:rsid w:val="00FB2525"/>
    <w:rsid w:val="00FB5521"/>
    <w:rsid w:val="00FC156B"/>
    <w:rsid w:val="00FC1D72"/>
    <w:rsid w:val="00FC4E3E"/>
    <w:rsid w:val="00FD085E"/>
    <w:rsid w:val="00FD0E89"/>
    <w:rsid w:val="00FD3B9D"/>
    <w:rsid w:val="00FD44E7"/>
    <w:rsid w:val="00FD4736"/>
    <w:rsid w:val="00FE0172"/>
    <w:rsid w:val="00FE057E"/>
    <w:rsid w:val="00FE2CC6"/>
    <w:rsid w:val="00FE3AB4"/>
    <w:rsid w:val="00FF0E24"/>
    <w:rsid w:val="00FF3376"/>
    <w:rsid w:val="00FF46DB"/>
  </w:rsids>
  <m:mathPr>
    <m:mathFont m:val="Cambria Math"/>
    <m:brkBin m:val="before"/>
    <m:brkBinSub m:val="--"/>
    <m:smallFrac/>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9" w:qFormat="1"/>
    <w:lsdException w:name="heading 5" w:uiPriority="9" w:qFormat="1"/>
    <w:lsdException w:name="heading 6" w:uiPriority="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footnote reference" w:uiPriority="0"/>
    <w:lsdException w:name="page number" w:uiPriority="0"/>
    <w:lsdException w:name="Title" w:semiHidden="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y">
    <w:name w:val="Normal"/>
    <w:qFormat/>
    <w:rsid w:val="00E95128"/>
    <w:pPr>
      <w:spacing w:after="0" w:line="240" w:lineRule="auto"/>
    </w:pPr>
    <w:rPr>
      <w:rFonts w:ascii="Times New Roman" w:eastAsia="Times New Roman" w:hAnsi="Times New Roman" w:cs="Times New Roman"/>
      <w:sz w:val="20"/>
      <w:szCs w:val="20"/>
    </w:rPr>
  </w:style>
  <w:style w:type="paragraph" w:styleId="Nadpis1">
    <w:name w:val="heading 1"/>
    <w:basedOn w:val="Normlny"/>
    <w:next w:val="Normlny"/>
    <w:link w:val="Nadpis1Char"/>
    <w:qFormat/>
    <w:rsid w:val="00E95128"/>
    <w:pPr>
      <w:keepNext/>
      <w:numPr>
        <w:numId w:val="1"/>
      </w:numPr>
      <w:outlineLvl w:val="0"/>
    </w:pPr>
    <w:rPr>
      <w:b/>
      <w:caps/>
      <w:sz w:val="18"/>
    </w:rPr>
  </w:style>
  <w:style w:type="paragraph" w:styleId="Nadpis2">
    <w:name w:val="heading 2"/>
    <w:basedOn w:val="Normlny"/>
    <w:next w:val="Normlny"/>
    <w:link w:val="Nadpis2Char"/>
    <w:qFormat/>
    <w:rsid w:val="00E95128"/>
    <w:pPr>
      <w:keepNext/>
      <w:numPr>
        <w:numId w:val="13"/>
      </w:numPr>
      <w:outlineLvl w:val="1"/>
    </w:pPr>
    <w:rPr>
      <w:b/>
      <w:sz w:val="18"/>
    </w:rPr>
  </w:style>
  <w:style w:type="paragraph" w:styleId="Nadpis6">
    <w:name w:val="heading 6"/>
    <w:basedOn w:val="Normlny"/>
    <w:next w:val="Normlny"/>
    <w:link w:val="Nadpis6Char"/>
    <w:qFormat/>
    <w:rsid w:val="00E95128"/>
    <w:pPr>
      <w:keepNext/>
      <w:outlineLvl w:val="5"/>
    </w:pPr>
    <w:rPr>
      <w:b/>
      <w:caps/>
      <w:sz w:val="32"/>
    </w:rPr>
  </w:style>
  <w:style w:type="paragraph" w:styleId="Nadpis9">
    <w:name w:val="heading 9"/>
    <w:basedOn w:val="Normlny"/>
    <w:next w:val="Normlny"/>
    <w:link w:val="Nadpis9Char"/>
    <w:uiPriority w:val="9"/>
    <w:semiHidden/>
    <w:unhideWhenUsed/>
    <w:qFormat/>
    <w:rsid w:val="003E0FA2"/>
    <w:pPr>
      <w:keepNext/>
      <w:keepLines/>
      <w:spacing w:before="200"/>
      <w:outlineLvl w:val="8"/>
    </w:pPr>
    <w:rPr>
      <w:rFonts w:asciiTheme="majorHAnsi" w:eastAsiaTheme="majorEastAsia" w:hAnsiTheme="majorHAnsi" w:cstheme="majorBidi"/>
      <w:i/>
      <w:iCs/>
      <w:color w:val="404040" w:themeColor="text1" w:themeTint="BF"/>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qFormat/>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Hlavika">
    <w:name w:val="header"/>
    <w:basedOn w:val="Normlny"/>
    <w:link w:val="HlavikaChar"/>
    <w:uiPriority w:val="99"/>
    <w:unhideWhenUsed/>
    <w:rsid w:val="00E95128"/>
    <w:pPr>
      <w:tabs>
        <w:tab w:val="center" w:pos="4536"/>
        <w:tab w:val="right" w:pos="9072"/>
      </w:tabs>
    </w:pPr>
  </w:style>
  <w:style w:type="character" w:customStyle="1" w:styleId="HlavikaChar">
    <w:name w:val="Hlavička Char"/>
    <w:basedOn w:val="Predvolenpsmoodseku"/>
    <w:link w:val="Hlavika"/>
    <w:uiPriority w:val="99"/>
    <w:rsid w:val="00E95128"/>
  </w:style>
  <w:style w:type="paragraph" w:styleId="Pta">
    <w:name w:val="footer"/>
    <w:basedOn w:val="Normlny"/>
    <w:link w:val="PtaChar"/>
    <w:uiPriority w:val="99"/>
    <w:unhideWhenUsed/>
    <w:rsid w:val="00E95128"/>
    <w:pPr>
      <w:tabs>
        <w:tab w:val="center" w:pos="4536"/>
        <w:tab w:val="right" w:pos="9072"/>
      </w:tabs>
    </w:pPr>
  </w:style>
  <w:style w:type="character" w:customStyle="1" w:styleId="PtaChar">
    <w:name w:val="Päta Char"/>
    <w:basedOn w:val="Predvolenpsmoodseku"/>
    <w:link w:val="Pta"/>
    <w:uiPriority w:val="99"/>
    <w:rsid w:val="00E95128"/>
  </w:style>
  <w:style w:type="character" w:styleId="slostrany">
    <w:name w:val="page number"/>
    <w:basedOn w:val="Predvolenpsmoodseku"/>
    <w:rsid w:val="00E95128"/>
    <w:rPr>
      <w:rFonts w:cs="Times New Roman"/>
    </w:rPr>
  </w:style>
  <w:style w:type="character" w:customStyle="1" w:styleId="Nadpis1Char">
    <w:name w:val="Nadpis 1 Char"/>
    <w:basedOn w:val="Predvolenpsmoodseku"/>
    <w:link w:val="Nadpis1"/>
    <w:rsid w:val="00E95128"/>
    <w:rPr>
      <w:rFonts w:ascii="Times New Roman" w:eastAsia="Times New Roman" w:hAnsi="Times New Roman" w:cs="Times New Roman"/>
      <w:b/>
      <w:caps/>
      <w:sz w:val="18"/>
      <w:szCs w:val="20"/>
    </w:rPr>
  </w:style>
  <w:style w:type="character" w:customStyle="1" w:styleId="Nadpis2Char">
    <w:name w:val="Nadpis 2 Char"/>
    <w:basedOn w:val="Predvolenpsmoodseku"/>
    <w:link w:val="Nadpis2"/>
    <w:rsid w:val="00E95128"/>
    <w:rPr>
      <w:rFonts w:ascii="Times New Roman" w:eastAsia="Times New Roman" w:hAnsi="Times New Roman" w:cs="Times New Roman"/>
      <w:b/>
      <w:sz w:val="18"/>
      <w:szCs w:val="20"/>
    </w:rPr>
  </w:style>
  <w:style w:type="character" w:customStyle="1" w:styleId="Nadpis6Char">
    <w:name w:val="Nadpis 6 Char"/>
    <w:basedOn w:val="Predvolenpsmoodseku"/>
    <w:link w:val="Nadpis6"/>
    <w:rsid w:val="00E95128"/>
    <w:rPr>
      <w:rFonts w:ascii="Times New Roman" w:eastAsia="Times New Roman" w:hAnsi="Times New Roman" w:cs="Times New Roman"/>
      <w:b/>
      <w:caps/>
      <w:sz w:val="32"/>
      <w:szCs w:val="20"/>
    </w:rPr>
  </w:style>
  <w:style w:type="paragraph" w:styleId="Zkladntext">
    <w:name w:val="Body Text"/>
    <w:basedOn w:val="Normlny"/>
    <w:link w:val="ZkladntextChar"/>
    <w:rsid w:val="00E95128"/>
    <w:pPr>
      <w:ind w:left="426"/>
      <w:jc w:val="both"/>
    </w:pPr>
    <w:rPr>
      <w:sz w:val="18"/>
    </w:rPr>
  </w:style>
  <w:style w:type="character" w:customStyle="1" w:styleId="ZkladntextChar">
    <w:name w:val="Základný text Char"/>
    <w:basedOn w:val="Predvolenpsmoodseku"/>
    <w:link w:val="Zkladntext"/>
    <w:rsid w:val="00E95128"/>
    <w:rPr>
      <w:rFonts w:ascii="Times New Roman" w:eastAsia="Times New Roman" w:hAnsi="Times New Roman" w:cs="Times New Roman"/>
      <w:sz w:val="18"/>
      <w:szCs w:val="20"/>
    </w:rPr>
  </w:style>
  <w:style w:type="paragraph" w:customStyle="1" w:styleId="Uvod">
    <w:name w:val="Uvod"/>
    <w:basedOn w:val="Normlny"/>
    <w:rsid w:val="00E95128"/>
    <w:pPr>
      <w:ind w:left="284" w:hanging="284"/>
      <w:jc w:val="both"/>
    </w:pPr>
    <w:rPr>
      <w:sz w:val="22"/>
    </w:rPr>
  </w:style>
  <w:style w:type="character" w:styleId="Odkaznapoznmkupodiarou">
    <w:name w:val="footnote reference"/>
    <w:basedOn w:val="Predvolenpsmoodseku"/>
    <w:semiHidden/>
    <w:rsid w:val="00E95128"/>
    <w:rPr>
      <w:rFonts w:cs="Times New Roman"/>
      <w:position w:val="6"/>
      <w:sz w:val="16"/>
      <w:szCs w:val="16"/>
    </w:rPr>
  </w:style>
  <w:style w:type="paragraph" w:customStyle="1" w:styleId="lita">
    <w:name w:val="lit_a"/>
    <w:basedOn w:val="Normlny"/>
    <w:rsid w:val="00E95128"/>
    <w:pPr>
      <w:spacing w:after="20"/>
      <w:ind w:left="624" w:hanging="340"/>
      <w:jc w:val="both"/>
    </w:pPr>
    <w:rPr>
      <w:rFonts w:ascii="Times" w:hAnsi="Times"/>
      <w:lang w:val="en-US"/>
    </w:rPr>
  </w:style>
  <w:style w:type="paragraph" w:customStyle="1" w:styleId="zif">
    <w:name w:val="zif"/>
    <w:basedOn w:val="Normlny"/>
    <w:link w:val="zifChar"/>
    <w:rsid w:val="00E95128"/>
    <w:pPr>
      <w:tabs>
        <w:tab w:val="left" w:pos="620"/>
      </w:tabs>
      <w:spacing w:after="80"/>
      <w:jc w:val="both"/>
    </w:pPr>
    <w:rPr>
      <w:rFonts w:ascii="Times" w:hAnsi="Times"/>
      <w:lang w:val="en-US"/>
    </w:rPr>
  </w:style>
  <w:style w:type="character" w:customStyle="1" w:styleId="zifChar">
    <w:name w:val="zif Char"/>
    <w:basedOn w:val="Predvolenpsmoodseku"/>
    <w:link w:val="zif"/>
    <w:locked/>
    <w:rsid w:val="00E95128"/>
    <w:rPr>
      <w:rFonts w:ascii="Times" w:eastAsia="Times New Roman" w:hAnsi="Times" w:cs="Times New Roman"/>
      <w:sz w:val="20"/>
      <w:szCs w:val="20"/>
      <w:lang w:val="en-US"/>
    </w:rPr>
  </w:style>
  <w:style w:type="paragraph" w:styleId="Odsekzoznamu">
    <w:name w:val="List Paragraph"/>
    <w:basedOn w:val="Normlny"/>
    <w:uiPriority w:val="34"/>
    <w:qFormat/>
    <w:rsid w:val="00E95128"/>
    <w:pPr>
      <w:ind w:left="708"/>
    </w:pPr>
  </w:style>
  <w:style w:type="paragraph" w:customStyle="1" w:styleId="Tabulka">
    <w:name w:val="Tabulka"/>
    <w:basedOn w:val="Normlny"/>
    <w:rsid w:val="00160AAA"/>
    <w:rPr>
      <w:color w:val="000000"/>
      <w:sz w:val="18"/>
    </w:rPr>
  </w:style>
  <w:style w:type="paragraph" w:customStyle="1" w:styleId="Pismenka">
    <w:name w:val="Pismenka"/>
    <w:basedOn w:val="Zkladntext"/>
    <w:rsid w:val="00160AAA"/>
    <w:pPr>
      <w:numPr>
        <w:numId w:val="7"/>
      </w:numPr>
      <w:tabs>
        <w:tab w:val="clear" w:pos="360"/>
        <w:tab w:val="num" w:pos="426"/>
      </w:tabs>
      <w:ind w:hanging="426"/>
    </w:pPr>
    <w:rPr>
      <w:b/>
    </w:rPr>
  </w:style>
  <w:style w:type="character" w:customStyle="1" w:styleId="Nadpis9Char">
    <w:name w:val="Nadpis 9 Char"/>
    <w:basedOn w:val="Predvolenpsmoodseku"/>
    <w:link w:val="Nadpis9"/>
    <w:semiHidden/>
    <w:rsid w:val="003E0FA2"/>
    <w:rPr>
      <w:rFonts w:asciiTheme="majorHAnsi" w:eastAsiaTheme="majorEastAsia" w:hAnsiTheme="majorHAnsi" w:cstheme="majorBidi"/>
      <w:i/>
      <w:iCs/>
      <w:color w:val="404040" w:themeColor="text1" w:themeTint="BF"/>
      <w:sz w:val="20"/>
      <w:szCs w:val="20"/>
    </w:rPr>
  </w:style>
  <w:style w:type="paragraph" w:styleId="Textbubliny">
    <w:name w:val="Balloon Text"/>
    <w:basedOn w:val="Normlny"/>
    <w:link w:val="TextbublinyChar"/>
    <w:uiPriority w:val="99"/>
    <w:semiHidden/>
    <w:unhideWhenUsed/>
    <w:rsid w:val="004B69E1"/>
    <w:rPr>
      <w:rFonts w:ascii="Tahoma" w:hAnsi="Tahoma" w:cs="Tahoma"/>
      <w:sz w:val="16"/>
      <w:szCs w:val="16"/>
    </w:rPr>
  </w:style>
  <w:style w:type="character" w:customStyle="1" w:styleId="TextbublinyChar">
    <w:name w:val="Text bubliny Char"/>
    <w:basedOn w:val="Predvolenpsmoodseku"/>
    <w:link w:val="Textbubliny"/>
    <w:uiPriority w:val="99"/>
    <w:semiHidden/>
    <w:rsid w:val="004B69E1"/>
    <w:rPr>
      <w:rFonts w:ascii="Tahoma" w:eastAsia="Times New Roman" w:hAnsi="Tahoma" w:cs="Tahoma"/>
      <w:sz w:val="16"/>
      <w:szCs w:val="16"/>
    </w:rPr>
  </w:style>
  <w:style w:type="character" w:styleId="Odkaznakomentr">
    <w:name w:val="annotation reference"/>
    <w:basedOn w:val="Predvolenpsmoodseku"/>
    <w:uiPriority w:val="99"/>
    <w:semiHidden/>
    <w:unhideWhenUsed/>
    <w:rsid w:val="00574527"/>
    <w:rPr>
      <w:sz w:val="16"/>
      <w:szCs w:val="16"/>
    </w:rPr>
  </w:style>
  <w:style w:type="paragraph" w:styleId="Textkomentra">
    <w:name w:val="annotation text"/>
    <w:basedOn w:val="Normlny"/>
    <w:link w:val="TextkomentraChar"/>
    <w:uiPriority w:val="99"/>
    <w:semiHidden/>
    <w:unhideWhenUsed/>
    <w:rsid w:val="00574527"/>
  </w:style>
  <w:style w:type="character" w:customStyle="1" w:styleId="TextkomentraChar">
    <w:name w:val="Text komentára Char"/>
    <w:basedOn w:val="Predvolenpsmoodseku"/>
    <w:link w:val="Textkomentra"/>
    <w:uiPriority w:val="99"/>
    <w:semiHidden/>
    <w:rsid w:val="00574527"/>
    <w:rPr>
      <w:rFonts w:ascii="Times New Roman" w:eastAsia="Times New Roman" w:hAnsi="Times New Roman" w:cs="Times New Roman"/>
      <w:sz w:val="20"/>
      <w:szCs w:val="20"/>
    </w:rPr>
  </w:style>
  <w:style w:type="paragraph" w:styleId="Predmetkomentra">
    <w:name w:val="annotation subject"/>
    <w:basedOn w:val="Textkomentra"/>
    <w:next w:val="Textkomentra"/>
    <w:link w:val="PredmetkomentraChar"/>
    <w:uiPriority w:val="99"/>
    <w:semiHidden/>
    <w:unhideWhenUsed/>
    <w:rsid w:val="00574527"/>
    <w:rPr>
      <w:b/>
      <w:bCs/>
    </w:rPr>
  </w:style>
  <w:style w:type="character" w:customStyle="1" w:styleId="PredmetkomentraChar">
    <w:name w:val="Predmet komentára Char"/>
    <w:basedOn w:val="TextkomentraChar"/>
    <w:link w:val="Predmetkomentra"/>
    <w:uiPriority w:val="99"/>
    <w:semiHidden/>
    <w:rsid w:val="00574527"/>
    <w:rPr>
      <w:rFonts w:ascii="Times New Roman" w:eastAsia="Times New Roman" w:hAnsi="Times New Roman" w:cs="Times New Roman"/>
      <w:b/>
      <w:bCs/>
      <w:sz w:val="20"/>
      <w:szCs w:val="20"/>
    </w:rPr>
  </w:style>
  <w:style w:type="paragraph" w:styleId="Revzia">
    <w:name w:val="Revision"/>
    <w:hidden/>
    <w:uiPriority w:val="99"/>
    <w:semiHidden/>
    <w:rsid w:val="00574527"/>
    <w:pPr>
      <w:spacing w:after="0" w:line="240" w:lineRule="auto"/>
    </w:pPr>
    <w:rPr>
      <w:rFonts w:ascii="Times New Roman" w:eastAsia="Times New Roman" w:hAnsi="Times New Roman" w:cs="Times New Roman"/>
      <w:sz w:val="20"/>
      <w:szCs w:val="20"/>
    </w:rPr>
  </w:style>
  <w:style w:type="paragraph" w:customStyle="1" w:styleId="Subhead2">
    <w:name w:val="Subhead 2"/>
    <w:basedOn w:val="Normlny"/>
    <w:rsid w:val="00E45D99"/>
    <w:pPr>
      <w:tabs>
        <w:tab w:val="left" w:pos="1531"/>
      </w:tabs>
      <w:autoSpaceDE w:val="0"/>
      <w:autoSpaceDN w:val="0"/>
      <w:adjustRightInd w:val="0"/>
      <w:spacing w:line="260" w:lineRule="atLeast"/>
      <w:ind w:left="1531" w:right="1134" w:hanging="1531"/>
    </w:pPr>
    <w:rPr>
      <w:rFonts w:ascii="Univers 55" w:hAnsi="Univers 55" w:cs="Univers 55"/>
      <w:b/>
      <w:bCs/>
      <w:color w:val="0C2D83"/>
      <w:lang w:val="en-NZ" w:eastAsia="en-NZ"/>
    </w:rPr>
  </w:style>
  <w:style w:type="paragraph" w:customStyle="1" w:styleId="tabelLinks">
    <w:name w:val="tabelLinks"/>
    <w:basedOn w:val="Normlny"/>
    <w:rsid w:val="00EA71F4"/>
    <w:pPr>
      <w:spacing w:line="260" w:lineRule="exact"/>
    </w:pPr>
    <w:rPr>
      <w:rFonts w:ascii="Times" w:hAnsi="Times"/>
      <w:sz w:val="18"/>
      <w:lang w:val="en-GB"/>
    </w:rPr>
  </w:style>
  <w:style w:type="paragraph" w:styleId="Zkladntext3">
    <w:name w:val="Body Text 3"/>
    <w:basedOn w:val="Normlny"/>
    <w:link w:val="Zkladntext3Char"/>
    <w:uiPriority w:val="99"/>
    <w:unhideWhenUsed/>
    <w:rsid w:val="00BA2537"/>
    <w:pPr>
      <w:spacing w:after="120"/>
    </w:pPr>
    <w:rPr>
      <w:sz w:val="16"/>
      <w:szCs w:val="16"/>
    </w:rPr>
  </w:style>
  <w:style w:type="character" w:customStyle="1" w:styleId="Zkladntext3Char">
    <w:name w:val="Základný text 3 Char"/>
    <w:basedOn w:val="Predvolenpsmoodseku"/>
    <w:link w:val="Zkladntext3"/>
    <w:uiPriority w:val="99"/>
    <w:rsid w:val="00BA2537"/>
    <w:rPr>
      <w:rFonts w:ascii="Times New Roman" w:eastAsia="Times New Roman" w:hAnsi="Times New Roman" w:cs="Times New Roman"/>
      <w:sz w:val="16"/>
      <w:szCs w:val="16"/>
    </w:rPr>
  </w:style>
  <w:style w:type="paragraph" w:styleId="Nzov">
    <w:name w:val="Title"/>
    <w:basedOn w:val="Normlny"/>
    <w:next w:val="Normlny"/>
    <w:link w:val="NzovChar"/>
    <w:uiPriority w:val="99"/>
    <w:qFormat/>
    <w:rsid w:val="00190013"/>
    <w:pPr>
      <w:keepNext/>
      <w:spacing w:before="100" w:beforeAutospacing="1" w:after="220"/>
      <w:jc w:val="center"/>
      <w:outlineLvl w:val="0"/>
    </w:pPr>
    <w:rPr>
      <w:rFonts w:ascii="Arial Narrow" w:hAnsi="Arial Narrow" w:cs="Arial Narrow"/>
      <w:b/>
      <w:bCs/>
      <w:kern w:val="28"/>
      <w:sz w:val="22"/>
      <w:szCs w:val="22"/>
    </w:rPr>
  </w:style>
  <w:style w:type="character" w:customStyle="1" w:styleId="NzovChar">
    <w:name w:val="Názov Char"/>
    <w:basedOn w:val="Predvolenpsmoodseku"/>
    <w:link w:val="Nzov"/>
    <w:uiPriority w:val="99"/>
    <w:rsid w:val="00190013"/>
    <w:rPr>
      <w:rFonts w:ascii="Arial Narrow" w:eastAsia="Times New Roman" w:hAnsi="Arial Narrow" w:cs="Arial Narrow"/>
      <w:b/>
      <w:bCs/>
      <w:kern w:val="28"/>
    </w:rPr>
  </w:style>
  <w:style w:type="paragraph" w:customStyle="1" w:styleId="TopHeader">
    <w:name w:val="Top Header"/>
    <w:basedOn w:val="Normlny"/>
    <w:qFormat/>
    <w:rsid w:val="00190013"/>
    <w:pPr>
      <w:jc w:val="center"/>
    </w:pPr>
    <w:rPr>
      <w:rFonts w:ascii="Arial Narrow" w:hAnsi="Arial Narrow" w:cs="Arial Narrow"/>
      <w:b/>
      <w:bCs/>
      <w:sz w:val="22"/>
      <w:szCs w:val="22"/>
    </w:rPr>
  </w:style>
  <w:style w:type="paragraph" w:styleId="Bezriadkovania">
    <w:name w:val="No Spacing"/>
    <w:uiPriority w:val="1"/>
    <w:qFormat/>
    <w:rsid w:val="00D03709"/>
    <w:pPr>
      <w:spacing w:after="0" w:line="240" w:lineRule="auto"/>
    </w:pPr>
  </w:style>
</w:styles>
</file>

<file path=word/webSettings.xml><?xml version="1.0" encoding="utf-8"?>
<w:webSettings xmlns:r="http://schemas.openxmlformats.org/officeDocument/2006/relationships" xmlns:w="http://schemas.openxmlformats.org/wordprocessingml/2006/main">
  <w:divs>
    <w:div w:id="202330630">
      <w:bodyDiv w:val="1"/>
      <w:marLeft w:val="0"/>
      <w:marRight w:val="0"/>
      <w:marTop w:val="0"/>
      <w:marBottom w:val="0"/>
      <w:divBdr>
        <w:top w:val="none" w:sz="0" w:space="0" w:color="auto"/>
        <w:left w:val="none" w:sz="0" w:space="0" w:color="auto"/>
        <w:bottom w:val="none" w:sz="0" w:space="0" w:color="auto"/>
        <w:right w:val="none" w:sz="0" w:space="0" w:color="auto"/>
      </w:divBdr>
    </w:div>
    <w:div w:id="418599667">
      <w:bodyDiv w:val="1"/>
      <w:marLeft w:val="0"/>
      <w:marRight w:val="0"/>
      <w:marTop w:val="0"/>
      <w:marBottom w:val="0"/>
      <w:divBdr>
        <w:top w:val="none" w:sz="0" w:space="0" w:color="auto"/>
        <w:left w:val="none" w:sz="0" w:space="0" w:color="auto"/>
        <w:bottom w:val="none" w:sz="0" w:space="0" w:color="auto"/>
        <w:right w:val="none" w:sz="0" w:space="0" w:color="auto"/>
      </w:divBdr>
    </w:div>
    <w:div w:id="447774189">
      <w:bodyDiv w:val="1"/>
      <w:marLeft w:val="0"/>
      <w:marRight w:val="0"/>
      <w:marTop w:val="0"/>
      <w:marBottom w:val="0"/>
      <w:divBdr>
        <w:top w:val="none" w:sz="0" w:space="0" w:color="auto"/>
        <w:left w:val="none" w:sz="0" w:space="0" w:color="auto"/>
        <w:bottom w:val="none" w:sz="0" w:space="0" w:color="auto"/>
        <w:right w:val="none" w:sz="0" w:space="0" w:color="auto"/>
      </w:divBdr>
    </w:div>
    <w:div w:id="529299698">
      <w:bodyDiv w:val="1"/>
      <w:marLeft w:val="0"/>
      <w:marRight w:val="0"/>
      <w:marTop w:val="0"/>
      <w:marBottom w:val="0"/>
      <w:divBdr>
        <w:top w:val="none" w:sz="0" w:space="0" w:color="auto"/>
        <w:left w:val="none" w:sz="0" w:space="0" w:color="auto"/>
        <w:bottom w:val="none" w:sz="0" w:space="0" w:color="auto"/>
        <w:right w:val="none" w:sz="0" w:space="0" w:color="auto"/>
      </w:divBdr>
    </w:div>
    <w:div w:id="534275276">
      <w:bodyDiv w:val="1"/>
      <w:marLeft w:val="0"/>
      <w:marRight w:val="0"/>
      <w:marTop w:val="0"/>
      <w:marBottom w:val="0"/>
      <w:divBdr>
        <w:top w:val="none" w:sz="0" w:space="0" w:color="auto"/>
        <w:left w:val="none" w:sz="0" w:space="0" w:color="auto"/>
        <w:bottom w:val="none" w:sz="0" w:space="0" w:color="auto"/>
        <w:right w:val="none" w:sz="0" w:space="0" w:color="auto"/>
      </w:divBdr>
    </w:div>
    <w:div w:id="768966363">
      <w:bodyDiv w:val="1"/>
      <w:marLeft w:val="0"/>
      <w:marRight w:val="0"/>
      <w:marTop w:val="0"/>
      <w:marBottom w:val="0"/>
      <w:divBdr>
        <w:top w:val="none" w:sz="0" w:space="0" w:color="auto"/>
        <w:left w:val="none" w:sz="0" w:space="0" w:color="auto"/>
        <w:bottom w:val="none" w:sz="0" w:space="0" w:color="auto"/>
        <w:right w:val="none" w:sz="0" w:space="0" w:color="auto"/>
      </w:divBdr>
    </w:div>
    <w:div w:id="828910521">
      <w:bodyDiv w:val="1"/>
      <w:marLeft w:val="0"/>
      <w:marRight w:val="0"/>
      <w:marTop w:val="0"/>
      <w:marBottom w:val="0"/>
      <w:divBdr>
        <w:top w:val="none" w:sz="0" w:space="0" w:color="auto"/>
        <w:left w:val="none" w:sz="0" w:space="0" w:color="auto"/>
        <w:bottom w:val="none" w:sz="0" w:space="0" w:color="auto"/>
        <w:right w:val="none" w:sz="0" w:space="0" w:color="auto"/>
      </w:divBdr>
    </w:div>
    <w:div w:id="849872897">
      <w:bodyDiv w:val="1"/>
      <w:marLeft w:val="0"/>
      <w:marRight w:val="0"/>
      <w:marTop w:val="0"/>
      <w:marBottom w:val="0"/>
      <w:divBdr>
        <w:top w:val="none" w:sz="0" w:space="0" w:color="auto"/>
        <w:left w:val="none" w:sz="0" w:space="0" w:color="auto"/>
        <w:bottom w:val="none" w:sz="0" w:space="0" w:color="auto"/>
        <w:right w:val="none" w:sz="0" w:space="0" w:color="auto"/>
      </w:divBdr>
    </w:div>
    <w:div w:id="991563354">
      <w:bodyDiv w:val="1"/>
      <w:marLeft w:val="0"/>
      <w:marRight w:val="0"/>
      <w:marTop w:val="0"/>
      <w:marBottom w:val="0"/>
      <w:divBdr>
        <w:top w:val="none" w:sz="0" w:space="0" w:color="auto"/>
        <w:left w:val="none" w:sz="0" w:space="0" w:color="auto"/>
        <w:bottom w:val="none" w:sz="0" w:space="0" w:color="auto"/>
        <w:right w:val="none" w:sz="0" w:space="0" w:color="auto"/>
      </w:divBdr>
    </w:div>
    <w:div w:id="1058892845">
      <w:bodyDiv w:val="1"/>
      <w:marLeft w:val="0"/>
      <w:marRight w:val="0"/>
      <w:marTop w:val="0"/>
      <w:marBottom w:val="0"/>
      <w:divBdr>
        <w:top w:val="none" w:sz="0" w:space="0" w:color="auto"/>
        <w:left w:val="none" w:sz="0" w:space="0" w:color="auto"/>
        <w:bottom w:val="none" w:sz="0" w:space="0" w:color="auto"/>
        <w:right w:val="none" w:sz="0" w:space="0" w:color="auto"/>
      </w:divBdr>
    </w:div>
    <w:div w:id="1113397766">
      <w:bodyDiv w:val="1"/>
      <w:marLeft w:val="0"/>
      <w:marRight w:val="0"/>
      <w:marTop w:val="0"/>
      <w:marBottom w:val="0"/>
      <w:divBdr>
        <w:top w:val="none" w:sz="0" w:space="0" w:color="auto"/>
        <w:left w:val="none" w:sz="0" w:space="0" w:color="auto"/>
        <w:bottom w:val="none" w:sz="0" w:space="0" w:color="auto"/>
        <w:right w:val="none" w:sz="0" w:space="0" w:color="auto"/>
      </w:divBdr>
    </w:div>
    <w:div w:id="1387144371">
      <w:bodyDiv w:val="1"/>
      <w:marLeft w:val="0"/>
      <w:marRight w:val="0"/>
      <w:marTop w:val="0"/>
      <w:marBottom w:val="0"/>
      <w:divBdr>
        <w:top w:val="none" w:sz="0" w:space="0" w:color="auto"/>
        <w:left w:val="none" w:sz="0" w:space="0" w:color="auto"/>
        <w:bottom w:val="none" w:sz="0" w:space="0" w:color="auto"/>
        <w:right w:val="none" w:sz="0" w:space="0" w:color="auto"/>
      </w:divBdr>
    </w:div>
    <w:div w:id="1651060647">
      <w:bodyDiv w:val="1"/>
      <w:marLeft w:val="0"/>
      <w:marRight w:val="0"/>
      <w:marTop w:val="0"/>
      <w:marBottom w:val="0"/>
      <w:divBdr>
        <w:top w:val="none" w:sz="0" w:space="0" w:color="auto"/>
        <w:left w:val="none" w:sz="0" w:space="0" w:color="auto"/>
        <w:bottom w:val="none" w:sz="0" w:space="0" w:color="auto"/>
        <w:right w:val="none" w:sz="0" w:space="0" w:color="auto"/>
      </w:divBdr>
    </w:div>
    <w:div w:id="1722286536">
      <w:bodyDiv w:val="1"/>
      <w:marLeft w:val="0"/>
      <w:marRight w:val="0"/>
      <w:marTop w:val="0"/>
      <w:marBottom w:val="0"/>
      <w:divBdr>
        <w:top w:val="none" w:sz="0" w:space="0" w:color="auto"/>
        <w:left w:val="none" w:sz="0" w:space="0" w:color="auto"/>
        <w:bottom w:val="none" w:sz="0" w:space="0" w:color="auto"/>
        <w:right w:val="none" w:sz="0" w:space="0" w:color="auto"/>
      </w:divBdr>
    </w:div>
    <w:div w:id="1858805691">
      <w:bodyDiv w:val="1"/>
      <w:marLeft w:val="0"/>
      <w:marRight w:val="0"/>
      <w:marTop w:val="0"/>
      <w:marBottom w:val="0"/>
      <w:divBdr>
        <w:top w:val="none" w:sz="0" w:space="0" w:color="auto"/>
        <w:left w:val="none" w:sz="0" w:space="0" w:color="auto"/>
        <w:bottom w:val="none" w:sz="0" w:space="0" w:color="auto"/>
        <w:right w:val="none" w:sz="0" w:space="0" w:color="auto"/>
      </w:divBdr>
    </w:div>
    <w:div w:id="2083290668">
      <w:bodyDiv w:val="1"/>
      <w:marLeft w:val="0"/>
      <w:marRight w:val="0"/>
      <w:marTop w:val="0"/>
      <w:marBottom w:val="0"/>
      <w:divBdr>
        <w:top w:val="none" w:sz="0" w:space="0" w:color="auto"/>
        <w:left w:val="none" w:sz="0" w:space="0" w:color="auto"/>
        <w:bottom w:val="none" w:sz="0" w:space="0" w:color="auto"/>
        <w:right w:val="none" w:sz="0" w:space="0" w:color="auto"/>
      </w:divBdr>
    </w:div>
    <w:div w:id="21090403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package" Target="embeddings/Pracovn__h_rok_programu_Microsoft_Office_Excel1.xlsx"/><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image" Target="media/image1.emf"/><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1.xml"/><Relationship Id="rId10" Type="http://schemas.openxmlformats.org/officeDocument/2006/relationships/footnotes" Target="foot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eader" Target="header1.xml"/></Relationships>
</file>

<file path=word/_rels/header2.xml.rels><?xml version="1.0" encoding="UTF-8" standalone="yes"?>
<Relationships xmlns="http://schemas.openxmlformats.org/package/2006/relationships"><Relationship Id="rId1" Type="http://schemas.openxmlformats.org/officeDocument/2006/relationships/image" Target="media/image2.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documentManagement>
    <Client_x0020_Issue xmlns="cf981484-ed93-4090-baf6-fe2481f804a7"/>
    <KPMGMW3Language xmlns="http://schemas.microsoft.com/sharepoint/v3">Slovak</KPMGMW3Language>
    <KPMGMW3IndustrySectorSubSectorSelection xmlns="http://schemas.microsoft.com/sharepoint/v3/fields" xsi:nil="true"/>
    <KPMGMW3FunctionSelection xmlns="http://schemas.microsoft.com/sharepoint/v3/fields">;#Advisory;;;#Accounting Advisory Services;#;#</KPMGMW3FunctionSelection>
    <KPMGMW3DocumentType xmlns="http://schemas.microsoft.com/sharepoint/v3/fields">None Selected</KPMGMW3DocumentType>
    <CEE_x0020_AAS_x0020_Category xmlns="b00f20d5-ceb3-4adf-8632-db85932f34e5" xsi:nil="true"/>
    <KPMGMW3Geography xmlns="http://schemas.microsoft.com/sharepoint/v3">;#Global;#</KPMGMW3Geography>
    <KPMGMW3SubService xmlns="http://schemas.microsoft.com/sharepoint/v3/fields" xsi:nil="true"/>
    <KPMGMW3Service xmlns="http://schemas.microsoft.com/sharepoint/v3/fields">Accounting Advisory Services</KPMGMW3Service>
    <KPMGMW3Sector xmlns="http://schemas.microsoft.com/sharepoint/v3/fields" xsi:nil="true"/>
    <KPMGMW3Function xmlns="http://schemas.microsoft.com/sharepoint/v3/fields">Advisory;</KPMGMW3Function>
    <KPMGMW3SubSector xmlns="http://schemas.microsoft.com/sharepoint/v3/fields"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mso-contentType ?>
<spe:Receivers xmlns:spe="http://schemas.microsoft.com/sharepoint/events">
  <Receiver>
    <Name>Add Required Values.</Name>
    <Type>10001</Type>
    <SequenceNumber>200</SequenceNumber>
    <Assembly>KPMG.ItsGlobal.MW3.EventHandlers.Document_CheckIn, Version=1.0.0.0, Culture=neutral, PublicKeyToken=0a27d48d2dcadcba</Assembly>
    <Class>KPMG.ItsGlobal.MW3.EventHandlers.Document_CheckIn.Document_EventReceiver</Class>
    <Data/>
    <Filter/>
  </Receiver>
</spe:Receivers>
</file>

<file path=customXml/item4.xml><?xml version="1.0" encoding="utf-8"?>
<ct:contentTypeSchema xmlns:ct="http://schemas.microsoft.com/office/2006/metadata/contentType" xmlns:ma="http://schemas.microsoft.com/office/2006/metadata/properties/metaAttributes" ct:_="" ma:_="" ma:contentTypeName="KPMG Microweb 3 Document" ma:contentTypeID="0x01010D00FE7E355AA6FBC74B9F426ADBE00604EE" ma:contentTypeVersion="31" ma:contentTypeDescription="KPMG Microweb 3 Document" ma:contentTypeScope="" ma:versionID="01c556b702c515e021acb8961c3bfcdf">
  <xsd:schema xmlns:xsd="http://www.w3.org/2001/XMLSchema" xmlns:p="http://schemas.microsoft.com/office/2006/metadata/properties" xmlns:ns1="http://schemas.microsoft.com/sharepoint/v3" xmlns:ns2="http://schemas.microsoft.com/sharepoint/v3/fields" xmlns:ns3="b00f20d5-ceb3-4adf-8632-db85932f34e5" xmlns:ns4="cf981484-ed93-4090-baf6-fe2481f804a7" targetNamespace="http://schemas.microsoft.com/office/2006/metadata/properties" ma:root="true" ma:fieldsID="921946ef43365bc7d0bd6c58ada3886b" ns1:_="" ns2:_="" ns3:_="" ns4:_="">
    <xsd:import namespace="http://schemas.microsoft.com/sharepoint/v3"/>
    <xsd:import namespace="http://schemas.microsoft.com/sharepoint/v3/fields"/>
    <xsd:import namespace="b00f20d5-ceb3-4adf-8632-db85932f34e5"/>
    <xsd:import namespace="cf981484-ed93-4090-baf6-fe2481f804a7"/>
    <xsd:element name="properties">
      <xsd:complexType>
        <xsd:sequence>
          <xsd:element name="documentManagement">
            <xsd:complexType>
              <xsd:all>
                <xsd:element ref="ns3:CEE_x0020_AAS_x0020_Category" minOccurs="0"/>
                <xsd:element ref="ns2:KPMGMW3DocumentType"/>
                <xsd:element ref="ns2:KPMGMW3FunctionSelection" minOccurs="0"/>
                <xsd:element ref="ns2:KPMGMW3IndustrySectorSubSectorSelection" minOccurs="0"/>
                <xsd:element ref="ns4:Client_x0020_Issue" minOccurs="0"/>
                <xsd:element ref="ns1:KPMGMW3Language"/>
                <xsd:element ref="ns1:KPMGMW3Geography" minOccurs="0"/>
                <xsd:element ref="ns2:KPMGMW3SubSector" minOccurs="0"/>
                <xsd:element ref="ns2:KPMGMW3Function" minOccurs="0"/>
                <xsd:element ref="ns2:KPMGMW3Service" minOccurs="0"/>
                <xsd:element ref="ns2:KPMGMW3SubService" minOccurs="0"/>
                <xsd:element ref="ns2:KPMGMW3Sector" minOccurs="0"/>
              </xsd:all>
            </xsd:complexType>
          </xsd:element>
        </xsd:sequence>
      </xsd:complexType>
    </xsd:element>
  </xsd:schema>
  <xsd:schema xmlns:xsd="http://www.w3.org/2001/XMLSchema" xmlns:dms="http://schemas.microsoft.com/office/2006/documentManagement/types" targetNamespace="http://schemas.microsoft.com/sharepoint/v3" elementFormDefault="qualified">
    <xsd:import namespace="http://schemas.microsoft.com/office/2006/documentManagement/types"/>
    <xsd:element name="KPMGMW3Language" ma:index="8" ma:displayName="Language" ma:description="Identifies the language of the resource" ma:internalName="KPMGMW3Language">
      <xsd:simpleType>
        <xsd:restriction base="dms:Unknown"/>
      </xsd:simpleType>
    </xsd:element>
    <xsd:element name="KPMGMW3Geography" ma:index="9" nillable="true" ma:displayName="Geographic coverage" ma:description="Country the content item applies to. &#10;It is possible to select multiple countries by holding down the Ctrl key while making the selections." ma:internalName="KPMGMW3Geography">
      <xsd:simpleType>
        <xsd:restriction base="dms:Unknown"/>
      </xsd:simpleType>
    </xsd:element>
  </xsd:schema>
  <xsd:schema xmlns:xsd="http://www.w3.org/2001/XMLSchema" xmlns:dms="http://schemas.microsoft.com/office/2006/documentManagement/types" targetNamespace="http://schemas.microsoft.com/sharepoint/v3/fields" elementFormDefault="qualified">
    <xsd:import namespace="http://schemas.microsoft.com/office/2006/documentManagement/types"/>
    <xsd:element name="KPMGMW3DocumentType" ma:index="4" ma:displayName="Document Type" ma:description="Identifies the nature of the resource in terms of its role in a business process" ma:internalName="KPMGMW3DocumentType">
      <xsd:simpleType>
        <xsd:restriction base="dms:Unknown"/>
      </xsd:simpleType>
    </xsd:element>
    <xsd:element name="KPMGMW3FunctionSelection" ma:index="5" nillable="true" ma:displayName="Function/Service/SubService Selection" ma:description="Function/Service/SubService Selection" ma:internalName="KPMGMW3FunctionSelection">
      <xsd:simpleType>
        <xsd:restriction base="dms:Unknown"/>
      </xsd:simpleType>
    </xsd:element>
    <xsd:element name="KPMGMW3IndustrySectorSubSectorSelection" ma:index="6" nillable="true" ma:displayName="Industry Sector/SubSector Selection" ma:description="Industry Multi Selection Sector/SubSector Selection" ma:internalName="KPMGMW3IndustrySectorSubSectorSelection">
      <xsd:simpleType>
        <xsd:restriction base="dms:Unknown"/>
      </xsd:simpleType>
    </xsd:element>
    <xsd:element name="KPMGMW3SubSector" ma:index="12" nillable="true" ma:displayName="Sub Sector" ma:description="Sub Sector" ma:internalName="KPMGMW3SubSector" ma:readOnly="true">
      <xsd:simpleType>
        <xsd:restriction base="dms:Text"/>
      </xsd:simpleType>
    </xsd:element>
    <xsd:element name="KPMGMW3Function" ma:index="17" nillable="true" ma:displayName="Function" ma:description="Function" ma:internalName="KPMGMW3Function" ma:readOnly="true">
      <xsd:simpleType>
        <xsd:restriction base="dms:Text"/>
      </xsd:simpleType>
    </xsd:element>
    <xsd:element name="KPMGMW3Service" ma:index="18" nillable="true" ma:displayName="Service" ma:description="Identifies the KPMG service which is discussed or targeted in this folder" ma:internalName="KPMGMW3Service" ma:readOnly="true">
      <xsd:simpleType>
        <xsd:restriction base="dms:Text"/>
      </xsd:simpleType>
    </xsd:element>
    <xsd:element name="KPMGMW3SubService" ma:index="19" nillable="true" ma:displayName="Sub Service" ma:description="Identifies the KPMG sub service which is discussed or targeted in this folder" ma:internalName="KPMGMW3SubService" ma:readOnly="true">
      <xsd:simpleType>
        <xsd:restriction base="dms:Text"/>
      </xsd:simpleType>
    </xsd:element>
    <xsd:element name="KPMGMW3Sector" ma:index="22" nillable="true" ma:displayName="Sector" ma:description="Sector" ma:internalName="KPMGMW3Sector" ma:readOnly="true">
      <xsd:simpleType>
        <xsd:restriction base="dms:Text"/>
      </xsd:simpleType>
    </xsd:element>
  </xsd:schema>
  <xsd:schema xmlns:xsd="http://www.w3.org/2001/XMLSchema" xmlns:dms="http://schemas.microsoft.com/office/2006/documentManagement/types" targetNamespace="b00f20d5-ceb3-4adf-8632-db85932f34e5" elementFormDefault="qualified">
    <xsd:import namespace="http://schemas.microsoft.com/office/2006/documentManagement/types"/>
    <xsd:element name="CEE_x0020_AAS_x0020_Category" ma:index="3" nillable="true" ma:displayName="CEE AAS Category" ma:format="Dropdown" ma:internalName="CEE_x0020_AAS_x0020_Category">
      <xsd:simpleType>
        <xsd:restriction base="dms:Choice">
          <xsd:enumeration value="Meeting Minutes"/>
          <xsd:enumeration value="Presentation"/>
          <xsd:enumeration value="Template"/>
          <xsd:enumeration value="Other"/>
        </xsd:restriction>
      </xsd:simpleType>
    </xsd:element>
  </xsd:schema>
  <xsd:schema xmlns:xsd="http://www.w3.org/2001/XMLSchema" xmlns:dms="http://schemas.microsoft.com/office/2006/documentManagement/types" targetNamespace="cf981484-ed93-4090-baf6-fe2481f804a7" elementFormDefault="qualified">
    <xsd:import namespace="http://schemas.microsoft.com/office/2006/documentManagement/types"/>
    <xsd:element name="Client_x0020_Issue" ma:index="7" nillable="true" ma:displayName="Client Issue" ma:description="Please select the Advisory Issue that best fits the client challenge" ma:internalName="Client_x0020_Issue">
      <xsd:complexType>
        <xsd:complexContent>
          <xsd:extension base="dms:MultiChoice">
            <xsd:sequence>
              <xsd:element name="Value" maxOccurs="unbounded" minOccurs="0" nillable="true">
                <xsd:simpleType>
                  <xsd:restriction base="dms:Choice">
                    <xsd:enumeration value="Entering New Markets"/>
                    <xsd:enumeration value="Growth from Transactions"/>
                    <xsd:enumeration value="Managing the Regulatory Environment"/>
                    <xsd:enumeration value="Optimizing Organizational Risk"/>
                    <xsd:enumeration value="Best Practice Governance and Corporate Citizenship"/>
                    <xsd:enumeration value="Addressing Severe Underperformance"/>
                    <xsd:enumeration value="Efficiency and Cost Optimization"/>
                    <xsd:enumeration value="Value from Major Infrastructure Projects"/>
                  </xsd:restriction>
                </xsd:simple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axOccurs="1" ma:index="2" ma:displayName="Author or Contact"/>
        <xsd:element ref="dcterms:created" minOccurs="0" maxOccurs="1"/>
        <xsd:element ref="dc:identifier" minOccurs="0" maxOccurs="1"/>
        <xsd:element name="contentType" minOccurs="0" maxOccurs="1" type="xsd:string" ma:index="14" ma:displayName="Content Type"/>
        <xsd:element ref="dc:title" minOccurs="0" maxOccurs="1" ma:index="1" ma:displayName="Title"/>
        <xsd:element ref="dc:subject" minOccurs="0" maxOccurs="1"/>
        <xsd:element ref="dc:description" minOccurs="0" maxOccurs="1" ma:index="11" ma:displayName="Comments"/>
        <xsd:element name="keywords" minOccurs="0" maxOccurs="1" type="xsd:string" ma:index="10" ma:displayName="Keywords"/>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9A97BDA-EC18-4EF2-817B-9D14EBB6094E}">
  <ds:schemaRefs>
    <ds:schemaRef ds:uri="http://schemas.microsoft.com/office/2006/metadata/properties"/>
    <ds:schemaRef ds:uri="cf981484-ed93-4090-baf6-fe2481f804a7"/>
    <ds:schemaRef ds:uri="http://schemas.microsoft.com/sharepoint/v3"/>
    <ds:schemaRef ds:uri="http://schemas.microsoft.com/sharepoint/v3/fields"/>
    <ds:schemaRef ds:uri="b00f20d5-ceb3-4adf-8632-db85932f34e5"/>
  </ds:schemaRefs>
</ds:datastoreItem>
</file>

<file path=customXml/itemProps2.xml><?xml version="1.0" encoding="utf-8"?>
<ds:datastoreItem xmlns:ds="http://schemas.openxmlformats.org/officeDocument/2006/customXml" ds:itemID="{64CF9575-47BC-4A91-9DB8-DAA3C697A137}">
  <ds:schemaRefs>
    <ds:schemaRef ds:uri="http://schemas.microsoft.com/sharepoint/v3/contenttype/forms"/>
  </ds:schemaRefs>
</ds:datastoreItem>
</file>

<file path=customXml/itemProps3.xml><?xml version="1.0" encoding="utf-8"?>
<ds:datastoreItem xmlns:ds="http://schemas.openxmlformats.org/officeDocument/2006/customXml" ds:itemID="{29D86309-5722-4868-9D81-A69EDBFB93DA}">
  <ds:schemaRefs>
    <ds:schemaRef ds:uri="http://schemas.microsoft.com/sharepoint/events"/>
  </ds:schemaRefs>
</ds:datastoreItem>
</file>

<file path=customXml/itemProps4.xml><?xml version="1.0" encoding="utf-8"?>
<ds:datastoreItem xmlns:ds="http://schemas.openxmlformats.org/officeDocument/2006/customXml" ds:itemID="{A2C11F71-952C-42EE-A932-3FAC66B819D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http://schemas.microsoft.com/sharepoint/v3/fields"/>
    <ds:schemaRef ds:uri="b00f20d5-ceb3-4adf-8632-db85932f34e5"/>
    <ds:schemaRef ds:uri="cf981484-ed93-4090-baf6-fe2481f804a7"/>
    <ds:schemaRef ds:uri="http://schemas.microsoft.com/office/2006/documentManagement/typ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customXml/itemProps5.xml><?xml version="1.0" encoding="utf-8"?>
<ds:datastoreItem xmlns:ds="http://schemas.openxmlformats.org/officeDocument/2006/customXml" ds:itemID="{B142CAB7-44BF-4A22-ADD7-E0824A62298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116</TotalTime>
  <Pages>1</Pages>
  <Words>4402</Words>
  <Characters>25098</Characters>
  <Application>Microsoft Office Word</Application>
  <DocSecurity>0</DocSecurity>
  <Lines>209</Lines>
  <Paragraphs>58</Paragraphs>
  <ScaleCrop>false</ScaleCrop>
  <HeadingPairs>
    <vt:vector size="4" baseType="variant">
      <vt:variant>
        <vt:lpstr>Názov</vt:lpstr>
      </vt:variant>
      <vt:variant>
        <vt:i4>1</vt:i4>
      </vt:variant>
      <vt:variant>
        <vt:lpstr>Title</vt:lpstr>
      </vt:variant>
      <vt:variant>
        <vt:i4>1</vt:i4>
      </vt:variant>
    </vt:vector>
  </HeadingPairs>
  <TitlesOfParts>
    <vt:vector size="2" baseType="lpstr">
      <vt:lpstr/>
      <vt:lpstr/>
    </vt:vector>
  </TitlesOfParts>
  <Company>KPMG</Company>
  <LinksUpToDate>false</LinksUpToDate>
  <CharactersWithSpaces>29442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Sikulova, Andrea</dc:creator>
  <cp:lastModifiedBy>Admin</cp:lastModifiedBy>
  <cp:revision>31</cp:revision>
  <cp:lastPrinted>2013-12-16T11:37:00Z</cp:lastPrinted>
  <dcterms:created xsi:type="dcterms:W3CDTF">2016-03-25T07:46:00Z</dcterms:created>
  <dcterms:modified xsi:type="dcterms:W3CDTF">2025-03-09T10:12:00Z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0x01010D00FE7E355AA6FBC74B9F426ADBE00604EE</vt:lpwstr>
  </property>
</Properties>
</file>