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B60EF" w14:textId="77777777" w:rsidR="00BC058E" w:rsidRDefault="00BC058E">
      <w:pPr>
        <w:jc w:val="center"/>
        <w:rPr>
          <w:b/>
        </w:rPr>
      </w:pPr>
    </w:p>
    <w:p w14:paraId="348281E6" w14:textId="77777777" w:rsidR="00BC058E" w:rsidRDefault="00BC058E">
      <w:pPr>
        <w:pStyle w:val="Nadpis1"/>
        <w:tabs>
          <w:tab w:val="left" w:pos="360"/>
        </w:tabs>
        <w:ind w:left="360"/>
      </w:pPr>
      <w:r>
        <w:rPr>
          <w:sz w:val="20"/>
        </w:rPr>
        <w:t>Informácie o účtovnej jednotke</w:t>
      </w:r>
    </w:p>
    <w:p w14:paraId="0DBE1C90" w14:textId="77777777" w:rsidR="00BC058E" w:rsidRDefault="00BC058E">
      <w:pPr>
        <w:pStyle w:val="Zkladntext"/>
        <w:rPr>
          <w:sz w:val="20"/>
        </w:rPr>
      </w:pPr>
    </w:p>
    <w:p w14:paraId="515A8924" w14:textId="77777777" w:rsidR="00BC058E" w:rsidRDefault="00BC058E">
      <w:pPr>
        <w:pStyle w:val="Nadpis2"/>
        <w:numPr>
          <w:ilvl w:val="0"/>
          <w:numId w:val="3"/>
        </w:numPr>
        <w:tabs>
          <w:tab w:val="left" w:pos="567"/>
        </w:tabs>
        <w:ind w:left="567" w:hanging="283"/>
      </w:pPr>
      <w:r>
        <w:rPr>
          <w:sz w:val="20"/>
        </w:rPr>
        <w:t>Informácie o založení účtovnej jednotky</w:t>
      </w:r>
    </w:p>
    <w:tbl>
      <w:tblPr>
        <w:tblW w:w="0" w:type="auto"/>
        <w:tblInd w:w="686" w:type="dxa"/>
        <w:tblLayout w:type="fixed"/>
        <w:tblLook w:val="0000" w:firstRow="0" w:lastRow="0" w:firstColumn="0" w:lastColumn="0" w:noHBand="0" w:noVBand="0"/>
      </w:tblPr>
      <w:tblGrid>
        <w:gridCol w:w="1756"/>
        <w:gridCol w:w="4612"/>
      </w:tblGrid>
      <w:tr w:rsidR="00BC058E" w14:paraId="3245FB5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A9856" w14:textId="77777777" w:rsidR="00BC058E" w:rsidRDefault="00BC058E">
            <w:r>
              <w:rPr>
                <w:b/>
              </w:rPr>
              <w:t>Obchodn</w:t>
            </w:r>
            <w:r>
              <w:t>é meno: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2E0C7" w14:textId="77777777" w:rsidR="00BC058E" w:rsidRDefault="00254EAB">
            <w:r>
              <w:t>TIKLA SLOVAKIA</w:t>
            </w:r>
            <w:r w:rsidR="00BC058E">
              <w:t xml:space="preserve"> </w:t>
            </w:r>
            <w:proofErr w:type="spellStart"/>
            <w:r w:rsidR="00BC058E">
              <w:t>s.r.o</w:t>
            </w:r>
            <w:proofErr w:type="spellEnd"/>
            <w:r w:rsidR="00BC058E">
              <w:t>.</w:t>
            </w:r>
          </w:p>
        </w:tc>
      </w:tr>
      <w:tr w:rsidR="00BC058E" w14:paraId="4045DAD8" w14:textId="77777777" w:rsidTr="00254EAB">
        <w:trPr>
          <w:trHeight w:val="35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C862FE" w14:textId="77777777" w:rsidR="00BC058E" w:rsidRDefault="00BC058E">
            <w:r>
              <w:t>Sídlo: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8A8610" w14:textId="77777777" w:rsidR="00BC058E" w:rsidRDefault="00254EAB">
            <w:proofErr w:type="spellStart"/>
            <w:r>
              <w:t>Nám.Priateľstva</w:t>
            </w:r>
            <w:proofErr w:type="spellEnd"/>
            <w:r>
              <w:t xml:space="preserve"> 2172/30</w:t>
            </w:r>
            <w:r w:rsidR="00BC058E">
              <w:t>, 929 01 Dunajská Streda</w:t>
            </w:r>
          </w:p>
        </w:tc>
      </w:tr>
      <w:tr w:rsidR="00BC058E" w14:paraId="3207B4F8" w14:textId="77777777" w:rsidTr="00254EAB">
        <w:trPr>
          <w:trHeight w:val="359"/>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E971CD" w14:textId="77777777" w:rsidR="00BC058E" w:rsidRDefault="00BC058E">
            <w:r>
              <w:t>Dátum založenia:</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F9D70" w14:textId="77777777" w:rsidR="00BC058E" w:rsidRDefault="00254EAB">
            <w:r>
              <w:t>26.07.2021</w:t>
            </w:r>
          </w:p>
        </w:tc>
      </w:tr>
      <w:tr w:rsidR="00BC058E" w14:paraId="222986DD"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B65B6B" w14:textId="77777777" w:rsidR="00BC058E" w:rsidRDefault="00BC058E">
            <w:r>
              <w:t>Dátum vzniku:</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E0318" w14:textId="77777777" w:rsidR="00BC058E" w:rsidRDefault="00254EAB">
            <w:r>
              <w:t>05.08.2021</w:t>
            </w:r>
          </w:p>
        </w:tc>
      </w:tr>
      <w:tr w:rsidR="00BC058E" w14:paraId="12965C1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278947" w14:textId="77777777" w:rsidR="00BC058E" w:rsidRDefault="00BC058E">
            <w:r>
              <w:t>IČO: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CA3D16" w14:textId="77777777" w:rsidR="00BC058E" w:rsidRDefault="00254EAB">
            <w:r>
              <w:t>53 986 571</w:t>
            </w:r>
          </w:p>
        </w:tc>
      </w:tr>
    </w:tbl>
    <w:p w14:paraId="2D57DC29" w14:textId="77777777" w:rsidR="00BC058E" w:rsidRDefault="00BC058E">
      <w:pPr>
        <w:rPr>
          <w:lang w:eastAsia="en-US"/>
        </w:rPr>
      </w:pPr>
    </w:p>
    <w:p w14:paraId="1EA5E9C3" w14:textId="77777777" w:rsidR="00BC058E" w:rsidRPr="00254EAB" w:rsidRDefault="00254EAB">
      <w:pPr>
        <w:ind w:left="567"/>
        <w:rPr>
          <w:bCs/>
        </w:rPr>
      </w:pPr>
      <w:r w:rsidRPr="00254EAB">
        <w:rPr>
          <w:bCs/>
          <w:lang w:eastAsia="en-US"/>
        </w:rPr>
        <w:t>Spoločnosť bola založená dňa 26.07.2021 spoločenskou zmluvou</w:t>
      </w:r>
      <w:r w:rsidR="00BC058E" w:rsidRPr="00254EAB">
        <w:rPr>
          <w:bCs/>
          <w:lang w:eastAsia="en-US"/>
        </w:rPr>
        <w:t>.</w:t>
      </w:r>
    </w:p>
    <w:p w14:paraId="191745E8" w14:textId="77777777" w:rsidR="00BC058E" w:rsidRDefault="00BC058E">
      <w:pPr>
        <w:rPr>
          <w:lang w:eastAsia="sk-SK"/>
        </w:rPr>
      </w:pPr>
    </w:p>
    <w:p w14:paraId="2CE19EA3" w14:textId="77777777" w:rsidR="00BC058E" w:rsidRDefault="00BC058E">
      <w:pPr>
        <w:pStyle w:val="Nadpis2"/>
        <w:numPr>
          <w:ilvl w:val="0"/>
          <w:numId w:val="3"/>
        </w:numPr>
        <w:tabs>
          <w:tab w:val="left" w:pos="567"/>
        </w:tabs>
        <w:ind w:left="567" w:hanging="283"/>
      </w:pPr>
      <w:r>
        <w:rPr>
          <w:sz w:val="20"/>
        </w:rPr>
        <w:t>Hlavnými činnosťami účtovnej jednotky sú</w:t>
      </w:r>
    </w:p>
    <w:p w14:paraId="2FEEEF45" w14:textId="77777777" w:rsidR="00BC058E" w:rsidRDefault="00BC058E">
      <w:pPr>
        <w:widowControl w:val="0"/>
        <w:ind w:left="624"/>
        <w:rPr>
          <w:lang w:eastAsia="en-US"/>
        </w:rPr>
      </w:pPr>
      <w:r>
        <w:rPr>
          <w:lang w:eastAsia="en-US"/>
        </w:rPr>
        <w:t xml:space="preserve">- </w:t>
      </w:r>
      <w:r w:rsidR="00E261EB">
        <w:rPr>
          <w:lang w:eastAsia="en-US"/>
        </w:rPr>
        <w:t>veľkoobchodná a maloobchodná činnosť s tovarom všetkého druhu</w:t>
      </w:r>
    </w:p>
    <w:p w14:paraId="1329FCCF" w14:textId="2AC18F7B" w:rsidR="00225B67" w:rsidRDefault="00225B67" w:rsidP="00225B67">
      <w:pPr>
        <w:widowControl w:val="0"/>
        <w:ind w:left="624"/>
        <w:rPr>
          <w:lang w:eastAsia="en-US"/>
        </w:rPr>
      </w:pPr>
      <w:r>
        <w:rPr>
          <w:lang w:eastAsia="en-US"/>
        </w:rPr>
        <w:t>- výroba ostatných výrobkov z dreva</w:t>
      </w:r>
    </w:p>
    <w:p w14:paraId="7C5DF298" w14:textId="77777777" w:rsidR="00BC058E" w:rsidRDefault="00BC058E">
      <w:pPr>
        <w:widowControl w:val="0"/>
        <w:ind w:left="624"/>
        <w:rPr>
          <w:lang w:eastAsia="en-US"/>
        </w:rPr>
      </w:pPr>
      <w:r>
        <w:rPr>
          <w:lang w:eastAsia="en-US"/>
        </w:rPr>
        <w:t xml:space="preserve">- </w:t>
      </w:r>
      <w:r w:rsidR="00782881">
        <w:rPr>
          <w:lang w:eastAsia="en-US"/>
        </w:rPr>
        <w:t>uskutočňovanie stavieb a ich zmien</w:t>
      </w:r>
    </w:p>
    <w:p w14:paraId="3B30AAD4" w14:textId="77777777" w:rsidR="00782881" w:rsidRDefault="00782881">
      <w:pPr>
        <w:widowControl w:val="0"/>
        <w:ind w:left="624"/>
      </w:pPr>
      <w:r>
        <w:rPr>
          <w:lang w:eastAsia="en-US"/>
        </w:rPr>
        <w:t>- prípravné práce k realizácii stavby</w:t>
      </w:r>
    </w:p>
    <w:p w14:paraId="5516595C" w14:textId="77777777" w:rsidR="00BC058E" w:rsidRDefault="00BC058E">
      <w:pPr>
        <w:widowControl w:val="0"/>
        <w:ind w:left="624"/>
      </w:pPr>
      <w:r>
        <w:rPr>
          <w:lang w:eastAsia="en-US"/>
        </w:rPr>
        <w:t xml:space="preserve">- </w:t>
      </w:r>
      <w:r w:rsidR="00E261EB">
        <w:rPr>
          <w:lang w:eastAsia="en-US"/>
        </w:rPr>
        <w:t>poskytovanie obslužných služieb pri kultúrnych a iných  spoločenských podujatiach</w:t>
      </w:r>
    </w:p>
    <w:p w14:paraId="556F1029" w14:textId="77777777" w:rsidR="00BC058E" w:rsidRDefault="00BC058E">
      <w:pPr>
        <w:widowControl w:val="0"/>
        <w:ind w:left="624"/>
      </w:pPr>
      <w:r>
        <w:rPr>
          <w:lang w:eastAsia="en-US"/>
        </w:rPr>
        <w:t xml:space="preserve">- </w:t>
      </w:r>
      <w:r w:rsidR="00E261EB">
        <w:rPr>
          <w:lang w:eastAsia="en-US"/>
        </w:rPr>
        <w:t>organizovanie športových, kultúrnych a iných spoločenských podujatí</w:t>
      </w:r>
    </w:p>
    <w:p w14:paraId="20CBEAC2" w14:textId="77777777" w:rsidR="00BC058E" w:rsidRDefault="00BC058E">
      <w:pPr>
        <w:ind w:left="624"/>
      </w:pPr>
    </w:p>
    <w:p w14:paraId="49F9E39A" w14:textId="77777777" w:rsidR="00BC058E" w:rsidRDefault="00BC058E">
      <w:pPr>
        <w:pStyle w:val="Nadpis2"/>
        <w:numPr>
          <w:ilvl w:val="0"/>
          <w:numId w:val="3"/>
        </w:numPr>
        <w:tabs>
          <w:tab w:val="left" w:pos="567"/>
        </w:tabs>
        <w:ind w:left="567" w:hanging="283"/>
      </w:pPr>
      <w:r>
        <w:rPr>
          <w:sz w:val="20"/>
        </w:rPr>
        <w:t>Informácie o počte zamestnancov</w:t>
      </w:r>
    </w:p>
    <w:p w14:paraId="129D5D98" w14:textId="311648F9" w:rsidR="00BC058E" w:rsidRDefault="00BC058E">
      <w:pPr>
        <w:pStyle w:val="Zkladntext"/>
        <w:tabs>
          <w:tab w:val="left" w:pos="567"/>
        </w:tabs>
        <w:ind w:left="567" w:hanging="283"/>
      </w:pPr>
      <w:r>
        <w:rPr>
          <w:sz w:val="20"/>
        </w:rPr>
        <w:tab/>
        <w:t>Údaje o počte zamestnancov za bežné účtovné obdobie (202</w:t>
      </w:r>
      <w:r w:rsidR="001C2CB6">
        <w:rPr>
          <w:sz w:val="20"/>
        </w:rPr>
        <w:t>4</w:t>
      </w:r>
      <w:r>
        <w:rPr>
          <w:sz w:val="20"/>
        </w:rPr>
        <w:t>) a za bezprostredne predchádzajúce účtovné obdobie (20</w:t>
      </w:r>
      <w:r w:rsidR="00E261EB">
        <w:rPr>
          <w:sz w:val="20"/>
        </w:rPr>
        <w:t>2</w:t>
      </w:r>
      <w:r w:rsidR="001C2CB6">
        <w:rPr>
          <w:sz w:val="20"/>
        </w:rPr>
        <w:t>3</w:t>
      </w:r>
      <w:r>
        <w:rPr>
          <w:sz w:val="20"/>
        </w:rPr>
        <w:t>) sú uvedené v tabuľke č. 2.</w:t>
      </w:r>
    </w:p>
    <w:p w14:paraId="3A1C511B" w14:textId="77777777" w:rsidR="00BC058E" w:rsidRDefault="00BC058E">
      <w:pPr>
        <w:pStyle w:val="Zkladntext"/>
        <w:ind w:left="0"/>
        <w:rPr>
          <w:sz w:val="20"/>
        </w:rPr>
      </w:pPr>
    </w:p>
    <w:p w14:paraId="6B605E2F" w14:textId="77777777" w:rsidR="00BC058E" w:rsidRDefault="00BC058E">
      <w:pPr>
        <w:pStyle w:val="Nadpis"/>
        <w:spacing w:before="0" w:after="0"/>
        <w:ind w:left="567"/>
        <w:jc w:val="left"/>
      </w:pPr>
      <w:r>
        <w:rPr>
          <w:b w:val="0"/>
          <w:bCs w:val="0"/>
          <w:sz w:val="22"/>
          <w:szCs w:val="22"/>
        </w:rPr>
        <w:t>Tabuľka č. 2. Informácie k časti A. písm. c) o počte zamestnancov</w:t>
      </w:r>
    </w:p>
    <w:tbl>
      <w:tblPr>
        <w:tblW w:w="4600" w:type="pct"/>
        <w:tblInd w:w="547" w:type="dxa"/>
        <w:tblLayout w:type="fixed"/>
        <w:tblCellMar>
          <w:left w:w="70" w:type="dxa"/>
          <w:right w:w="70" w:type="dxa"/>
        </w:tblCellMar>
        <w:tblLook w:val="0000" w:firstRow="0" w:lastRow="0" w:firstColumn="0" w:lastColumn="0" w:noHBand="0" w:noVBand="0"/>
      </w:tblPr>
      <w:tblGrid>
        <w:gridCol w:w="3632"/>
        <w:gridCol w:w="2344"/>
        <w:gridCol w:w="2497"/>
      </w:tblGrid>
      <w:tr w:rsidR="00BC058E" w14:paraId="3FBD00FE" w14:textId="77777777">
        <w:tc>
          <w:tcPr>
            <w:tcW w:w="3577" w:type="dxa"/>
            <w:tcBorders>
              <w:top w:val="single" w:sz="12" w:space="0" w:color="000000"/>
              <w:left w:val="single" w:sz="12" w:space="0" w:color="000000"/>
            </w:tcBorders>
            <w:shd w:val="clear" w:color="auto" w:fill="auto"/>
            <w:vAlign w:val="center"/>
          </w:tcPr>
          <w:p w14:paraId="6B0A280F" w14:textId="77777777" w:rsidR="00BC058E" w:rsidRDefault="00BC058E">
            <w:pPr>
              <w:pStyle w:val="TopHeader"/>
            </w:pPr>
            <w:r>
              <w:rPr>
                <w:rFonts w:ascii="Times New Roman" w:hAnsi="Times New Roman" w:cs="Times New Roman"/>
                <w:sz w:val="20"/>
                <w:szCs w:val="20"/>
              </w:rPr>
              <w:t>Názov položky</w:t>
            </w:r>
          </w:p>
        </w:tc>
        <w:tc>
          <w:tcPr>
            <w:tcW w:w="2308" w:type="dxa"/>
            <w:tcBorders>
              <w:top w:val="single" w:sz="12" w:space="0" w:color="000000"/>
              <w:left w:val="single" w:sz="12" w:space="0" w:color="000000"/>
            </w:tcBorders>
            <w:shd w:val="clear" w:color="auto" w:fill="auto"/>
            <w:vAlign w:val="center"/>
          </w:tcPr>
          <w:p w14:paraId="7FAFB25E" w14:textId="77777777" w:rsidR="00BC058E" w:rsidRDefault="00BC058E">
            <w:pPr>
              <w:pStyle w:val="TopHeader"/>
            </w:pPr>
            <w:r>
              <w:rPr>
                <w:rFonts w:ascii="Times New Roman" w:hAnsi="Times New Roman" w:cs="Times New Roman"/>
                <w:sz w:val="20"/>
                <w:szCs w:val="20"/>
              </w:rPr>
              <w:t>Bežné účtovné obdobie</w:t>
            </w:r>
          </w:p>
        </w:tc>
        <w:tc>
          <w:tcPr>
            <w:tcW w:w="2459" w:type="dxa"/>
            <w:tcBorders>
              <w:top w:val="single" w:sz="12" w:space="0" w:color="000000"/>
              <w:left w:val="single" w:sz="12" w:space="0" w:color="000000"/>
              <w:right w:val="single" w:sz="12" w:space="0" w:color="000000"/>
            </w:tcBorders>
            <w:shd w:val="clear" w:color="auto" w:fill="auto"/>
            <w:vAlign w:val="center"/>
          </w:tcPr>
          <w:p w14:paraId="125AC825" w14:textId="77777777" w:rsidR="00BC058E" w:rsidRDefault="00BC058E">
            <w:pPr>
              <w:pStyle w:val="TopHeader"/>
            </w:pPr>
            <w:r>
              <w:rPr>
                <w:rFonts w:ascii="Times New Roman" w:hAnsi="Times New Roman" w:cs="Times New Roman"/>
                <w:sz w:val="20"/>
                <w:szCs w:val="20"/>
              </w:rPr>
              <w:t>Bezprostredne predchádzajúce účtovné obdobie</w:t>
            </w:r>
          </w:p>
        </w:tc>
      </w:tr>
      <w:tr w:rsidR="00BC058E" w14:paraId="07FA25F8" w14:textId="77777777">
        <w:trPr>
          <w:trHeight w:val="347"/>
        </w:trPr>
        <w:tc>
          <w:tcPr>
            <w:tcW w:w="3577" w:type="dxa"/>
            <w:tcBorders>
              <w:top w:val="single" w:sz="12" w:space="0" w:color="000000"/>
              <w:left w:val="single" w:sz="12" w:space="0" w:color="000000"/>
              <w:bottom w:val="single" w:sz="4" w:space="0" w:color="000000"/>
            </w:tcBorders>
            <w:shd w:val="clear" w:color="auto" w:fill="auto"/>
            <w:vAlign w:val="center"/>
          </w:tcPr>
          <w:p w14:paraId="50DBEA09" w14:textId="77777777" w:rsidR="00BC058E" w:rsidRDefault="00BC058E">
            <w:r>
              <w:t>Priemerný prepočítaný počet zamestnancov</w:t>
            </w:r>
          </w:p>
        </w:tc>
        <w:tc>
          <w:tcPr>
            <w:tcW w:w="2308" w:type="dxa"/>
            <w:tcBorders>
              <w:top w:val="single" w:sz="12" w:space="0" w:color="000000"/>
              <w:left w:val="single" w:sz="12" w:space="0" w:color="000000"/>
              <w:bottom w:val="single" w:sz="4" w:space="0" w:color="000000"/>
            </w:tcBorders>
            <w:shd w:val="clear" w:color="auto" w:fill="auto"/>
          </w:tcPr>
          <w:p w14:paraId="1FAE4C57" w14:textId="77777777" w:rsidR="00BC058E" w:rsidRDefault="00BC058E">
            <w:pPr>
              <w:snapToGrid w:val="0"/>
              <w:jc w:val="center"/>
            </w:pPr>
          </w:p>
        </w:tc>
        <w:tc>
          <w:tcPr>
            <w:tcW w:w="2459" w:type="dxa"/>
            <w:tcBorders>
              <w:top w:val="single" w:sz="12" w:space="0" w:color="000000"/>
              <w:left w:val="single" w:sz="12" w:space="0" w:color="000000"/>
              <w:bottom w:val="single" w:sz="4" w:space="0" w:color="000000"/>
              <w:right w:val="single" w:sz="12" w:space="0" w:color="000000"/>
            </w:tcBorders>
            <w:shd w:val="clear" w:color="auto" w:fill="auto"/>
          </w:tcPr>
          <w:p w14:paraId="7CB35CC0" w14:textId="77777777" w:rsidR="00BC058E" w:rsidRDefault="00BC058E">
            <w:pPr>
              <w:snapToGrid w:val="0"/>
              <w:jc w:val="center"/>
            </w:pPr>
          </w:p>
        </w:tc>
      </w:tr>
      <w:tr w:rsidR="00BC058E" w14:paraId="44F5F824" w14:textId="77777777">
        <w:trPr>
          <w:trHeight w:val="285"/>
        </w:trPr>
        <w:tc>
          <w:tcPr>
            <w:tcW w:w="3577" w:type="dxa"/>
            <w:tcBorders>
              <w:top w:val="single" w:sz="4" w:space="0" w:color="000000"/>
              <w:left w:val="single" w:sz="12" w:space="0" w:color="000000"/>
              <w:bottom w:val="single" w:sz="4" w:space="0" w:color="000000"/>
            </w:tcBorders>
            <w:shd w:val="clear" w:color="auto" w:fill="auto"/>
            <w:vAlign w:val="center"/>
          </w:tcPr>
          <w:p w14:paraId="228F4415" w14:textId="77777777" w:rsidR="00BC058E" w:rsidRDefault="00BC058E">
            <w:r>
              <w:t>Stav zamestnancov ku dňu, ku ktorému sa zostavuje účtovná závierka, z toho:</w:t>
            </w:r>
          </w:p>
        </w:tc>
        <w:tc>
          <w:tcPr>
            <w:tcW w:w="2308" w:type="dxa"/>
            <w:tcBorders>
              <w:top w:val="single" w:sz="4" w:space="0" w:color="000000"/>
              <w:left w:val="single" w:sz="12" w:space="0" w:color="000000"/>
              <w:bottom w:val="single" w:sz="4" w:space="0" w:color="000000"/>
            </w:tcBorders>
            <w:shd w:val="clear" w:color="auto" w:fill="auto"/>
          </w:tcPr>
          <w:p w14:paraId="6D339AD0" w14:textId="77777777" w:rsidR="00BC058E" w:rsidRDefault="00BC058E">
            <w:pPr>
              <w:snapToGrid w:val="0"/>
              <w:jc w:val="center"/>
            </w:pPr>
          </w:p>
        </w:tc>
        <w:tc>
          <w:tcPr>
            <w:tcW w:w="2459" w:type="dxa"/>
            <w:tcBorders>
              <w:top w:val="single" w:sz="4" w:space="0" w:color="000000"/>
              <w:left w:val="single" w:sz="12" w:space="0" w:color="000000"/>
              <w:bottom w:val="single" w:sz="4" w:space="0" w:color="000000"/>
              <w:right w:val="single" w:sz="12" w:space="0" w:color="000000"/>
            </w:tcBorders>
            <w:shd w:val="clear" w:color="auto" w:fill="auto"/>
          </w:tcPr>
          <w:p w14:paraId="6FC71ED0" w14:textId="77777777" w:rsidR="00BC058E" w:rsidRDefault="00BC058E">
            <w:pPr>
              <w:snapToGrid w:val="0"/>
              <w:jc w:val="center"/>
            </w:pPr>
          </w:p>
        </w:tc>
      </w:tr>
      <w:tr w:rsidR="00BC058E" w14:paraId="114B43B9" w14:textId="77777777">
        <w:trPr>
          <w:trHeight w:val="407"/>
        </w:trPr>
        <w:tc>
          <w:tcPr>
            <w:tcW w:w="3577" w:type="dxa"/>
            <w:tcBorders>
              <w:top w:val="single" w:sz="4" w:space="0" w:color="000000"/>
              <w:left w:val="single" w:sz="12" w:space="0" w:color="000000"/>
              <w:bottom w:val="single" w:sz="12" w:space="0" w:color="000000"/>
            </w:tcBorders>
            <w:shd w:val="clear" w:color="auto" w:fill="auto"/>
            <w:vAlign w:val="center"/>
          </w:tcPr>
          <w:p w14:paraId="2B3D4A2E" w14:textId="77777777" w:rsidR="00BC058E" w:rsidRDefault="00BC058E">
            <w:r>
              <w:t>Počet vedúcich zamestnancov</w:t>
            </w:r>
          </w:p>
        </w:tc>
        <w:tc>
          <w:tcPr>
            <w:tcW w:w="2308" w:type="dxa"/>
            <w:tcBorders>
              <w:top w:val="single" w:sz="4" w:space="0" w:color="000000"/>
              <w:left w:val="single" w:sz="12" w:space="0" w:color="000000"/>
              <w:bottom w:val="single" w:sz="12" w:space="0" w:color="000000"/>
            </w:tcBorders>
            <w:shd w:val="clear" w:color="auto" w:fill="auto"/>
          </w:tcPr>
          <w:p w14:paraId="69539D07" w14:textId="77777777" w:rsidR="00BC058E" w:rsidRDefault="00BC058E">
            <w:pPr>
              <w:snapToGrid w:val="0"/>
              <w:jc w:val="center"/>
              <w:rPr>
                <w:highlight w:val="green"/>
              </w:rPr>
            </w:pPr>
          </w:p>
        </w:tc>
        <w:tc>
          <w:tcPr>
            <w:tcW w:w="2459" w:type="dxa"/>
            <w:tcBorders>
              <w:top w:val="single" w:sz="4" w:space="0" w:color="000000"/>
              <w:left w:val="single" w:sz="12" w:space="0" w:color="000000"/>
              <w:bottom w:val="single" w:sz="12" w:space="0" w:color="000000"/>
              <w:right w:val="single" w:sz="12" w:space="0" w:color="000000"/>
            </w:tcBorders>
            <w:shd w:val="clear" w:color="auto" w:fill="auto"/>
          </w:tcPr>
          <w:p w14:paraId="47BBF8F9" w14:textId="77777777" w:rsidR="00BC058E" w:rsidRDefault="00BC058E">
            <w:pPr>
              <w:snapToGrid w:val="0"/>
              <w:jc w:val="center"/>
              <w:rPr>
                <w:highlight w:val="green"/>
              </w:rPr>
            </w:pPr>
          </w:p>
        </w:tc>
      </w:tr>
    </w:tbl>
    <w:p w14:paraId="0F71CCD4" w14:textId="77777777" w:rsidR="00BC058E" w:rsidRDefault="00BC058E">
      <w:pPr>
        <w:pStyle w:val="Zkladntext"/>
        <w:tabs>
          <w:tab w:val="left" w:pos="567"/>
        </w:tabs>
        <w:ind w:left="0"/>
        <w:rPr>
          <w:sz w:val="20"/>
        </w:rPr>
      </w:pPr>
    </w:p>
    <w:p w14:paraId="6BBEDAEF" w14:textId="77777777" w:rsidR="00BC058E" w:rsidRDefault="00BC058E">
      <w:pPr>
        <w:pStyle w:val="Nadpis2"/>
        <w:numPr>
          <w:ilvl w:val="0"/>
          <w:numId w:val="3"/>
        </w:numPr>
        <w:tabs>
          <w:tab w:val="left" w:pos="567"/>
        </w:tabs>
        <w:ind w:left="567" w:hanging="283"/>
      </w:pPr>
      <w:r>
        <w:rPr>
          <w:sz w:val="20"/>
        </w:rPr>
        <w:t>Informácie o neobmedzenom ručení</w:t>
      </w:r>
    </w:p>
    <w:p w14:paraId="13E1FEC2" w14:textId="77777777" w:rsidR="00BC058E" w:rsidRDefault="00BC058E">
      <w:pPr>
        <w:tabs>
          <w:tab w:val="left" w:pos="567"/>
        </w:tabs>
        <w:ind w:left="567"/>
        <w:jc w:val="both"/>
      </w:pPr>
      <w:r>
        <w:t>Účtovná jednotka nie je neobmedzene ručiacim spoločníkom v iných účtovných jednotkách podľa § 56 ods. 5 Obchodného zákonníka.</w:t>
      </w:r>
    </w:p>
    <w:p w14:paraId="5FF71CBC" w14:textId="77777777" w:rsidR="00BC058E" w:rsidRDefault="00BC058E">
      <w:pPr>
        <w:pStyle w:val="Zkladntext"/>
        <w:tabs>
          <w:tab w:val="left" w:pos="567"/>
        </w:tabs>
        <w:ind w:left="567" w:hanging="283"/>
        <w:rPr>
          <w:sz w:val="20"/>
        </w:rPr>
      </w:pPr>
    </w:p>
    <w:p w14:paraId="26164458" w14:textId="77777777" w:rsidR="00BC058E" w:rsidRDefault="00BC058E">
      <w:pPr>
        <w:pStyle w:val="Nadpis2"/>
        <w:numPr>
          <w:ilvl w:val="0"/>
          <w:numId w:val="3"/>
        </w:numPr>
        <w:tabs>
          <w:tab w:val="left" w:pos="567"/>
        </w:tabs>
        <w:ind w:left="567" w:hanging="283"/>
      </w:pPr>
      <w:r>
        <w:rPr>
          <w:sz w:val="20"/>
        </w:rPr>
        <w:t>Právny dôvod na zostavenie účtovnej závierky</w:t>
      </w:r>
    </w:p>
    <w:p w14:paraId="3F48BAF6" w14:textId="42F56486" w:rsidR="00BC058E" w:rsidRDefault="00BC058E">
      <w:pPr>
        <w:pStyle w:val="Zkladntext"/>
        <w:tabs>
          <w:tab w:val="left" w:pos="567"/>
        </w:tabs>
        <w:ind w:left="567" w:hanging="283"/>
      </w:pPr>
      <w:r>
        <w:rPr>
          <w:sz w:val="20"/>
        </w:rPr>
        <w:tab/>
        <w:t>Účtovná závierka účtovnej jednotky je zostavená ako riadna účtovná závierka k 31.12.202</w:t>
      </w:r>
      <w:r w:rsidR="001C2CB6">
        <w:rPr>
          <w:sz w:val="20"/>
        </w:rPr>
        <w:t>4</w:t>
      </w:r>
      <w:r>
        <w:rPr>
          <w:sz w:val="20"/>
        </w:rPr>
        <w:t xml:space="preserve"> podľa § 17 ods. 6 zákona č. 431/2002 Z. z. o účtovníctve v zn. n. p. Účtovným obdobím účtovnej jednotky je kalendárny rok od</w:t>
      </w:r>
      <w:r w:rsidR="00E261EB">
        <w:rPr>
          <w:sz w:val="20"/>
        </w:rPr>
        <w:t xml:space="preserve"> 0</w:t>
      </w:r>
      <w:r w:rsidR="00330F01">
        <w:rPr>
          <w:sz w:val="20"/>
        </w:rPr>
        <w:t>1</w:t>
      </w:r>
      <w:r>
        <w:rPr>
          <w:sz w:val="20"/>
        </w:rPr>
        <w:t>.</w:t>
      </w:r>
      <w:r w:rsidR="00E261EB">
        <w:rPr>
          <w:sz w:val="20"/>
        </w:rPr>
        <w:t>0</w:t>
      </w:r>
      <w:r w:rsidR="00330F01">
        <w:rPr>
          <w:sz w:val="20"/>
        </w:rPr>
        <w:t>1</w:t>
      </w:r>
      <w:r>
        <w:rPr>
          <w:sz w:val="20"/>
        </w:rPr>
        <w:t>.202</w:t>
      </w:r>
      <w:r w:rsidR="001C2CB6">
        <w:rPr>
          <w:sz w:val="20"/>
        </w:rPr>
        <w:t>4</w:t>
      </w:r>
      <w:r>
        <w:rPr>
          <w:sz w:val="20"/>
        </w:rPr>
        <w:t xml:space="preserve"> do 31.12.202</w:t>
      </w:r>
      <w:r w:rsidR="001C2CB6">
        <w:rPr>
          <w:sz w:val="20"/>
        </w:rPr>
        <w:t>4</w:t>
      </w:r>
      <w:r>
        <w:rPr>
          <w:sz w:val="20"/>
        </w:rPr>
        <w:t xml:space="preserve">. </w:t>
      </w:r>
    </w:p>
    <w:p w14:paraId="643944C9" w14:textId="77777777" w:rsidR="00BC058E" w:rsidRDefault="00BC058E">
      <w:pPr>
        <w:pStyle w:val="Zkladntext"/>
        <w:tabs>
          <w:tab w:val="left" w:pos="567"/>
        </w:tabs>
        <w:ind w:left="567" w:hanging="283"/>
        <w:rPr>
          <w:sz w:val="20"/>
        </w:rPr>
      </w:pPr>
    </w:p>
    <w:p w14:paraId="0410AF8F" w14:textId="77777777" w:rsidR="00BC058E" w:rsidRDefault="00BC058E">
      <w:pPr>
        <w:pStyle w:val="Nadpis2"/>
        <w:numPr>
          <w:ilvl w:val="0"/>
          <w:numId w:val="3"/>
        </w:numPr>
        <w:tabs>
          <w:tab w:val="left" w:pos="567"/>
        </w:tabs>
        <w:ind w:left="567" w:hanging="283"/>
      </w:pPr>
      <w:r>
        <w:rPr>
          <w:sz w:val="20"/>
        </w:rPr>
        <w:t>Dátum schválenia účtovnej závierky za predchádzajúce účtovné obdobie</w:t>
      </w:r>
    </w:p>
    <w:p w14:paraId="0F2BC0F1" w14:textId="480B7F8F" w:rsidR="00E261EB" w:rsidRDefault="00E261EB" w:rsidP="00E261EB">
      <w:pPr>
        <w:pStyle w:val="Zkladntext"/>
        <w:tabs>
          <w:tab w:val="left" w:pos="567"/>
        </w:tabs>
        <w:ind w:left="567"/>
        <w:rPr>
          <w:sz w:val="20"/>
        </w:rPr>
      </w:pPr>
      <w:r>
        <w:rPr>
          <w:sz w:val="20"/>
        </w:rPr>
        <w:t xml:space="preserve">Účtovná jednotka </w:t>
      </w:r>
      <w:r w:rsidR="00330F01">
        <w:rPr>
          <w:sz w:val="20"/>
        </w:rPr>
        <w:t>schválila</w:t>
      </w:r>
      <w:r>
        <w:rPr>
          <w:sz w:val="20"/>
        </w:rPr>
        <w:t xml:space="preserve"> účtovnú závierku za predchádzajúce účtovné obdobie</w:t>
      </w:r>
      <w:r w:rsidR="00330F01">
        <w:rPr>
          <w:sz w:val="20"/>
        </w:rPr>
        <w:t xml:space="preserve"> dňa 28.03.202</w:t>
      </w:r>
      <w:r w:rsidR="00FD04BC">
        <w:rPr>
          <w:sz w:val="20"/>
        </w:rPr>
        <w:t>5</w:t>
      </w:r>
      <w:r w:rsidR="00330F01">
        <w:rPr>
          <w:sz w:val="20"/>
        </w:rPr>
        <w:t>.</w:t>
      </w:r>
    </w:p>
    <w:p w14:paraId="3F9C3B97" w14:textId="77777777" w:rsidR="00BC058E" w:rsidRDefault="00BC058E">
      <w:pPr>
        <w:pStyle w:val="Nadpis1"/>
        <w:pageBreakBefore/>
      </w:pPr>
      <w:r>
        <w:rPr>
          <w:sz w:val="20"/>
        </w:rPr>
        <w:lastRenderedPageBreak/>
        <w:t>Informácie o konsolidovanom celku</w:t>
      </w:r>
    </w:p>
    <w:p w14:paraId="67A6F54E" w14:textId="77777777" w:rsidR="00BC058E" w:rsidRDefault="00BC058E">
      <w:pPr>
        <w:ind w:left="538" w:hanging="181"/>
      </w:pPr>
      <w:r>
        <w:t xml:space="preserve">  Účtovná jednotka nie je súčasťou konsolidovaného celku.</w:t>
      </w:r>
    </w:p>
    <w:p w14:paraId="0B1DAF4B" w14:textId="77777777" w:rsidR="00BC058E" w:rsidRDefault="00BC058E">
      <w:pPr>
        <w:pStyle w:val="Zkladntext"/>
        <w:rPr>
          <w:sz w:val="20"/>
        </w:rPr>
      </w:pPr>
    </w:p>
    <w:p w14:paraId="37ED6B82" w14:textId="77777777" w:rsidR="00BC058E" w:rsidRDefault="00BC058E">
      <w:pPr>
        <w:pStyle w:val="Nadpis1"/>
      </w:pPr>
      <w:r>
        <w:rPr>
          <w:sz w:val="20"/>
        </w:rPr>
        <w:t xml:space="preserve">Informácie o účtovných zásadách a účtovných metódach  </w:t>
      </w:r>
    </w:p>
    <w:p w14:paraId="2A421D37" w14:textId="77777777" w:rsidR="00BC058E" w:rsidRDefault="00BC058E">
      <w:pPr>
        <w:pStyle w:val="Pismenka"/>
        <w:numPr>
          <w:ilvl w:val="0"/>
          <w:numId w:val="0"/>
        </w:numPr>
        <w:rPr>
          <w:b w:val="0"/>
          <w:sz w:val="20"/>
        </w:rPr>
      </w:pPr>
    </w:p>
    <w:p w14:paraId="4567894B" w14:textId="77777777" w:rsidR="00BC058E" w:rsidRDefault="00BC058E">
      <w:pPr>
        <w:pStyle w:val="Nadpis2"/>
        <w:numPr>
          <w:ilvl w:val="0"/>
          <w:numId w:val="5"/>
        </w:numPr>
      </w:pPr>
      <w:r>
        <w:rPr>
          <w:sz w:val="20"/>
        </w:rPr>
        <w:t>Nepretržité pokračovanie v činnosti účtovnej jednotky</w:t>
      </w:r>
    </w:p>
    <w:p w14:paraId="300AD292" w14:textId="299C751A" w:rsidR="00BC058E" w:rsidRDefault="00BC058E">
      <w:pPr>
        <w:pStyle w:val="Zkladntext"/>
        <w:ind w:left="720"/>
      </w:pPr>
      <w:r>
        <w:rPr>
          <w:sz w:val="20"/>
        </w:rPr>
        <w:t>Účtovná závierka bola zostavená za predpokladu, že účtovná jednotka bude nepretržite pokračovať vo svojej činnosti v roku 202</w:t>
      </w:r>
      <w:r w:rsidR="001C2CB6">
        <w:rPr>
          <w:sz w:val="20"/>
        </w:rPr>
        <w:t>5</w:t>
      </w:r>
      <w:r>
        <w:rPr>
          <w:sz w:val="20"/>
        </w:rPr>
        <w:t xml:space="preserve">. </w:t>
      </w:r>
    </w:p>
    <w:p w14:paraId="2A3CFA17" w14:textId="77777777" w:rsidR="00BC058E" w:rsidRDefault="00BC058E">
      <w:pPr>
        <w:pStyle w:val="Zkladntext"/>
        <w:ind w:left="720"/>
        <w:rPr>
          <w:sz w:val="20"/>
        </w:rPr>
      </w:pPr>
    </w:p>
    <w:p w14:paraId="0053100A" w14:textId="77777777" w:rsidR="00BC058E" w:rsidRDefault="00BC058E">
      <w:pPr>
        <w:pStyle w:val="Nadpis2"/>
        <w:numPr>
          <w:ilvl w:val="0"/>
          <w:numId w:val="5"/>
        </w:numPr>
      </w:pPr>
      <w:r>
        <w:rPr>
          <w:sz w:val="20"/>
        </w:rPr>
        <w:t>Zmena účtovných zásad a účtovných metód</w:t>
      </w:r>
    </w:p>
    <w:p w14:paraId="0D9AEE48" w14:textId="77777777" w:rsidR="00BC058E" w:rsidRDefault="00BC058E">
      <w:pPr>
        <w:pStyle w:val="Zkladntext"/>
        <w:ind w:left="720"/>
      </w:pPr>
      <w:r>
        <w:rPr>
          <w:sz w:val="20"/>
        </w:rPr>
        <w:t>Účtovné zásady a účtovné metódy počas účtovného obdobia neboli zmenené a boli účtovnou jednotkou konzistentne aplikované.</w:t>
      </w:r>
    </w:p>
    <w:p w14:paraId="0BB3FECD" w14:textId="77777777" w:rsidR="00BC058E" w:rsidRDefault="00BC058E">
      <w:pPr>
        <w:pStyle w:val="Zkladntext"/>
        <w:ind w:left="720"/>
        <w:rPr>
          <w:sz w:val="20"/>
        </w:rPr>
      </w:pPr>
    </w:p>
    <w:p w14:paraId="1342BAA0" w14:textId="77777777" w:rsidR="00BC058E" w:rsidRDefault="00BC058E">
      <w:pPr>
        <w:pStyle w:val="Nadpis2"/>
        <w:numPr>
          <w:ilvl w:val="0"/>
          <w:numId w:val="5"/>
        </w:numPr>
      </w:pPr>
      <w:r>
        <w:rPr>
          <w:sz w:val="20"/>
        </w:rPr>
        <w:t>Spôsoby oceňovania jednotlivých zložiek majetku a záväzkov</w:t>
      </w:r>
    </w:p>
    <w:p w14:paraId="01FE41FC" w14:textId="77777777" w:rsidR="00BC058E" w:rsidRDefault="00BC058E"/>
    <w:p w14:paraId="12360C84" w14:textId="77777777" w:rsidR="00BC058E" w:rsidRDefault="00BC058E">
      <w:pPr>
        <w:numPr>
          <w:ilvl w:val="1"/>
          <w:numId w:val="5"/>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14:paraId="3E8AD0D2" w14:textId="77777777" w:rsidR="00BC058E" w:rsidRDefault="00BC058E">
      <w:pPr>
        <w:jc w:val="both"/>
      </w:pPr>
    </w:p>
    <w:p w14:paraId="6E79D30C" w14:textId="77777777" w:rsidR="00BC058E" w:rsidRDefault="00BC058E">
      <w:pPr>
        <w:numPr>
          <w:ilvl w:val="1"/>
          <w:numId w:val="5"/>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14:paraId="52A25FB4" w14:textId="77777777" w:rsidR="00BC058E" w:rsidRDefault="00BC058E">
      <w:pPr>
        <w:jc w:val="both"/>
      </w:pPr>
    </w:p>
    <w:p w14:paraId="3A3E6F68" w14:textId="77777777" w:rsidR="00BC058E" w:rsidRDefault="00BC058E">
      <w:pPr>
        <w:numPr>
          <w:ilvl w:val="1"/>
          <w:numId w:val="5"/>
        </w:numPr>
        <w:tabs>
          <w:tab w:val="left" w:pos="1080"/>
        </w:tabs>
        <w:ind w:left="1080"/>
        <w:jc w:val="both"/>
      </w:pPr>
      <w:r>
        <w:rPr>
          <w:b/>
        </w:rPr>
        <w:t xml:space="preserve">Dlhodobý nehmotný majetok obstaraný iným spôsobom </w:t>
      </w:r>
      <w:r>
        <w:t>– nebol.</w:t>
      </w:r>
    </w:p>
    <w:p w14:paraId="0844BBA8" w14:textId="77777777" w:rsidR="00BC058E" w:rsidRDefault="00BC058E">
      <w:pPr>
        <w:tabs>
          <w:tab w:val="left" w:pos="1080"/>
        </w:tabs>
        <w:jc w:val="both"/>
      </w:pPr>
    </w:p>
    <w:p w14:paraId="4FDFCB76" w14:textId="77777777" w:rsidR="00BC058E" w:rsidRDefault="00BC058E">
      <w:pPr>
        <w:numPr>
          <w:ilvl w:val="1"/>
          <w:numId w:val="5"/>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14:paraId="578D46E2" w14:textId="77777777" w:rsidR="00BC058E" w:rsidRDefault="00BC058E">
      <w:pPr>
        <w:tabs>
          <w:tab w:val="left" w:pos="1080"/>
        </w:tabs>
        <w:jc w:val="both"/>
      </w:pPr>
    </w:p>
    <w:p w14:paraId="61E51DD9" w14:textId="77777777" w:rsidR="00BC058E" w:rsidRDefault="00BC058E">
      <w:pPr>
        <w:numPr>
          <w:ilvl w:val="1"/>
          <w:numId w:val="5"/>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14:paraId="2DB6EE31" w14:textId="77777777" w:rsidR="00BC058E" w:rsidRDefault="00BC058E">
      <w:pPr>
        <w:tabs>
          <w:tab w:val="left" w:pos="1080"/>
        </w:tabs>
        <w:jc w:val="both"/>
      </w:pPr>
    </w:p>
    <w:p w14:paraId="5DDC97E7" w14:textId="77777777" w:rsidR="00BC058E" w:rsidRDefault="00BC058E">
      <w:pPr>
        <w:numPr>
          <w:ilvl w:val="1"/>
          <w:numId w:val="5"/>
        </w:numPr>
        <w:tabs>
          <w:tab w:val="left" w:pos="1080"/>
        </w:tabs>
        <w:ind w:left="1080"/>
        <w:jc w:val="both"/>
      </w:pPr>
      <w:r>
        <w:rPr>
          <w:b/>
        </w:rPr>
        <w:t xml:space="preserve">Dlhodobý hmotný majetok obstaraný iným spôsobom </w:t>
      </w:r>
      <w:r>
        <w:t>– nebol.</w:t>
      </w:r>
    </w:p>
    <w:p w14:paraId="72BC6B68" w14:textId="77777777" w:rsidR="00BC058E" w:rsidRDefault="00BC058E">
      <w:pPr>
        <w:tabs>
          <w:tab w:val="left" w:pos="1080"/>
        </w:tabs>
        <w:jc w:val="both"/>
      </w:pPr>
    </w:p>
    <w:p w14:paraId="4171639A" w14:textId="77777777" w:rsidR="00BC058E" w:rsidRDefault="00BC058E">
      <w:pPr>
        <w:numPr>
          <w:ilvl w:val="1"/>
          <w:numId w:val="5"/>
        </w:numPr>
        <w:tabs>
          <w:tab w:val="left" w:pos="1080"/>
        </w:tabs>
        <w:ind w:left="1080"/>
        <w:jc w:val="both"/>
      </w:pPr>
      <w:r>
        <w:rPr>
          <w:b/>
        </w:rPr>
        <w:t>Cenné papiere a podiely</w:t>
      </w:r>
      <w:r>
        <w:t xml:space="preserve"> – neboli. </w:t>
      </w:r>
    </w:p>
    <w:p w14:paraId="3606D74C" w14:textId="77777777" w:rsidR="00BC058E" w:rsidRDefault="00BC058E">
      <w:pPr>
        <w:pStyle w:val="Odstavecseseznamem"/>
      </w:pPr>
    </w:p>
    <w:p w14:paraId="6D9B1F5E" w14:textId="77777777" w:rsidR="00BC058E" w:rsidRDefault="00BC058E">
      <w:pPr>
        <w:numPr>
          <w:ilvl w:val="1"/>
          <w:numId w:val="5"/>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14:paraId="730F5706" w14:textId="77777777" w:rsidR="00BC058E" w:rsidRDefault="00BC058E">
      <w:pPr>
        <w:tabs>
          <w:tab w:val="left" w:pos="1080"/>
        </w:tabs>
        <w:ind w:left="720"/>
        <w:jc w:val="both"/>
      </w:pPr>
    </w:p>
    <w:p w14:paraId="2E8A8761" w14:textId="77777777" w:rsidR="00BC058E" w:rsidRDefault="00BC058E">
      <w:pPr>
        <w:numPr>
          <w:ilvl w:val="1"/>
          <w:numId w:val="5"/>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14:paraId="13785401" w14:textId="77777777" w:rsidR="00BC058E" w:rsidRDefault="00BC058E">
      <w:pPr>
        <w:tabs>
          <w:tab w:val="left" w:pos="1080"/>
        </w:tabs>
        <w:jc w:val="both"/>
      </w:pPr>
    </w:p>
    <w:p w14:paraId="0A3B73F2" w14:textId="77777777" w:rsidR="00BC058E" w:rsidRDefault="00BC058E">
      <w:pPr>
        <w:numPr>
          <w:ilvl w:val="1"/>
          <w:numId w:val="5"/>
        </w:numPr>
        <w:tabs>
          <w:tab w:val="left" w:pos="1080"/>
        </w:tabs>
        <w:ind w:left="1080"/>
        <w:jc w:val="both"/>
      </w:pPr>
      <w:r>
        <w:rPr>
          <w:b/>
        </w:rPr>
        <w:t>Zásoby obstarané iným spôsobom</w:t>
      </w:r>
      <w:r>
        <w:t xml:space="preserve"> – neboli. </w:t>
      </w:r>
    </w:p>
    <w:p w14:paraId="25DBCCA1" w14:textId="77777777" w:rsidR="00BC058E" w:rsidRDefault="00BC058E">
      <w:pPr>
        <w:tabs>
          <w:tab w:val="left" w:pos="1080"/>
        </w:tabs>
        <w:ind w:left="1080" w:hanging="360"/>
        <w:jc w:val="both"/>
      </w:pPr>
    </w:p>
    <w:p w14:paraId="7C45FB6D" w14:textId="77777777" w:rsidR="00BC058E" w:rsidRDefault="00BC058E">
      <w:pPr>
        <w:numPr>
          <w:ilvl w:val="1"/>
          <w:numId w:val="5"/>
        </w:numPr>
        <w:tabs>
          <w:tab w:val="left" w:pos="1080"/>
        </w:tabs>
        <w:ind w:left="1080"/>
        <w:jc w:val="both"/>
      </w:pPr>
      <w:r>
        <w:rPr>
          <w:b/>
        </w:rPr>
        <w:t>Zákazková výroba a zákazková výstavba určená na predaj</w:t>
      </w:r>
      <w:r>
        <w:t xml:space="preserve"> – nebola. </w:t>
      </w:r>
    </w:p>
    <w:p w14:paraId="23CB749E" w14:textId="77777777" w:rsidR="00BC058E" w:rsidRDefault="00BC058E">
      <w:pPr>
        <w:pStyle w:val="Zkladntext"/>
        <w:ind w:left="1080"/>
        <w:rPr>
          <w:i/>
          <w:sz w:val="20"/>
        </w:rPr>
      </w:pPr>
    </w:p>
    <w:p w14:paraId="4F459A27" w14:textId="77777777" w:rsidR="00BC058E" w:rsidRDefault="00BC058E">
      <w:pPr>
        <w:numPr>
          <w:ilvl w:val="1"/>
          <w:numId w:val="5"/>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C37B252" w14:textId="77777777" w:rsidR="00BC058E" w:rsidRDefault="00BC058E">
      <w:pPr>
        <w:tabs>
          <w:tab w:val="left" w:pos="1080"/>
        </w:tabs>
        <w:jc w:val="both"/>
        <w:rPr>
          <w:b/>
        </w:rPr>
      </w:pPr>
    </w:p>
    <w:p w14:paraId="3FC0B9B3" w14:textId="77777777" w:rsidR="00BC058E" w:rsidRDefault="00BC058E">
      <w:pPr>
        <w:numPr>
          <w:ilvl w:val="1"/>
          <w:numId w:val="5"/>
        </w:numPr>
        <w:tabs>
          <w:tab w:val="left" w:pos="1080"/>
        </w:tabs>
        <w:ind w:left="1080"/>
        <w:jc w:val="both"/>
      </w:pPr>
      <w:r>
        <w:rPr>
          <w:b/>
        </w:rPr>
        <w:lastRenderedPageBreak/>
        <w:t xml:space="preserve">Peňažné prostriedky a ceniny </w:t>
      </w:r>
      <w:r>
        <w:t>sa oceňujú ich menovitou hodnotou. Zníženie ich hodnoty sa vyjadruje opravnou položkou</w:t>
      </w:r>
    </w:p>
    <w:p w14:paraId="5FA0CD8F" w14:textId="77777777" w:rsidR="00BC058E" w:rsidRDefault="00BC058E">
      <w:pPr>
        <w:tabs>
          <w:tab w:val="left" w:pos="1080"/>
        </w:tabs>
        <w:jc w:val="both"/>
        <w:rPr>
          <w:b/>
        </w:rPr>
      </w:pPr>
    </w:p>
    <w:p w14:paraId="36FAD65E" w14:textId="77777777" w:rsidR="00BC058E" w:rsidRDefault="00BC058E">
      <w:pPr>
        <w:numPr>
          <w:ilvl w:val="1"/>
          <w:numId w:val="5"/>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14:paraId="4FFEB1CF" w14:textId="77777777" w:rsidR="00BC058E" w:rsidRDefault="00BC058E">
      <w:pPr>
        <w:tabs>
          <w:tab w:val="left" w:pos="1080"/>
        </w:tabs>
        <w:jc w:val="both"/>
        <w:rPr>
          <w:b/>
        </w:rPr>
      </w:pPr>
    </w:p>
    <w:p w14:paraId="78F82DFC" w14:textId="77777777" w:rsidR="00BC058E" w:rsidRDefault="00BC058E">
      <w:pPr>
        <w:numPr>
          <w:ilvl w:val="1"/>
          <w:numId w:val="5"/>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40909F1" w14:textId="77777777" w:rsidR="00BC058E" w:rsidRDefault="00BC058E">
      <w:pPr>
        <w:tabs>
          <w:tab w:val="left" w:pos="1080"/>
        </w:tabs>
        <w:jc w:val="both"/>
        <w:rPr>
          <w:b/>
        </w:rPr>
      </w:pPr>
    </w:p>
    <w:p w14:paraId="49CF43E2" w14:textId="77777777" w:rsidR="00BC058E" w:rsidRDefault="00BC058E">
      <w:pPr>
        <w:numPr>
          <w:ilvl w:val="1"/>
          <w:numId w:val="5"/>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14:paraId="2F6C0D12" w14:textId="77777777" w:rsidR="00BC058E" w:rsidRDefault="00BC058E">
      <w:pPr>
        <w:tabs>
          <w:tab w:val="left" w:pos="1080"/>
        </w:tabs>
        <w:ind w:left="1080" w:hanging="360"/>
        <w:jc w:val="both"/>
      </w:pPr>
    </w:p>
    <w:p w14:paraId="5F3E2874" w14:textId="77777777" w:rsidR="00BC058E" w:rsidRDefault="00BC058E">
      <w:pPr>
        <w:numPr>
          <w:ilvl w:val="1"/>
          <w:numId w:val="5"/>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14:paraId="6EA2DDD4" w14:textId="77777777" w:rsidR="00BC058E" w:rsidRDefault="00BC058E">
      <w:pPr>
        <w:tabs>
          <w:tab w:val="left" w:pos="1080"/>
        </w:tabs>
        <w:jc w:val="both"/>
        <w:rPr>
          <w:b/>
        </w:rPr>
      </w:pPr>
    </w:p>
    <w:p w14:paraId="7924F93C" w14:textId="77777777" w:rsidR="00BC058E" w:rsidRDefault="00BC058E">
      <w:pPr>
        <w:numPr>
          <w:ilvl w:val="1"/>
          <w:numId w:val="5"/>
        </w:numPr>
        <w:tabs>
          <w:tab w:val="left" w:pos="1080"/>
        </w:tabs>
        <w:ind w:left="1080"/>
        <w:jc w:val="both"/>
      </w:pPr>
      <w:r>
        <w:rPr>
          <w:b/>
        </w:rPr>
        <w:t xml:space="preserve">Deriváty – </w:t>
      </w:r>
      <w:r>
        <w:t xml:space="preserve">neboli. </w:t>
      </w:r>
    </w:p>
    <w:p w14:paraId="1A7A704E" w14:textId="77777777" w:rsidR="00BC058E" w:rsidRDefault="00BC058E">
      <w:pPr>
        <w:tabs>
          <w:tab w:val="left" w:pos="1080"/>
        </w:tabs>
        <w:ind w:left="1080"/>
        <w:jc w:val="both"/>
        <w:rPr>
          <w:b/>
        </w:rPr>
      </w:pPr>
    </w:p>
    <w:p w14:paraId="66331D67" w14:textId="77777777" w:rsidR="00BC058E" w:rsidRDefault="00BC058E">
      <w:pPr>
        <w:numPr>
          <w:ilvl w:val="1"/>
          <w:numId w:val="5"/>
        </w:numPr>
        <w:tabs>
          <w:tab w:val="left" w:pos="1080"/>
        </w:tabs>
        <w:ind w:left="1080"/>
        <w:jc w:val="both"/>
      </w:pPr>
      <w:r>
        <w:rPr>
          <w:b/>
        </w:rPr>
        <w:t>Majetok a záväzky zabezpečené derivátmi</w:t>
      </w:r>
      <w:r>
        <w:t xml:space="preserve"> – neboli. </w:t>
      </w:r>
    </w:p>
    <w:p w14:paraId="51FBD3AE" w14:textId="77777777" w:rsidR="00BC058E" w:rsidRDefault="00BC058E">
      <w:pPr>
        <w:tabs>
          <w:tab w:val="left" w:pos="1080"/>
        </w:tabs>
        <w:jc w:val="both"/>
        <w:rPr>
          <w:b/>
        </w:rPr>
      </w:pPr>
    </w:p>
    <w:p w14:paraId="44F49D31" w14:textId="77777777" w:rsidR="00BC058E" w:rsidRDefault="00BC058E">
      <w:pPr>
        <w:numPr>
          <w:ilvl w:val="1"/>
          <w:numId w:val="5"/>
        </w:numPr>
        <w:tabs>
          <w:tab w:val="left" w:pos="1080"/>
        </w:tabs>
        <w:ind w:left="1080"/>
        <w:jc w:val="both"/>
      </w:pPr>
      <w:r>
        <w:rPr>
          <w:b/>
        </w:rPr>
        <w:t>Prenajatý majetok a majetok obstaraný na základe zmluvy o kúpe prenajatej veci</w:t>
      </w:r>
      <w:r>
        <w:t xml:space="preserve"> – nebol. </w:t>
      </w:r>
    </w:p>
    <w:p w14:paraId="773F389D" w14:textId="77777777" w:rsidR="00BC058E" w:rsidRDefault="00BC058E">
      <w:pPr>
        <w:tabs>
          <w:tab w:val="left" w:pos="1080"/>
        </w:tabs>
        <w:ind w:left="1080"/>
        <w:jc w:val="both"/>
        <w:rPr>
          <w:b/>
          <w:i/>
        </w:rPr>
      </w:pPr>
    </w:p>
    <w:p w14:paraId="4F6BDABE" w14:textId="77777777" w:rsidR="00BC058E" w:rsidRDefault="00BC058E">
      <w:pPr>
        <w:numPr>
          <w:ilvl w:val="1"/>
          <w:numId w:val="5"/>
        </w:numPr>
        <w:tabs>
          <w:tab w:val="left" w:pos="1080"/>
        </w:tabs>
        <w:ind w:left="1080"/>
        <w:jc w:val="both"/>
      </w:pPr>
      <w:r>
        <w:rPr>
          <w:b/>
        </w:rPr>
        <w:t>Majetok obstaraný v privatizácii</w:t>
      </w:r>
      <w:r>
        <w:t xml:space="preserve"> – nebol. </w:t>
      </w:r>
    </w:p>
    <w:p w14:paraId="77B380AA" w14:textId="77777777" w:rsidR="00BC058E" w:rsidRDefault="00BC058E">
      <w:pPr>
        <w:tabs>
          <w:tab w:val="left" w:pos="1080"/>
        </w:tabs>
        <w:ind w:left="720"/>
        <w:jc w:val="both"/>
        <w:rPr>
          <w:b/>
        </w:rPr>
      </w:pPr>
    </w:p>
    <w:p w14:paraId="3C5BEB33" w14:textId="00BE13ED" w:rsidR="00BC058E" w:rsidRDefault="00BC058E">
      <w:pPr>
        <w:numPr>
          <w:ilvl w:val="1"/>
          <w:numId w:val="5"/>
        </w:numPr>
        <w:tabs>
          <w:tab w:val="left" w:pos="1080"/>
        </w:tabs>
        <w:ind w:left="1080"/>
        <w:jc w:val="both"/>
      </w:pPr>
      <w:r>
        <w:rPr>
          <w:b/>
        </w:rPr>
        <w:t xml:space="preserve">Splatná daň z príjmov </w:t>
      </w:r>
      <w:r>
        <w:t xml:space="preserve">za bežné účtovné obdobie činil </w:t>
      </w:r>
      <w:r w:rsidR="001C2CB6" w:rsidRPr="001C2CB6">
        <w:rPr>
          <w:b/>
          <w:bCs/>
        </w:rPr>
        <w:t>340,00</w:t>
      </w:r>
      <w:r>
        <w:rPr>
          <w:b/>
        </w:rPr>
        <w:t xml:space="preserve"> EUR</w:t>
      </w:r>
      <w:r>
        <w:t xml:space="preserve">, daň z príjmov z bežnej činnosti bol vo výške </w:t>
      </w:r>
      <w:r w:rsidR="001C2CB6" w:rsidRPr="001C2CB6">
        <w:rPr>
          <w:b/>
          <w:bCs/>
        </w:rPr>
        <w:t>340,00</w:t>
      </w:r>
      <w:r>
        <w:rPr>
          <w:b/>
        </w:rPr>
        <w:t xml:space="preserve"> EUR</w:t>
      </w:r>
      <w:r>
        <w:t xml:space="preserve"> a daň z príjmov z mimoriadnej činnosti činil 0</w:t>
      </w:r>
      <w:r>
        <w:rPr>
          <w:b/>
        </w:rPr>
        <w:t xml:space="preserve"> EUR</w:t>
      </w:r>
      <w:r>
        <w:t>.</w:t>
      </w:r>
    </w:p>
    <w:p w14:paraId="2D5ADDAB" w14:textId="77777777" w:rsidR="00BC058E" w:rsidRDefault="00BC058E">
      <w:pPr>
        <w:tabs>
          <w:tab w:val="left" w:pos="1080"/>
        </w:tabs>
        <w:jc w:val="both"/>
        <w:rPr>
          <w:b/>
        </w:rPr>
      </w:pPr>
    </w:p>
    <w:p w14:paraId="11F6B04E" w14:textId="77777777" w:rsidR="00BC058E" w:rsidRDefault="00BC058E">
      <w:pPr>
        <w:numPr>
          <w:ilvl w:val="1"/>
          <w:numId w:val="5"/>
        </w:numPr>
        <w:tabs>
          <w:tab w:val="left" w:pos="1080"/>
        </w:tabs>
        <w:ind w:left="1080"/>
        <w:jc w:val="both"/>
      </w:pPr>
      <w:r>
        <w:rPr>
          <w:b/>
          <w:bCs/>
        </w:rPr>
        <w:t>Opravné položky k majetku – tvorené podľa kritérií definovaných v zákone o dani z príjmov</w:t>
      </w:r>
    </w:p>
    <w:p w14:paraId="1F903F40" w14:textId="77777777" w:rsidR="00BC058E" w:rsidRDefault="00BC058E">
      <w:pPr>
        <w:jc w:val="both"/>
        <w:rPr>
          <w:b/>
        </w:rPr>
      </w:pPr>
    </w:p>
    <w:p w14:paraId="7BD737EA" w14:textId="775AB8AA" w:rsidR="00BC058E" w:rsidRDefault="00BC058E">
      <w:pPr>
        <w:pStyle w:val="Nadpis2"/>
        <w:numPr>
          <w:ilvl w:val="0"/>
          <w:numId w:val="5"/>
        </w:numPr>
      </w:pPr>
      <w:r>
        <w:rPr>
          <w:sz w:val="20"/>
        </w:rPr>
        <w:t>Odpisovanie dlhodobého majetku</w:t>
      </w:r>
      <w:r w:rsidR="00174825">
        <w:rPr>
          <w:sz w:val="20"/>
        </w:rPr>
        <w:t xml:space="preserve"> – boli uplatnené odpisy</w:t>
      </w:r>
    </w:p>
    <w:p w14:paraId="0A88F8A8" w14:textId="0D58E856" w:rsidR="00BC058E" w:rsidRDefault="00BC058E">
      <w:pPr>
        <w:pStyle w:val="Zkladntext"/>
        <w:ind w:left="720"/>
        <w:rPr>
          <w:sz w:val="20"/>
        </w:rPr>
      </w:pPr>
      <w:r>
        <w:rPr>
          <w:sz w:val="20"/>
        </w:rPr>
        <w:t xml:space="preserve">Účtovná jednotka počas účtovného obdobia si uplatnila odpisy na základe vopred stanoveného odpisového plánu, v ktorom </w:t>
      </w:r>
      <w:r w:rsidR="00D844C9">
        <w:rPr>
          <w:sz w:val="20"/>
        </w:rPr>
        <w:t>je</w:t>
      </w:r>
      <w:r>
        <w:rPr>
          <w:sz w:val="20"/>
        </w:rPr>
        <w:t xml:space="preserve"> stanovená doba odpisovania, sadzby odpisov a odpisové metódy. </w:t>
      </w:r>
    </w:p>
    <w:p w14:paraId="43B80731" w14:textId="77777777" w:rsidR="00174825" w:rsidRDefault="00174825">
      <w:pPr>
        <w:pStyle w:val="Zkladntext"/>
        <w:ind w:left="720"/>
      </w:pPr>
      <w:r>
        <w:rPr>
          <w:color w:val="000000"/>
          <w:sz w:val="20"/>
        </w:rPr>
        <w:t>Účtovné a daňové odpisy boli vypočítané z ceny, v ktorej bol majetok ocenený v účtovníctve. Účtovné odpisy sa zaokrúhlili na</w:t>
      </w:r>
      <w:r>
        <w:rPr>
          <w:b/>
          <w:bCs/>
          <w:color w:val="000000"/>
          <w:sz w:val="20"/>
        </w:rPr>
        <w:t xml:space="preserve"> </w:t>
      </w:r>
      <w:r>
        <w:rPr>
          <w:color w:val="000000"/>
          <w:sz w:val="20"/>
        </w:rPr>
        <w:t>celé EUR nahor. Účtovný a daňový odpis sa uviedol na inventárnej karte dlhodobého majetku spolu s ďalšími údajmi, ako je spôsob odpisovania, ročná odpisová sadzba a čiastka účtovných a daňových odpisov za dané účtovné obdobie.</w:t>
      </w:r>
    </w:p>
    <w:p w14:paraId="05F8CB8E" w14:textId="77777777" w:rsidR="00BC058E" w:rsidRDefault="00BC058E">
      <w:pPr>
        <w:tabs>
          <w:tab w:val="left" w:pos="2595"/>
        </w:tabs>
        <w:ind w:left="720"/>
      </w:pPr>
    </w:p>
    <w:p w14:paraId="547E0DE1" w14:textId="77777777" w:rsidR="00BC058E" w:rsidRDefault="00BC058E">
      <w:pPr>
        <w:ind w:left="720"/>
      </w:pPr>
      <w:r>
        <w:t>Tabuľka č. 3 Informácie k časti E. písm. d) o odpisovaní dlhodobého majetku</w:t>
      </w:r>
    </w:p>
    <w:tbl>
      <w:tblPr>
        <w:tblW w:w="0" w:type="auto"/>
        <w:tblInd w:w="798" w:type="dxa"/>
        <w:tblLayout w:type="fixed"/>
        <w:tblLook w:val="0000" w:firstRow="0" w:lastRow="0" w:firstColumn="0" w:lastColumn="0" w:noHBand="0" w:noVBand="0"/>
      </w:tblPr>
      <w:tblGrid>
        <w:gridCol w:w="3420"/>
        <w:gridCol w:w="1800"/>
        <w:gridCol w:w="1800"/>
        <w:gridCol w:w="1500"/>
      </w:tblGrid>
      <w:tr w:rsidR="00BC058E" w14:paraId="0C2FF8DA" w14:textId="77777777">
        <w:tc>
          <w:tcPr>
            <w:tcW w:w="3420" w:type="dxa"/>
            <w:tcBorders>
              <w:top w:val="single" w:sz="4" w:space="0" w:color="000000"/>
              <w:left w:val="single" w:sz="4" w:space="0" w:color="000000"/>
              <w:bottom w:val="single" w:sz="4" w:space="0" w:color="000000"/>
            </w:tcBorders>
            <w:shd w:val="clear" w:color="auto" w:fill="auto"/>
          </w:tcPr>
          <w:p w14:paraId="02E76328" w14:textId="77777777" w:rsidR="00BC058E" w:rsidRDefault="00BC058E">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14:paraId="01D3B706" w14:textId="77777777" w:rsidR="00BC058E" w:rsidRDefault="00BC058E">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14:paraId="32210B38" w14:textId="77777777" w:rsidR="00BC058E" w:rsidRDefault="00BC058E">
            <w:pPr>
              <w:pStyle w:val="Zkladntext"/>
              <w:ind w:left="0"/>
              <w:jc w:val="center"/>
            </w:pPr>
            <w:r>
              <w:rPr>
                <w:b/>
                <w:sz w:val="20"/>
              </w:rPr>
              <w:t>Ročná sadzba odpisov</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8B829FF" w14:textId="77777777" w:rsidR="00BC058E" w:rsidRDefault="00BC058E">
            <w:pPr>
              <w:pStyle w:val="Zkladntext"/>
              <w:ind w:left="0"/>
              <w:jc w:val="center"/>
            </w:pPr>
            <w:r>
              <w:rPr>
                <w:b/>
                <w:sz w:val="20"/>
              </w:rPr>
              <w:t>Odpisová metóda</w:t>
            </w:r>
          </w:p>
        </w:tc>
      </w:tr>
      <w:tr w:rsidR="00BC058E" w14:paraId="6AED91BD" w14:textId="77777777">
        <w:tc>
          <w:tcPr>
            <w:tcW w:w="3420" w:type="dxa"/>
            <w:tcBorders>
              <w:top w:val="single" w:sz="4" w:space="0" w:color="000000"/>
              <w:left w:val="single" w:sz="4" w:space="0" w:color="000000"/>
              <w:bottom w:val="single" w:sz="4" w:space="0" w:color="000000"/>
            </w:tcBorders>
            <w:shd w:val="clear" w:color="auto" w:fill="auto"/>
          </w:tcPr>
          <w:p w14:paraId="276A752D" w14:textId="77777777" w:rsidR="00BC058E" w:rsidRDefault="00BC058E">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14:paraId="3A1DF8BE"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2ADC701C"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65C5A8E7" w14:textId="77777777" w:rsidR="00BC058E" w:rsidRDefault="00BC058E">
            <w:pPr>
              <w:pStyle w:val="Zkladntext"/>
              <w:ind w:left="0"/>
              <w:jc w:val="center"/>
            </w:pPr>
            <w:r>
              <w:rPr>
                <w:sz w:val="20"/>
              </w:rPr>
              <w:t>lineárna</w:t>
            </w:r>
          </w:p>
        </w:tc>
      </w:tr>
      <w:tr w:rsidR="00BC058E" w14:paraId="43610DA2" w14:textId="77777777">
        <w:tc>
          <w:tcPr>
            <w:tcW w:w="3420" w:type="dxa"/>
            <w:tcBorders>
              <w:top w:val="single" w:sz="4" w:space="0" w:color="000000"/>
              <w:left w:val="single" w:sz="4" w:space="0" w:color="000000"/>
              <w:bottom w:val="single" w:sz="4" w:space="0" w:color="000000"/>
            </w:tcBorders>
            <w:shd w:val="clear" w:color="auto" w:fill="auto"/>
          </w:tcPr>
          <w:p w14:paraId="36FCE81C" w14:textId="77777777" w:rsidR="00BC058E" w:rsidRDefault="00BC058E">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shd w:val="clear" w:color="auto" w:fill="auto"/>
          </w:tcPr>
          <w:p w14:paraId="1F615C1B"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75173ACB"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737666C" w14:textId="77777777" w:rsidR="00BC058E" w:rsidRDefault="00BC058E">
            <w:pPr>
              <w:pStyle w:val="Zkladntext"/>
              <w:ind w:left="0"/>
              <w:jc w:val="center"/>
            </w:pPr>
            <w:r>
              <w:rPr>
                <w:sz w:val="20"/>
              </w:rPr>
              <w:t>lineárna</w:t>
            </w:r>
          </w:p>
        </w:tc>
      </w:tr>
      <w:tr w:rsidR="00BC058E" w14:paraId="590BC146" w14:textId="77777777">
        <w:tc>
          <w:tcPr>
            <w:tcW w:w="3420" w:type="dxa"/>
            <w:tcBorders>
              <w:top w:val="single" w:sz="4" w:space="0" w:color="000000"/>
              <w:left w:val="single" w:sz="4" w:space="0" w:color="000000"/>
              <w:bottom w:val="single" w:sz="4" w:space="0" w:color="000000"/>
            </w:tcBorders>
            <w:shd w:val="clear" w:color="auto" w:fill="auto"/>
            <w:vAlign w:val="center"/>
          </w:tcPr>
          <w:p w14:paraId="7D54D5DE" w14:textId="77777777" w:rsidR="00BC058E" w:rsidRDefault="00BC058E">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14:paraId="3A9D9392" w14:textId="77777777" w:rsidR="00BC058E" w:rsidRDefault="00BC058E">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14:paraId="4A330D7F" w14:textId="77777777" w:rsidR="00BC058E" w:rsidRDefault="00BC058E">
            <w:pPr>
              <w:pStyle w:val="Zkladntext"/>
              <w:ind w:left="0"/>
              <w:jc w:val="center"/>
            </w:pPr>
            <w:r>
              <w:rPr>
                <w:sz w:val="20"/>
              </w:rPr>
              <w:t>5 %</w:t>
            </w:r>
          </w:p>
        </w:tc>
        <w:tc>
          <w:tcPr>
            <w:tcW w:w="15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99A997" w14:textId="77777777" w:rsidR="00BC058E" w:rsidRDefault="00BC058E">
            <w:pPr>
              <w:jc w:val="center"/>
            </w:pPr>
            <w:r>
              <w:t>lineárna</w:t>
            </w:r>
          </w:p>
        </w:tc>
      </w:tr>
      <w:tr w:rsidR="00BC058E" w14:paraId="706EB43D" w14:textId="77777777">
        <w:tc>
          <w:tcPr>
            <w:tcW w:w="3420" w:type="dxa"/>
            <w:tcBorders>
              <w:top w:val="single" w:sz="4" w:space="0" w:color="000000"/>
              <w:left w:val="single" w:sz="4" w:space="0" w:color="000000"/>
              <w:bottom w:val="single" w:sz="4" w:space="0" w:color="000000"/>
            </w:tcBorders>
            <w:shd w:val="clear" w:color="auto" w:fill="auto"/>
          </w:tcPr>
          <w:p w14:paraId="330275D8" w14:textId="77777777" w:rsidR="00BC058E" w:rsidRDefault="00BC058E">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14:paraId="006FAA07" w14:textId="77777777" w:rsidR="00BC058E" w:rsidRDefault="00BC058E">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14:paraId="56DA77C1" w14:textId="77777777" w:rsidR="00BC058E" w:rsidRDefault="00BC058E">
            <w:pPr>
              <w:pStyle w:val="Zkladntext"/>
              <w:ind w:left="0"/>
              <w:jc w:val="center"/>
            </w:pPr>
            <w:r>
              <w:rPr>
                <w:sz w:val="20"/>
              </w:rPr>
              <w:t>16,67 alebo 8,33 %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630FD36" w14:textId="77777777" w:rsidR="00BC058E" w:rsidRDefault="00BC058E">
            <w:pPr>
              <w:pStyle w:val="Zkladntext"/>
              <w:ind w:left="0"/>
              <w:jc w:val="center"/>
            </w:pPr>
            <w:r>
              <w:rPr>
                <w:sz w:val="20"/>
              </w:rPr>
              <w:t>lineárna</w:t>
            </w:r>
          </w:p>
        </w:tc>
      </w:tr>
      <w:tr w:rsidR="00BC058E" w14:paraId="5136D509" w14:textId="77777777">
        <w:tc>
          <w:tcPr>
            <w:tcW w:w="3420" w:type="dxa"/>
            <w:tcBorders>
              <w:top w:val="single" w:sz="4" w:space="0" w:color="000000"/>
              <w:left w:val="single" w:sz="4" w:space="0" w:color="000000"/>
              <w:bottom w:val="single" w:sz="4" w:space="0" w:color="000000"/>
            </w:tcBorders>
            <w:shd w:val="clear" w:color="auto" w:fill="auto"/>
          </w:tcPr>
          <w:p w14:paraId="62058E21" w14:textId="77777777" w:rsidR="00BC058E" w:rsidRDefault="00BC058E">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14:paraId="0A2A7F81" w14:textId="77777777" w:rsidR="00BC058E" w:rsidRDefault="00BC058E">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14:paraId="1B6A207A" w14:textId="77777777" w:rsidR="00BC058E" w:rsidRDefault="00BC058E">
            <w:pPr>
              <w:pStyle w:val="Zkladntext"/>
              <w:ind w:left="0"/>
              <w:jc w:val="center"/>
            </w:pPr>
            <w:r>
              <w:rPr>
                <w:sz w:val="20"/>
              </w:rPr>
              <w:t>25 alebo 16,67 %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516CAD07" w14:textId="77777777" w:rsidR="00BC058E" w:rsidRDefault="00BC058E">
            <w:pPr>
              <w:pStyle w:val="Zkladntext"/>
              <w:ind w:left="0"/>
              <w:jc w:val="center"/>
            </w:pPr>
            <w:r>
              <w:rPr>
                <w:sz w:val="20"/>
              </w:rPr>
              <w:t>lineárna</w:t>
            </w:r>
          </w:p>
        </w:tc>
      </w:tr>
      <w:tr w:rsidR="00BC058E" w14:paraId="73A4A2B1" w14:textId="77777777">
        <w:tc>
          <w:tcPr>
            <w:tcW w:w="3420" w:type="dxa"/>
            <w:tcBorders>
              <w:top w:val="single" w:sz="4" w:space="0" w:color="000000"/>
              <w:left w:val="single" w:sz="4" w:space="0" w:color="000000"/>
              <w:bottom w:val="single" w:sz="4" w:space="0" w:color="000000"/>
            </w:tcBorders>
            <w:shd w:val="clear" w:color="auto" w:fill="auto"/>
          </w:tcPr>
          <w:p w14:paraId="3F979EE6" w14:textId="77777777" w:rsidR="00BC058E" w:rsidRDefault="00BC058E">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14:paraId="36B7B539" w14:textId="77777777" w:rsidR="00BC058E" w:rsidRDefault="00BC058E">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14:paraId="40B0131D" w14:textId="77777777" w:rsidR="00BC058E" w:rsidRDefault="00BC058E">
            <w:pPr>
              <w:pStyle w:val="Zkladntext"/>
              <w:ind w:left="0"/>
              <w:jc w:val="center"/>
            </w:pPr>
            <w:r>
              <w:rPr>
                <w:sz w:val="20"/>
              </w:rPr>
              <w:t>100 %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DDA1D59" w14:textId="77777777" w:rsidR="00BC058E" w:rsidRDefault="00BC058E">
            <w:pPr>
              <w:pStyle w:val="Zkladntext"/>
              <w:ind w:left="0"/>
              <w:jc w:val="center"/>
            </w:pPr>
            <w:proofErr w:type="spellStart"/>
            <w:r>
              <w:rPr>
                <w:sz w:val="20"/>
              </w:rPr>
              <w:t>jednorázová</w:t>
            </w:r>
            <w:proofErr w:type="spellEnd"/>
          </w:p>
        </w:tc>
      </w:tr>
    </w:tbl>
    <w:p w14:paraId="0E024575" w14:textId="77777777" w:rsidR="00BC058E" w:rsidRDefault="00BC058E">
      <w:pPr>
        <w:ind w:left="720"/>
      </w:pPr>
    </w:p>
    <w:p w14:paraId="082F5560" w14:textId="77777777" w:rsidR="00BC058E" w:rsidRDefault="00BC058E">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14:paraId="1AEAFC60" w14:textId="77777777" w:rsidR="00BC058E" w:rsidRDefault="00BC058E">
      <w:pPr>
        <w:pStyle w:val="Zkladntext"/>
        <w:ind w:left="720"/>
        <w:rPr>
          <w:sz w:val="20"/>
        </w:rPr>
      </w:pPr>
    </w:p>
    <w:p w14:paraId="43E0A0B4" w14:textId="77777777" w:rsidR="00BC058E" w:rsidRDefault="00BC058E">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14:paraId="62295DF1" w14:textId="77777777" w:rsidR="00BC058E" w:rsidRDefault="00BC058E">
      <w:pPr>
        <w:pStyle w:val="Zkladntext"/>
        <w:rPr>
          <w:sz w:val="20"/>
        </w:rPr>
      </w:pPr>
    </w:p>
    <w:p w14:paraId="2D188A4B" w14:textId="77777777" w:rsidR="00FD04BC" w:rsidRDefault="00FD04BC">
      <w:pPr>
        <w:pStyle w:val="Zkladntext"/>
        <w:rPr>
          <w:sz w:val="20"/>
        </w:rPr>
      </w:pPr>
    </w:p>
    <w:p w14:paraId="6805D2E5" w14:textId="77777777" w:rsidR="00BC058E" w:rsidRDefault="00BC058E">
      <w:pPr>
        <w:pStyle w:val="Nadpis2"/>
        <w:numPr>
          <w:ilvl w:val="0"/>
          <w:numId w:val="5"/>
        </w:numPr>
      </w:pPr>
      <w:r>
        <w:rPr>
          <w:sz w:val="20"/>
        </w:rPr>
        <w:lastRenderedPageBreak/>
        <w:t>Dotácie poskytnuté na obstaranie majetku</w:t>
      </w:r>
    </w:p>
    <w:p w14:paraId="42788E0F" w14:textId="77777777" w:rsidR="00BC058E" w:rsidRDefault="00BC058E">
      <w:pPr>
        <w:tabs>
          <w:tab w:val="left" w:pos="330"/>
        </w:tabs>
        <w:ind w:left="720"/>
        <w:jc w:val="both"/>
      </w:pPr>
      <w:r>
        <w:t>Účtovnej jednotke</w:t>
      </w:r>
      <w:r>
        <w:rPr>
          <w:b/>
        </w:rPr>
        <w:t xml:space="preserve"> </w:t>
      </w:r>
      <w:r>
        <w:t>nebola</w:t>
      </w:r>
      <w:r>
        <w:rPr>
          <w:b/>
        </w:rPr>
        <w:t xml:space="preserve"> </w:t>
      </w:r>
      <w:r>
        <w:t>poskytnutá dotácia počas účtovného obdobia.</w:t>
      </w:r>
    </w:p>
    <w:p w14:paraId="25EE9A63" w14:textId="77777777" w:rsidR="00BC058E" w:rsidRDefault="00BC058E"/>
    <w:p w14:paraId="4DA57FA3" w14:textId="77777777" w:rsidR="00BC058E" w:rsidRDefault="00BC058E">
      <w:pPr>
        <w:pStyle w:val="Nadpis2"/>
        <w:numPr>
          <w:ilvl w:val="0"/>
          <w:numId w:val="5"/>
        </w:numPr>
      </w:pPr>
      <w:r>
        <w:rPr>
          <w:sz w:val="20"/>
        </w:rPr>
        <w:t>Opravy chýb minulých účtovných období</w:t>
      </w:r>
    </w:p>
    <w:p w14:paraId="611E687B" w14:textId="5EFAB623" w:rsidR="00BC058E" w:rsidRDefault="00BC058E">
      <w:pPr>
        <w:pStyle w:val="Zkladntext"/>
        <w:ind w:left="720"/>
      </w:pPr>
      <w:r>
        <w:rPr>
          <w:sz w:val="20"/>
        </w:rPr>
        <w:t>V účtovnom období 202</w:t>
      </w:r>
      <w:r w:rsidR="00FD04BC">
        <w:rPr>
          <w:sz w:val="20"/>
        </w:rPr>
        <w:t>4</w:t>
      </w:r>
      <w:r>
        <w:rPr>
          <w:sz w:val="20"/>
        </w:rPr>
        <w:t xml:space="preserve"> účtovná jednotka nevykonala žiadne opravy významných chýb minulých účtovných období. </w:t>
      </w:r>
    </w:p>
    <w:p w14:paraId="669B0F79" w14:textId="77777777" w:rsidR="00BC058E" w:rsidRDefault="00BC058E">
      <w:pPr>
        <w:tabs>
          <w:tab w:val="left" w:pos="330"/>
        </w:tabs>
        <w:jc w:val="both"/>
        <w:rPr>
          <w:i/>
        </w:rPr>
      </w:pPr>
    </w:p>
    <w:p w14:paraId="65AD7829" w14:textId="77777777" w:rsidR="00BC058E" w:rsidRDefault="00BC058E">
      <w:pPr>
        <w:pStyle w:val="Nadpis1"/>
        <w:tabs>
          <w:tab w:val="left" w:pos="360"/>
        </w:tabs>
        <w:ind w:left="360"/>
      </w:pPr>
      <w:r>
        <w:rPr>
          <w:sz w:val="20"/>
        </w:rPr>
        <w:t>informácie ktoré vysvetľujú a dopĺňajú súvahu a výkaz ziskov a strát</w:t>
      </w:r>
    </w:p>
    <w:p w14:paraId="4AE7A99D" w14:textId="77777777" w:rsidR="00BC058E" w:rsidRDefault="00BC058E"/>
    <w:p w14:paraId="3462DB61" w14:textId="77777777" w:rsidR="00BC058E" w:rsidRDefault="00BC058E">
      <w:pPr>
        <w:pStyle w:val="Nadpis2"/>
        <w:numPr>
          <w:ilvl w:val="0"/>
          <w:numId w:val="7"/>
        </w:numPr>
        <w:tabs>
          <w:tab w:val="left" w:pos="426"/>
        </w:tabs>
        <w:jc w:val="both"/>
      </w:pPr>
      <w:r>
        <w:rPr>
          <w:sz w:val="20"/>
        </w:rPr>
        <w:t>Dlhodobý nehmotný a dlhodobý hmotný majetok, na ktorý je zriadené záložné právo a dlhodobý majetok, pri ktorom má účtovná jednotka obmedzené právo s nim nakladať</w:t>
      </w:r>
    </w:p>
    <w:p w14:paraId="4F86EEEE" w14:textId="77777777" w:rsidR="00BC058E" w:rsidRDefault="00BC058E">
      <w:pPr>
        <w:ind w:left="720"/>
        <w:jc w:val="both"/>
      </w:pPr>
      <w:r>
        <w:t xml:space="preserve">Na dlhodobý nehmotný majetok nebolo zriadené záložné právo. </w:t>
      </w:r>
    </w:p>
    <w:p w14:paraId="0689005F" w14:textId="77777777" w:rsidR="00BC058E" w:rsidRDefault="00BC058E"/>
    <w:p w14:paraId="50E0032B" w14:textId="77777777" w:rsidR="00BC058E" w:rsidRDefault="00BC058E">
      <w:pPr>
        <w:pStyle w:val="Nadpis2"/>
        <w:numPr>
          <w:ilvl w:val="0"/>
          <w:numId w:val="7"/>
        </w:numPr>
        <w:tabs>
          <w:tab w:val="left" w:pos="426"/>
        </w:tabs>
        <w:jc w:val="both"/>
      </w:pPr>
      <w:r>
        <w:rPr>
          <w:sz w:val="20"/>
        </w:rPr>
        <w:t>Dlhodobý majetok, pri ktorom vlastnícke právo nadobudol veriteľ zmluvou o zabezpečovacom prevode práva, ale ktorý užíva účtovná jednotka na základe zmluvy o výpožičke</w:t>
      </w:r>
    </w:p>
    <w:p w14:paraId="3CE66D7A" w14:textId="77777777" w:rsidR="00BC058E" w:rsidRDefault="00BC058E">
      <w:pPr>
        <w:ind w:left="720"/>
        <w:jc w:val="both"/>
      </w:pPr>
      <w:r>
        <w:t>Účtovná jednotka nemala taký dlhodobý majetok, pri ktorom vlastnícke právo nadobudol veriteľ zmluvou o zabezpečovacom prevode práve, ale ktorý užíva účtovná jednotka na základe zmluvy o výpožičke.</w:t>
      </w:r>
    </w:p>
    <w:p w14:paraId="6F02A787" w14:textId="77777777" w:rsidR="00BC058E" w:rsidRDefault="00BC058E">
      <w:pPr>
        <w:jc w:val="both"/>
        <w:rPr>
          <w:i/>
        </w:rPr>
      </w:pPr>
    </w:p>
    <w:p w14:paraId="53E1C773" w14:textId="77777777" w:rsidR="00BC058E" w:rsidRDefault="00BC058E">
      <w:pPr>
        <w:pStyle w:val="Nadpis2"/>
        <w:numPr>
          <w:ilvl w:val="0"/>
          <w:numId w:val="7"/>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7AD65B7" w14:textId="77777777" w:rsidR="00BC058E" w:rsidRDefault="00BC058E">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14:paraId="7223D646" w14:textId="77777777" w:rsidR="00BC058E" w:rsidRDefault="00BC058E">
      <w:pPr>
        <w:jc w:val="both"/>
        <w:rPr>
          <w:i/>
        </w:rPr>
      </w:pPr>
    </w:p>
    <w:p w14:paraId="63E02F7E" w14:textId="77777777" w:rsidR="00BC058E" w:rsidRDefault="00BC058E">
      <w:pPr>
        <w:pStyle w:val="Nadpis2"/>
        <w:numPr>
          <w:ilvl w:val="0"/>
          <w:numId w:val="7"/>
        </w:numPr>
        <w:tabs>
          <w:tab w:val="left" w:pos="426"/>
        </w:tabs>
        <w:jc w:val="both"/>
      </w:pPr>
      <w:proofErr w:type="spellStart"/>
      <w:r>
        <w:rPr>
          <w:sz w:val="20"/>
        </w:rPr>
        <w:t>Goodwill</w:t>
      </w:r>
      <w:proofErr w:type="spellEnd"/>
    </w:p>
    <w:p w14:paraId="2A8ADC8D" w14:textId="77777777" w:rsidR="00BC058E" w:rsidRDefault="00BC058E">
      <w:pPr>
        <w:ind w:left="720"/>
        <w:jc w:val="both"/>
      </w:pPr>
      <w:r>
        <w:t>Účtovná jednotka o </w:t>
      </w:r>
      <w:proofErr w:type="spellStart"/>
      <w:r>
        <w:t>goodwille</w:t>
      </w:r>
      <w:proofErr w:type="spellEnd"/>
      <w:r>
        <w:t xml:space="preserve"> neúčtovala.  </w:t>
      </w:r>
    </w:p>
    <w:p w14:paraId="2C3BD6A7" w14:textId="77777777" w:rsidR="00BC058E" w:rsidRDefault="00BC058E">
      <w:pPr>
        <w:ind w:left="720"/>
        <w:jc w:val="both"/>
        <w:rPr>
          <w:i/>
        </w:rPr>
      </w:pPr>
    </w:p>
    <w:p w14:paraId="0EA69ECF" w14:textId="77777777" w:rsidR="00BC058E" w:rsidRDefault="00BC058E">
      <w:pPr>
        <w:pStyle w:val="Nadpis2"/>
        <w:numPr>
          <w:ilvl w:val="0"/>
          <w:numId w:val="7"/>
        </w:numPr>
        <w:tabs>
          <w:tab w:val="left" w:pos="426"/>
        </w:tabs>
        <w:jc w:val="both"/>
      </w:pPr>
      <w:r>
        <w:rPr>
          <w:sz w:val="20"/>
        </w:rPr>
        <w:t>Informácie o vlastných akciách</w:t>
      </w:r>
    </w:p>
    <w:p w14:paraId="29273262" w14:textId="77777777" w:rsidR="00BC058E" w:rsidRDefault="00BC058E">
      <w:pPr>
        <w:tabs>
          <w:tab w:val="left" w:pos="720"/>
        </w:tabs>
        <w:ind w:left="720"/>
      </w:pPr>
      <w:r>
        <w:t>Účtovná jednotka nemá vlastné akcie.</w:t>
      </w:r>
    </w:p>
    <w:p w14:paraId="5FC4A281" w14:textId="77777777" w:rsidR="00BC058E" w:rsidRDefault="00BC058E">
      <w:pPr>
        <w:tabs>
          <w:tab w:val="left" w:pos="720"/>
        </w:tabs>
        <w:ind w:left="720"/>
      </w:pPr>
    </w:p>
    <w:p w14:paraId="159B24F4" w14:textId="77777777" w:rsidR="00BC058E" w:rsidRDefault="00BC058E">
      <w:pPr>
        <w:pStyle w:val="Nadpis2"/>
        <w:numPr>
          <w:ilvl w:val="0"/>
          <w:numId w:val="7"/>
        </w:numPr>
        <w:tabs>
          <w:tab w:val="left" w:pos="426"/>
        </w:tabs>
        <w:jc w:val="both"/>
      </w:pPr>
      <w:r>
        <w:rPr>
          <w:sz w:val="20"/>
        </w:rPr>
        <w:t>Pohľadávky zabezpečené záložným právom alebo inou formou zabezpečenia</w:t>
      </w:r>
    </w:p>
    <w:p w14:paraId="7BE5624E" w14:textId="77777777" w:rsidR="00BC058E" w:rsidRDefault="00BC058E">
      <w:pPr>
        <w:ind w:left="720"/>
        <w:jc w:val="both"/>
      </w:pPr>
      <w:r>
        <w:t xml:space="preserve">Pohľadávky neboli zabezpečené záložným právom, ani inou formou zabezpečenia. </w:t>
      </w:r>
    </w:p>
    <w:p w14:paraId="29F936FC" w14:textId="77777777" w:rsidR="00BC058E" w:rsidRDefault="00BC058E">
      <w:pPr>
        <w:ind w:left="720"/>
        <w:jc w:val="both"/>
        <w:rPr>
          <w:i/>
        </w:rPr>
      </w:pPr>
    </w:p>
    <w:p w14:paraId="58BF23B5" w14:textId="77777777" w:rsidR="00BC058E" w:rsidRDefault="00BC058E">
      <w:pPr>
        <w:pStyle w:val="Nadpis2"/>
        <w:numPr>
          <w:ilvl w:val="0"/>
          <w:numId w:val="7"/>
        </w:numPr>
        <w:tabs>
          <w:tab w:val="left" w:pos="426"/>
        </w:tabs>
        <w:jc w:val="both"/>
      </w:pPr>
      <w:r>
        <w:rPr>
          <w:sz w:val="20"/>
        </w:rPr>
        <w:t>Pohľadávky, na ktoré sa zriadilo záložné právo a pohľadávky, pri ktorých má účtovná jednotka obmedzené právo s nimi nakladať</w:t>
      </w:r>
    </w:p>
    <w:p w14:paraId="37C9BF81" w14:textId="77777777" w:rsidR="00BC058E" w:rsidRDefault="00BC058E">
      <w:pPr>
        <w:ind w:left="720"/>
        <w:jc w:val="both"/>
      </w:pPr>
      <w:r>
        <w:t xml:space="preserve">Na pohľadávky účtovnej jednotky nebolo zriadené záložné právo. </w:t>
      </w:r>
    </w:p>
    <w:p w14:paraId="51C48F27" w14:textId="77777777" w:rsidR="00BC058E" w:rsidRDefault="00BC058E">
      <w:pPr>
        <w:jc w:val="both"/>
        <w:rPr>
          <w:b/>
          <w:bCs/>
          <w:lang w:eastAsia="sk-SK"/>
        </w:rPr>
      </w:pPr>
    </w:p>
    <w:p w14:paraId="7CB4BC75" w14:textId="77777777" w:rsidR="00BC058E" w:rsidRDefault="00BC058E">
      <w:pPr>
        <w:pStyle w:val="Nadpis2"/>
        <w:numPr>
          <w:ilvl w:val="0"/>
          <w:numId w:val="7"/>
        </w:numPr>
        <w:tabs>
          <w:tab w:val="left" w:pos="426"/>
        </w:tabs>
        <w:jc w:val="both"/>
      </w:pPr>
      <w:r>
        <w:rPr>
          <w:sz w:val="20"/>
        </w:rPr>
        <w:t>Krátkodobý finančný majetok, na ktorý bolo zriadené záložné právo a krátkodobý finančný majetok, pri ktorom má účtovná jednotka obmedzené právo s nim nakladať</w:t>
      </w:r>
    </w:p>
    <w:p w14:paraId="3CAEC6EC" w14:textId="77777777" w:rsidR="00BC058E" w:rsidRDefault="00BC058E">
      <w:pPr>
        <w:pStyle w:val="Nadpis"/>
        <w:spacing w:before="0" w:after="0"/>
        <w:ind w:left="720"/>
        <w:jc w:val="both"/>
      </w:pPr>
      <w:r>
        <w:rPr>
          <w:b w:val="0"/>
          <w:sz w:val="20"/>
          <w:szCs w:val="20"/>
        </w:rPr>
        <w:t xml:space="preserve">Na krátkodobý finančný majetok nebolo zriadené záložné právo. </w:t>
      </w:r>
    </w:p>
    <w:p w14:paraId="18120D4D" w14:textId="77777777" w:rsidR="00BC058E" w:rsidRDefault="00BC058E">
      <w:pPr>
        <w:pStyle w:val="Nadpis"/>
        <w:spacing w:before="0" w:after="0"/>
        <w:ind w:left="720"/>
        <w:jc w:val="both"/>
      </w:pPr>
      <w:r>
        <w:rPr>
          <w:b w:val="0"/>
          <w:sz w:val="20"/>
          <w:szCs w:val="20"/>
        </w:rPr>
        <w:t xml:space="preserve">Účtovná jednotka nemala krátkodobý finančný majetok s obmedzeným právom s nim nakladať. </w:t>
      </w:r>
    </w:p>
    <w:p w14:paraId="6F63A032" w14:textId="77777777" w:rsidR="00243E5E" w:rsidRDefault="00243E5E">
      <w:pPr>
        <w:jc w:val="both"/>
        <w:rPr>
          <w:b/>
        </w:rPr>
      </w:pPr>
    </w:p>
    <w:p w14:paraId="78608FB7" w14:textId="674223C8" w:rsidR="00BC058E" w:rsidRDefault="00BC058E">
      <w:pPr>
        <w:jc w:val="both"/>
      </w:pPr>
      <w:r>
        <w:rPr>
          <w:b/>
        </w:rPr>
        <w:t xml:space="preserve">        i)    Informácie o významných položkách derivátov</w:t>
      </w:r>
    </w:p>
    <w:p w14:paraId="2B764DC7" w14:textId="77777777" w:rsidR="00BC058E" w:rsidRDefault="00BC058E">
      <w:pPr>
        <w:ind w:left="720"/>
        <w:jc w:val="both"/>
      </w:pPr>
      <w:r>
        <w:t xml:space="preserve">Účtovná jednotka neúčtovala v bežnom a bezprostredne predchádzajúcom účtovnom období o derivátoch. </w:t>
      </w:r>
    </w:p>
    <w:p w14:paraId="74928D27" w14:textId="77777777" w:rsidR="00BC058E" w:rsidRDefault="00BC058E"/>
    <w:p w14:paraId="273BF1B5" w14:textId="532A35F4" w:rsidR="00BC058E" w:rsidRDefault="00BC058E">
      <w:pPr>
        <w:ind w:left="380"/>
        <w:jc w:val="both"/>
      </w:pPr>
      <w:r>
        <w:rPr>
          <w:b/>
        </w:rPr>
        <w:t>j)    Informácie o majetku a záväzkoch zabezpečených derivátmi</w:t>
      </w:r>
    </w:p>
    <w:p w14:paraId="41B4841F" w14:textId="77777777" w:rsidR="00BC058E" w:rsidRDefault="00BC058E">
      <w:pPr>
        <w:ind w:left="720"/>
        <w:jc w:val="both"/>
      </w:pPr>
      <w:r>
        <w:t xml:space="preserve">Účtovná jednotka neúčtovala v bežnom a bezprostredne predchádzajúcom období o majetku a záväzkoch zabezpečených derivátmi. </w:t>
      </w:r>
    </w:p>
    <w:p w14:paraId="6044CBD3" w14:textId="77777777" w:rsidR="00BC058E" w:rsidRDefault="00BC058E">
      <w:pPr>
        <w:ind w:left="720"/>
        <w:jc w:val="both"/>
        <w:rPr>
          <w:b/>
        </w:rPr>
      </w:pPr>
    </w:p>
    <w:p w14:paraId="4A4C45E1" w14:textId="7A293222" w:rsidR="00BC058E" w:rsidRDefault="00243E5E" w:rsidP="00243E5E">
      <w:pPr>
        <w:ind w:left="680" w:hanging="680"/>
        <w:jc w:val="both"/>
      </w:pPr>
      <w:r>
        <w:rPr>
          <w:b/>
        </w:rPr>
        <w:t xml:space="preserve">       </w:t>
      </w:r>
      <w:r w:rsidR="00BC058E">
        <w:rPr>
          <w:b/>
        </w:rPr>
        <w:t xml:space="preserve">k) </w:t>
      </w:r>
      <w:r w:rsidR="00BC058E">
        <w:rPr>
          <w:b/>
        </w:rPr>
        <w:tab/>
        <w:t>Informácie o záväzkoch so zostatkovou dobou splatnosti dlhšou ako 5 rokov a o hodnote záväzku  zabezpečenom záložným právom alebo zabezpečeným inou formou zabezpečenia</w:t>
      </w:r>
    </w:p>
    <w:p w14:paraId="6B21959D" w14:textId="77777777" w:rsidR="00BC058E" w:rsidRDefault="00BC058E">
      <w:pPr>
        <w:ind w:left="720"/>
        <w:jc w:val="both"/>
      </w:pPr>
      <w:r>
        <w:t xml:space="preserve">Záväzky účtovnej jednotky v bežnom a bezprostredne predchádzajúcom účtovnom období neboli zabezpečené záložným právom ani inou formou zabezpečenia. </w:t>
      </w:r>
    </w:p>
    <w:p w14:paraId="02758FD1" w14:textId="77777777" w:rsidR="00BC058E" w:rsidRDefault="00BC058E">
      <w:pPr>
        <w:ind w:left="1080"/>
        <w:jc w:val="both"/>
      </w:pPr>
    </w:p>
    <w:p w14:paraId="731AE810" w14:textId="2669808D" w:rsidR="00BC058E" w:rsidRDefault="00243E5E">
      <w:pPr>
        <w:jc w:val="both"/>
      </w:pPr>
      <w:r>
        <w:rPr>
          <w:b/>
        </w:rPr>
        <w:t xml:space="preserve">        </w:t>
      </w:r>
      <w:r w:rsidR="00BC058E">
        <w:rPr>
          <w:b/>
        </w:rPr>
        <w:t xml:space="preserve">l)    Informácie o vydaných dlhopisoch </w:t>
      </w:r>
    </w:p>
    <w:p w14:paraId="6A45B548" w14:textId="77777777" w:rsidR="00BC058E" w:rsidRDefault="00BC058E">
      <w:pPr>
        <w:ind w:left="720"/>
      </w:pPr>
      <w:r>
        <w:t xml:space="preserve">Účtovná jednotka nemala vo svojom účtovníctve evidované dlhopisy. </w:t>
      </w:r>
    </w:p>
    <w:p w14:paraId="6D229993" w14:textId="4B102ACC" w:rsidR="00BC058E" w:rsidRDefault="00342841">
      <w:pPr>
        <w:ind w:left="57"/>
        <w:jc w:val="both"/>
      </w:pPr>
      <w:r>
        <w:rPr>
          <w:b/>
        </w:rPr>
        <w:lastRenderedPageBreak/>
        <w:t xml:space="preserve">   </w:t>
      </w:r>
      <w:r w:rsidR="00243E5E">
        <w:rPr>
          <w:b/>
        </w:rPr>
        <w:t xml:space="preserve"> </w:t>
      </w:r>
      <w:r w:rsidR="00BC058E">
        <w:rPr>
          <w:b/>
        </w:rPr>
        <w:t>m)    Výnosy, ktoré majú výnimočný rozsah alebo výskyt</w:t>
      </w:r>
    </w:p>
    <w:p w14:paraId="636A8BAB" w14:textId="77777777" w:rsidR="00BC058E" w:rsidRDefault="00BC058E">
      <w:pPr>
        <w:ind w:left="720"/>
        <w:jc w:val="both"/>
      </w:pPr>
      <w:r>
        <w:t xml:space="preserve">Účtovnej jednotke v bežnom a bezprostredne predchádzajúcom účtovnom období nevznikli mimoriadne výnosy. </w:t>
      </w:r>
    </w:p>
    <w:p w14:paraId="097D1549" w14:textId="77777777" w:rsidR="00BC058E" w:rsidRDefault="00BC058E">
      <w:pPr>
        <w:jc w:val="both"/>
      </w:pPr>
    </w:p>
    <w:p w14:paraId="1EA65628" w14:textId="47113DE1" w:rsidR="00BC058E" w:rsidRDefault="00243E5E">
      <w:pPr>
        <w:jc w:val="both"/>
      </w:pPr>
      <w:r>
        <w:rPr>
          <w:b/>
        </w:rPr>
        <w:t xml:space="preserve">      </w:t>
      </w:r>
      <w:r w:rsidR="00BC058E">
        <w:rPr>
          <w:b/>
        </w:rPr>
        <w:t>n)     Náklady, ktoré majú výnimočný rozsah alebo výskyt</w:t>
      </w:r>
    </w:p>
    <w:p w14:paraId="6E43FEB1" w14:textId="77777777" w:rsidR="00BC058E" w:rsidRDefault="00BC058E">
      <w:pPr>
        <w:ind w:left="720"/>
        <w:jc w:val="both"/>
      </w:pPr>
      <w:r>
        <w:t xml:space="preserve">Účtovnej jednotke v bežnom a bezprostredne predchádzajúcom účtovnom období nevznikli mimoriadne náklady. </w:t>
      </w:r>
    </w:p>
    <w:p w14:paraId="1AC48B2B" w14:textId="77777777" w:rsidR="00BC058E" w:rsidRDefault="00BC058E">
      <w:pPr>
        <w:pStyle w:val="Nadpis1"/>
        <w:numPr>
          <w:ilvl w:val="0"/>
          <w:numId w:val="0"/>
        </w:numPr>
        <w:tabs>
          <w:tab w:val="left" w:pos="360"/>
        </w:tabs>
        <w:ind w:left="450"/>
        <w:rPr>
          <w:b w:val="0"/>
          <w:sz w:val="20"/>
        </w:rPr>
      </w:pPr>
    </w:p>
    <w:p w14:paraId="011BA320" w14:textId="77777777" w:rsidR="00BC058E" w:rsidRDefault="00BC058E">
      <w:pPr>
        <w:pStyle w:val="Nadpis1"/>
        <w:numPr>
          <w:ilvl w:val="0"/>
          <w:numId w:val="0"/>
        </w:numPr>
        <w:tabs>
          <w:tab w:val="left" w:pos="360"/>
        </w:tabs>
      </w:pPr>
      <w:r>
        <w:rPr>
          <w:sz w:val="20"/>
        </w:rPr>
        <w:t>Informácie o podsúvahových účtoch</w:t>
      </w:r>
    </w:p>
    <w:p w14:paraId="1C4DC670" w14:textId="77777777" w:rsidR="00BC058E" w:rsidRDefault="00BC058E">
      <w:pPr>
        <w:tabs>
          <w:tab w:val="left" w:pos="330"/>
        </w:tabs>
        <w:ind w:left="737"/>
        <w:jc w:val="both"/>
      </w:pPr>
      <w:r>
        <w:t>Účtovná jednotka v bežnom a bezprostredne predchádzajúcom účtovnom období nepoužívala podsúvahové účty.</w:t>
      </w:r>
    </w:p>
    <w:p w14:paraId="6EC278EC" w14:textId="77777777" w:rsidR="00BC058E" w:rsidRDefault="00BC058E">
      <w:pPr>
        <w:tabs>
          <w:tab w:val="left" w:pos="330"/>
        </w:tabs>
        <w:jc w:val="both"/>
        <w:rPr>
          <w:i/>
        </w:rPr>
      </w:pPr>
    </w:p>
    <w:p w14:paraId="35A5F0F4" w14:textId="77777777" w:rsidR="00BC058E" w:rsidRDefault="00BC058E">
      <w:pPr>
        <w:pStyle w:val="Nadpis1"/>
        <w:numPr>
          <w:ilvl w:val="0"/>
          <w:numId w:val="0"/>
        </w:numPr>
        <w:tabs>
          <w:tab w:val="left" w:pos="360"/>
        </w:tabs>
      </w:pPr>
      <w:r>
        <w:rPr>
          <w:sz w:val="20"/>
        </w:rPr>
        <w:t>informácie o iných aktívach a iných pasívach</w:t>
      </w:r>
    </w:p>
    <w:p w14:paraId="3A19A293" w14:textId="77777777" w:rsidR="00BC058E" w:rsidRDefault="00BC058E">
      <w:pPr>
        <w:tabs>
          <w:tab w:val="left" w:pos="330"/>
        </w:tabs>
        <w:ind w:left="680"/>
      </w:pPr>
      <w:r>
        <w:t>Účtovná jednotka v bežnom a bezprostredne predchádzajúcom účtovnom období neevidovala iné aktíva a iné pasíva.</w:t>
      </w:r>
    </w:p>
    <w:p w14:paraId="097552A5" w14:textId="77777777" w:rsidR="00BC058E" w:rsidRDefault="00BC058E">
      <w:pPr>
        <w:tabs>
          <w:tab w:val="left" w:pos="330"/>
        </w:tabs>
        <w:jc w:val="both"/>
        <w:rPr>
          <w:i/>
          <w:color w:val="FF0000"/>
        </w:rPr>
      </w:pPr>
    </w:p>
    <w:p w14:paraId="74F02DE6" w14:textId="77777777" w:rsidR="00BC058E" w:rsidRDefault="00BC058E">
      <w:pPr>
        <w:tabs>
          <w:tab w:val="left" w:pos="330"/>
          <w:tab w:val="left" w:pos="709"/>
        </w:tabs>
        <w:jc w:val="both"/>
      </w:pPr>
      <w:r>
        <w:rPr>
          <w:b/>
          <w:caps/>
        </w:rPr>
        <w:t>Informácie o podmienenom majetku</w:t>
      </w:r>
    </w:p>
    <w:p w14:paraId="3D1DC5F8" w14:textId="77777777" w:rsidR="00BC058E" w:rsidRDefault="00BC058E">
      <w:pPr>
        <w:tabs>
          <w:tab w:val="left" w:pos="330"/>
        </w:tabs>
        <w:ind w:left="737"/>
        <w:jc w:val="both"/>
      </w:pPr>
      <w:r>
        <w:t xml:space="preserve">Účtovná jednotka o podmienenom majetku neúčtovala. </w:t>
      </w:r>
    </w:p>
    <w:p w14:paraId="3A4086D9" w14:textId="77777777" w:rsidR="00BC058E" w:rsidRDefault="00BC058E">
      <w:pPr>
        <w:tabs>
          <w:tab w:val="left" w:pos="330"/>
        </w:tabs>
        <w:jc w:val="both"/>
        <w:rPr>
          <w:i/>
        </w:rPr>
      </w:pPr>
    </w:p>
    <w:p w14:paraId="5881FECF" w14:textId="77777777" w:rsidR="00BC058E" w:rsidRDefault="00BC058E" w:rsidP="00243E5E">
      <w:pPr>
        <w:pStyle w:val="Nadpis1"/>
        <w:numPr>
          <w:ilvl w:val="0"/>
          <w:numId w:val="0"/>
        </w:numPr>
        <w:tabs>
          <w:tab w:val="left" w:pos="360"/>
        </w:tabs>
        <w:ind w:left="90"/>
        <w:jc w:val="both"/>
      </w:pPr>
      <w:r>
        <w:rPr>
          <w:sz w:val="20"/>
        </w:rPr>
        <w:t>informácie o príjmoch a výhodách členov štatutárnych orgánov, dozorných orgánov a iných orgánov účtovnej jednotky</w:t>
      </w:r>
    </w:p>
    <w:p w14:paraId="0E192C16" w14:textId="77777777" w:rsidR="00BC058E" w:rsidRDefault="00BC058E">
      <w:pPr>
        <w:tabs>
          <w:tab w:val="left" w:pos="330"/>
        </w:tabs>
        <w:rPr>
          <w:i/>
        </w:rPr>
      </w:pPr>
    </w:p>
    <w:p w14:paraId="76BCF625" w14:textId="77777777" w:rsidR="00BC058E" w:rsidRDefault="00BC058E">
      <w:pPr>
        <w:numPr>
          <w:ilvl w:val="0"/>
          <w:numId w:val="4"/>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14:paraId="4A3BE573" w14:textId="77777777" w:rsidR="00BC058E" w:rsidRDefault="00BC058E">
      <w:pPr>
        <w:jc w:val="both"/>
        <w:rPr>
          <w:b/>
          <w:i/>
        </w:rPr>
      </w:pPr>
    </w:p>
    <w:p w14:paraId="76DE37ED" w14:textId="77777777" w:rsidR="00BC058E" w:rsidRDefault="00BC058E">
      <w:pPr>
        <w:ind w:left="720"/>
        <w:jc w:val="both"/>
      </w:pPr>
      <w:r>
        <w:t xml:space="preserve">Účtovnej jednotke nevzniká povinnosť zverejňovať informácie v časti M. písm. a) podľa § 3 ods. 4 Opatrenia MF SR z 31. </w:t>
      </w:r>
      <w:r w:rsidR="00B91E28">
        <w:t>m</w:t>
      </w:r>
      <w:r>
        <w:t xml:space="preserve">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14:paraId="4614866B" w14:textId="77777777" w:rsidR="00BC058E" w:rsidRDefault="00BC058E">
      <w:pPr>
        <w:tabs>
          <w:tab w:val="left" w:pos="330"/>
        </w:tabs>
        <w:jc w:val="both"/>
        <w:rPr>
          <w:i/>
        </w:rPr>
      </w:pPr>
    </w:p>
    <w:p w14:paraId="658264AF" w14:textId="77777777" w:rsidR="00BC058E" w:rsidRDefault="00BC058E">
      <w:pPr>
        <w:numPr>
          <w:ilvl w:val="0"/>
          <w:numId w:val="4"/>
        </w:numPr>
        <w:jc w:val="both"/>
      </w:pPr>
      <w:r>
        <w:rPr>
          <w:b/>
        </w:rPr>
        <w:t>Informácie o výške jednotlivých druhov záruk alebo iných zabezpečení poskytnutých pre členov štatutárnych orgánov, dozorných orgánov a iných orgánov účtovnej jednotky</w:t>
      </w:r>
    </w:p>
    <w:p w14:paraId="565D7726" w14:textId="77777777" w:rsidR="00BC058E" w:rsidRDefault="00BC058E">
      <w:pPr>
        <w:ind w:left="720"/>
        <w:jc w:val="both"/>
      </w:pPr>
      <w:r>
        <w:t xml:space="preserve">Účtovná jednotka neposkytla záruky alebo iné zabezpečenia pre členov štatutárnych orgánov, dozorných orgánov a iných členov účtovnej jednotky. </w:t>
      </w:r>
    </w:p>
    <w:p w14:paraId="4A5CDE24" w14:textId="77777777" w:rsidR="00BC058E" w:rsidRDefault="00BC058E">
      <w:pPr>
        <w:jc w:val="both"/>
        <w:rPr>
          <w:i/>
        </w:rPr>
      </w:pPr>
    </w:p>
    <w:p w14:paraId="67C2DB40" w14:textId="77777777" w:rsidR="00BC058E" w:rsidRPr="00243E5E" w:rsidRDefault="00BC058E">
      <w:pPr>
        <w:pStyle w:val="Default"/>
        <w:numPr>
          <w:ilvl w:val="0"/>
          <w:numId w:val="4"/>
        </w:numPr>
        <w:jc w:val="both"/>
        <w:rPr>
          <w:b/>
        </w:rPr>
      </w:pPr>
      <w:r w:rsidRPr="00243E5E">
        <w:rPr>
          <w:rFonts w:ascii="Times New Roman" w:hAnsi="Times New Roman" w:cs="Times New Roman"/>
          <w:b/>
          <w:color w:val="auto"/>
          <w:sz w:val="20"/>
          <w:szCs w:val="20"/>
        </w:rPr>
        <w:t>Informácie o pôžičkách poskytnutých členom štatutárnych orgánov, dozorných orgánov a iných orgánov účtovnej jednotky</w:t>
      </w:r>
    </w:p>
    <w:p w14:paraId="39620DBA"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14:paraId="280FE209" w14:textId="77777777" w:rsidR="00BC058E" w:rsidRDefault="00BC058E">
      <w:pPr>
        <w:pStyle w:val="Odsekzoznamu1"/>
        <w:spacing w:after="0" w:line="240" w:lineRule="auto"/>
        <w:jc w:val="both"/>
        <w:rPr>
          <w:rFonts w:ascii="Times New Roman" w:hAnsi="Times New Roman" w:cs="Times New Roman"/>
          <w:b/>
          <w:i/>
          <w:sz w:val="20"/>
          <w:szCs w:val="20"/>
        </w:rPr>
      </w:pPr>
    </w:p>
    <w:p w14:paraId="045F38F6"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14:paraId="5418D6A2"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14:paraId="059C530A" w14:textId="77777777" w:rsidR="00BC058E" w:rsidRDefault="00BC058E">
      <w:pPr>
        <w:pStyle w:val="Default"/>
        <w:jc w:val="both"/>
        <w:rPr>
          <w:rFonts w:ascii="Times New Roman" w:hAnsi="Times New Roman" w:cs="Times New Roman"/>
          <w:i/>
          <w:color w:val="auto"/>
          <w:sz w:val="20"/>
          <w:szCs w:val="20"/>
        </w:rPr>
      </w:pPr>
    </w:p>
    <w:p w14:paraId="592A668C"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celkovej sume použitých finančných prostriedkov alebo iného plnenia na súkromné účely členmi štatutárnych orgánov, dozorných orgánov alebo iných orgánov účtovnej jednotky, ktoré sa vyúčtovávajú</w:t>
      </w:r>
    </w:p>
    <w:p w14:paraId="4AACE060" w14:textId="77777777" w:rsidR="00BC058E" w:rsidRDefault="00BC058E">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14:paraId="6528A2B5" w14:textId="77777777" w:rsidR="00BC058E" w:rsidRDefault="00BC058E">
      <w:pPr>
        <w:pStyle w:val="Default"/>
        <w:jc w:val="both"/>
        <w:rPr>
          <w:rFonts w:ascii="Times New Roman" w:hAnsi="Times New Roman" w:cs="Times New Roman"/>
          <w:b/>
          <w:sz w:val="20"/>
          <w:szCs w:val="20"/>
        </w:rPr>
      </w:pPr>
    </w:p>
    <w:p w14:paraId="33F4CAD0" w14:textId="77777777" w:rsidR="00BC058E" w:rsidRDefault="00BC058E">
      <w:pPr>
        <w:pStyle w:val="Nadpis1"/>
        <w:numPr>
          <w:ilvl w:val="0"/>
          <w:numId w:val="0"/>
        </w:numPr>
        <w:tabs>
          <w:tab w:val="left" w:pos="360"/>
        </w:tabs>
        <w:jc w:val="both"/>
      </w:pPr>
      <w:r>
        <w:rPr>
          <w:sz w:val="20"/>
        </w:rPr>
        <w:t>informácie o skutočnostiach, ktoré nastali po dni, ku ktorému sa zostavuje účtovná závierka do dňa zostavenia účtovnej závierky</w:t>
      </w:r>
    </w:p>
    <w:p w14:paraId="51155365" w14:textId="77777777" w:rsidR="00BC058E" w:rsidRDefault="00BC058E">
      <w:pPr>
        <w:jc w:val="both"/>
        <w:rPr>
          <w:i/>
        </w:rPr>
      </w:pPr>
    </w:p>
    <w:p w14:paraId="3A2D2E9F" w14:textId="77777777" w:rsidR="00BC058E" w:rsidRDefault="00BC058E">
      <w:pPr>
        <w:tabs>
          <w:tab w:val="left" w:pos="330"/>
        </w:tabs>
        <w:ind w:left="360"/>
        <w:jc w:val="both"/>
      </w:pPr>
      <w:r>
        <w:t xml:space="preserve">V účtovnej jednotke nenastali žiadne skutočnosti po dni, ku ktorému sa zostavuje účtovná závierka do dňa jej zostavenia. </w:t>
      </w:r>
    </w:p>
    <w:p w14:paraId="4E078B57" w14:textId="35773FAD" w:rsidR="00BC058E" w:rsidRDefault="00BC058E">
      <w:pPr>
        <w:pStyle w:val="Nadpis1"/>
        <w:numPr>
          <w:ilvl w:val="0"/>
          <w:numId w:val="0"/>
        </w:numPr>
        <w:tabs>
          <w:tab w:val="left" w:pos="360"/>
        </w:tabs>
        <w:ind w:left="360" w:hanging="360"/>
      </w:pPr>
      <w:r>
        <w:rPr>
          <w:bCs/>
          <w:sz w:val="20"/>
        </w:rPr>
        <w:lastRenderedPageBreak/>
        <w:t>Informácie o účtovnej jednotke, ak podľa § 23d ods. 6 zákona o</w:t>
      </w:r>
      <w:r w:rsidR="00FD04BC">
        <w:rPr>
          <w:bCs/>
          <w:sz w:val="20"/>
        </w:rPr>
        <w:t> </w:t>
      </w:r>
      <w:r>
        <w:rPr>
          <w:bCs/>
          <w:sz w:val="20"/>
        </w:rPr>
        <w:t>účtovníctve</w:t>
      </w:r>
      <w:r w:rsidR="00FD04BC">
        <w:rPr>
          <w:bCs/>
          <w:sz w:val="20"/>
        </w:rPr>
        <w:t xml:space="preserve"> </w:t>
      </w:r>
      <w:r>
        <w:rPr>
          <w:bCs/>
          <w:sz w:val="20"/>
        </w:rPr>
        <w:t>jeho činnosť je zaradená do kategórie priemyselnej výroby</w:t>
      </w:r>
    </w:p>
    <w:p w14:paraId="12796B37" w14:textId="77777777" w:rsidR="00BC058E" w:rsidRDefault="00BC058E">
      <w:pPr>
        <w:tabs>
          <w:tab w:val="left" w:pos="330"/>
        </w:tabs>
        <w:ind w:left="360"/>
        <w:jc w:val="both"/>
      </w:pPr>
      <w:r>
        <w:t xml:space="preserve">Účtovnej jednotke nevznikla povinnosť uvedenia informácií v bode U. poznámok podľa </w:t>
      </w:r>
      <w:r>
        <w:rPr>
          <w:bCs/>
        </w:rPr>
        <w:t xml:space="preserve">§ 23d ods. 6 zákona o účtovníctve. </w:t>
      </w:r>
    </w:p>
    <w:p w14:paraId="5712D1F4" w14:textId="77777777" w:rsidR="00BC058E" w:rsidRDefault="00BC058E">
      <w:pPr>
        <w:pStyle w:val="Default"/>
        <w:jc w:val="both"/>
        <w:rPr>
          <w:rFonts w:ascii="Times New Roman" w:hAnsi="Times New Roman" w:cs="Times New Roman"/>
          <w:i/>
          <w:color w:val="auto"/>
          <w:sz w:val="20"/>
          <w:szCs w:val="20"/>
        </w:rPr>
      </w:pPr>
    </w:p>
    <w:p w14:paraId="080D6798" w14:textId="77777777" w:rsidR="00BC058E" w:rsidRDefault="00BC058E">
      <w:pPr>
        <w:tabs>
          <w:tab w:val="left" w:pos="360"/>
        </w:tabs>
        <w:ind w:left="360" w:hanging="360"/>
        <w:jc w:val="both"/>
        <w:rPr>
          <w:i/>
        </w:rPr>
      </w:pPr>
    </w:p>
    <w:p w14:paraId="054BDF8E" w14:textId="77777777" w:rsidR="00BC058E" w:rsidRDefault="00BC058E">
      <w:pPr>
        <w:tabs>
          <w:tab w:val="left" w:pos="330"/>
        </w:tabs>
        <w:jc w:val="both"/>
      </w:pPr>
    </w:p>
    <w:sectPr w:rsidR="00BC058E">
      <w:headerReference w:type="default" r:id="rId7"/>
      <w:footerReference w:type="default" r:id="rId8"/>
      <w:pgSz w:w="11906" w:h="16838"/>
      <w:pgMar w:top="1418" w:right="1418" w:bottom="16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0B9D2" w14:textId="77777777" w:rsidR="00F405FF" w:rsidRDefault="00F405FF">
      <w:r>
        <w:separator/>
      </w:r>
    </w:p>
  </w:endnote>
  <w:endnote w:type="continuationSeparator" w:id="0">
    <w:p w14:paraId="0AB9E762" w14:textId="77777777" w:rsidR="00F405FF" w:rsidRDefault="00F40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2"/>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A2754" w14:textId="77777777" w:rsidR="00BC058E" w:rsidRDefault="00BC058E">
    <w:pPr>
      <w:pStyle w:val="Zpat"/>
      <w:jc w:val="right"/>
    </w:pPr>
    <w:r>
      <w:fldChar w:fldCharType="begin"/>
    </w:r>
    <w:r>
      <w:instrText xml:space="preserve"> PAGE </w:instrText>
    </w:r>
    <w:r>
      <w:fldChar w:fldCharType="separate"/>
    </w:r>
    <w:r w:rsidR="00330F01">
      <w:rPr>
        <w:noProof/>
      </w:rPr>
      <w:t>6</w:t>
    </w:r>
    <w:r>
      <w:fldChar w:fldCharType="end"/>
    </w:r>
  </w:p>
  <w:p w14:paraId="33939C68" w14:textId="77777777" w:rsidR="00BC058E" w:rsidRDefault="00BC058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3490FD" w14:textId="77777777" w:rsidR="00F405FF" w:rsidRDefault="00F405FF">
      <w:r>
        <w:separator/>
      </w:r>
    </w:p>
  </w:footnote>
  <w:footnote w:type="continuationSeparator" w:id="0">
    <w:p w14:paraId="6155EA22" w14:textId="77777777" w:rsidR="00F405FF" w:rsidRDefault="00F40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DAD9C" w14:textId="77777777" w:rsidR="00BC058E" w:rsidRDefault="00BC058E">
    <w:pPr>
      <w:pStyle w:val="Zhlav"/>
    </w:pPr>
  </w:p>
  <w:tbl>
    <w:tblPr>
      <w:tblW w:w="0" w:type="auto"/>
      <w:tblInd w:w="70" w:type="dxa"/>
      <w:tblLayout w:type="fixed"/>
      <w:tblCellMar>
        <w:left w:w="70" w:type="dxa"/>
        <w:right w:w="70" w:type="dxa"/>
      </w:tblCellMar>
      <w:tblLook w:val="0000" w:firstRow="0" w:lastRow="0" w:firstColumn="0" w:lastColumn="0" w:noHBand="0" w:noVBand="0"/>
    </w:tblPr>
    <w:tblGrid>
      <w:gridCol w:w="2249"/>
      <w:gridCol w:w="4057"/>
      <w:gridCol w:w="283"/>
      <w:gridCol w:w="283"/>
      <w:gridCol w:w="284"/>
      <w:gridCol w:w="283"/>
      <w:gridCol w:w="284"/>
      <w:gridCol w:w="283"/>
      <w:gridCol w:w="284"/>
      <w:gridCol w:w="283"/>
      <w:gridCol w:w="284"/>
      <w:gridCol w:w="343"/>
    </w:tblGrid>
    <w:tr w:rsidR="00BC058E" w14:paraId="5D831E96" w14:textId="77777777">
      <w:trPr>
        <w:trHeight w:val="299"/>
      </w:trPr>
      <w:tc>
        <w:tcPr>
          <w:tcW w:w="2249" w:type="dxa"/>
          <w:tcBorders>
            <w:top w:val="single" w:sz="4" w:space="0" w:color="000000"/>
            <w:left w:val="single" w:sz="4" w:space="0" w:color="000000"/>
            <w:bottom w:val="single" w:sz="4" w:space="0" w:color="000000"/>
          </w:tcBorders>
          <w:shd w:val="clear" w:color="auto" w:fill="auto"/>
          <w:vAlign w:val="center"/>
        </w:tcPr>
        <w:p w14:paraId="2509F458" w14:textId="77777777" w:rsidR="00BC058E" w:rsidRDefault="00BC058E">
          <w:pPr>
            <w:pStyle w:val="Zhlav"/>
            <w:tabs>
              <w:tab w:val="center" w:pos="4253"/>
              <w:tab w:val="right" w:pos="9214"/>
            </w:tabs>
            <w:jc w:val="center"/>
          </w:pPr>
          <w:r>
            <w:rPr>
              <w:rFonts w:ascii="Arial" w:hAnsi="Arial" w:cs="Arial"/>
              <w:sz w:val="18"/>
              <w:szCs w:val="18"/>
              <w:lang w:eastAsia="sk-SK"/>
            </w:rPr>
            <w:t xml:space="preserve">Poznámky </w:t>
          </w:r>
          <w:proofErr w:type="spellStart"/>
          <w:r>
            <w:rPr>
              <w:rFonts w:ascii="Arial" w:hAnsi="Arial" w:cs="Arial"/>
              <w:sz w:val="18"/>
              <w:szCs w:val="18"/>
              <w:lang w:eastAsia="sk-SK"/>
            </w:rPr>
            <w:t>Úč</w:t>
          </w:r>
          <w:proofErr w:type="spellEnd"/>
          <w:r>
            <w:rPr>
              <w:rFonts w:ascii="Arial" w:hAnsi="Arial" w:cs="Arial"/>
              <w:sz w:val="18"/>
              <w:szCs w:val="18"/>
              <w:lang w:eastAsia="sk-SK"/>
            </w:rPr>
            <w:t xml:space="preserve"> POD 3 - 01</w:t>
          </w:r>
        </w:p>
      </w:tc>
      <w:tc>
        <w:tcPr>
          <w:tcW w:w="4057" w:type="dxa"/>
          <w:tcBorders>
            <w:left w:val="single" w:sz="4" w:space="0" w:color="000000"/>
          </w:tcBorders>
          <w:shd w:val="clear" w:color="auto" w:fill="auto"/>
          <w:vAlign w:val="center"/>
        </w:tcPr>
        <w:p w14:paraId="09EF9011" w14:textId="77777777" w:rsidR="00BC058E" w:rsidRDefault="00BC058E">
          <w:pPr>
            <w:pStyle w:val="Zhlav"/>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14:paraId="46768337" w14:textId="77777777" w:rsidR="00BC058E" w:rsidRDefault="00BC058E">
          <w:pPr>
            <w:pStyle w:val="Zhlav"/>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4B94A0CF" w14:textId="77777777" w:rsidR="00BC058E" w:rsidRDefault="00254EAB">
          <w:pPr>
            <w:pStyle w:val="Zhlav"/>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1FE9F826" w14:textId="77777777" w:rsidR="00BC058E" w:rsidRDefault="00BC058E">
          <w:pPr>
            <w:pStyle w:val="Zhlav"/>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6DE18033" w14:textId="77777777" w:rsidR="00BC058E" w:rsidRDefault="00254EAB">
          <w:pPr>
            <w:pStyle w:val="Zhlav"/>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7F001FC8" w14:textId="77777777" w:rsidR="00BC058E" w:rsidRDefault="00254EAB">
          <w:pPr>
            <w:pStyle w:val="Zhlav"/>
            <w:tabs>
              <w:tab w:val="center" w:pos="4253"/>
              <w:tab w:val="right" w:pos="9214"/>
            </w:tabs>
            <w:jc w:val="center"/>
          </w:pPr>
          <w:r>
            <w:t>5</w:t>
          </w:r>
        </w:p>
      </w:tc>
      <w:tc>
        <w:tcPr>
          <w:tcW w:w="283" w:type="dxa"/>
          <w:tcBorders>
            <w:top w:val="single" w:sz="4" w:space="0" w:color="000000"/>
            <w:left w:val="single" w:sz="4" w:space="0" w:color="000000"/>
            <w:bottom w:val="single" w:sz="4" w:space="0" w:color="000000"/>
          </w:tcBorders>
          <w:shd w:val="clear" w:color="auto" w:fill="auto"/>
          <w:vAlign w:val="center"/>
        </w:tcPr>
        <w:p w14:paraId="42D03437" w14:textId="77777777" w:rsidR="00BC058E" w:rsidRDefault="00254EAB">
          <w:pPr>
            <w:pStyle w:val="Zhlav"/>
            <w:tabs>
              <w:tab w:val="center" w:pos="4253"/>
              <w:tab w:val="right" w:pos="9214"/>
            </w:tabs>
            <w:jc w:val="center"/>
          </w:pPr>
          <w:r>
            <w:t>3</w:t>
          </w:r>
        </w:p>
      </w:tc>
      <w:tc>
        <w:tcPr>
          <w:tcW w:w="284" w:type="dxa"/>
          <w:tcBorders>
            <w:top w:val="single" w:sz="4" w:space="0" w:color="000000"/>
            <w:left w:val="single" w:sz="4" w:space="0" w:color="000000"/>
            <w:bottom w:val="single" w:sz="4" w:space="0" w:color="000000"/>
          </w:tcBorders>
          <w:shd w:val="clear" w:color="auto" w:fill="auto"/>
          <w:vAlign w:val="center"/>
        </w:tcPr>
        <w:p w14:paraId="487005DC" w14:textId="77777777" w:rsidR="00BC058E" w:rsidRDefault="00254EAB">
          <w:pPr>
            <w:pStyle w:val="Zhlav"/>
            <w:tabs>
              <w:tab w:val="center" w:pos="4253"/>
              <w:tab w:val="right" w:pos="9214"/>
            </w:tabs>
            <w:jc w:val="center"/>
          </w:pPr>
          <w:r>
            <w:t>9</w:t>
          </w:r>
        </w:p>
      </w:tc>
      <w:tc>
        <w:tcPr>
          <w:tcW w:w="283" w:type="dxa"/>
          <w:tcBorders>
            <w:top w:val="single" w:sz="4" w:space="0" w:color="000000"/>
            <w:left w:val="single" w:sz="4" w:space="0" w:color="000000"/>
            <w:bottom w:val="single" w:sz="4" w:space="0" w:color="000000"/>
          </w:tcBorders>
          <w:shd w:val="clear" w:color="auto" w:fill="auto"/>
          <w:vAlign w:val="center"/>
        </w:tcPr>
        <w:p w14:paraId="0C9DA7A2" w14:textId="77777777" w:rsidR="00BC058E" w:rsidRDefault="00254EAB">
          <w:pPr>
            <w:pStyle w:val="Zhlav"/>
            <w:tabs>
              <w:tab w:val="center" w:pos="4253"/>
              <w:tab w:val="right" w:pos="9214"/>
            </w:tabs>
            <w:jc w:val="center"/>
          </w:pPr>
          <w:r>
            <w:t>4</w:t>
          </w:r>
        </w:p>
      </w:tc>
      <w:tc>
        <w:tcPr>
          <w:tcW w:w="284" w:type="dxa"/>
          <w:tcBorders>
            <w:top w:val="single" w:sz="4" w:space="0" w:color="000000"/>
            <w:left w:val="single" w:sz="4" w:space="0" w:color="000000"/>
            <w:bottom w:val="single" w:sz="4" w:space="0" w:color="000000"/>
          </w:tcBorders>
          <w:shd w:val="clear" w:color="auto" w:fill="auto"/>
          <w:vAlign w:val="center"/>
        </w:tcPr>
        <w:p w14:paraId="1734BC1C" w14:textId="77777777" w:rsidR="00BC058E" w:rsidRDefault="00254EAB">
          <w:pPr>
            <w:pStyle w:val="Zhlav"/>
            <w:tabs>
              <w:tab w:val="center" w:pos="4253"/>
              <w:tab w:val="right" w:pos="9214"/>
            </w:tabs>
            <w:jc w:val="center"/>
          </w:pPr>
          <w:r>
            <w:rPr>
              <w:rFonts w:ascii="Arial" w:hAnsi="Arial" w:cs="Arial"/>
              <w:sz w:val="22"/>
            </w:rPr>
            <w:t>6</w:t>
          </w:r>
        </w:p>
      </w:tc>
      <w:tc>
        <w:tcPr>
          <w:tcW w:w="3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2131DF" w14:textId="77777777" w:rsidR="00BC058E" w:rsidRDefault="00254EAB">
          <w:pPr>
            <w:pStyle w:val="Zhlav"/>
            <w:tabs>
              <w:tab w:val="center" w:pos="4253"/>
              <w:tab w:val="right" w:pos="9214"/>
            </w:tabs>
            <w:jc w:val="center"/>
          </w:pPr>
          <w:r>
            <w:t>4</w:t>
          </w:r>
        </w:p>
      </w:tc>
    </w:tr>
  </w:tbl>
  <w:p w14:paraId="0A3953E3" w14:textId="77777777" w:rsidR="00BC058E" w:rsidRDefault="00BC058E">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pStyle w:val="Nadpis1"/>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upperLetter"/>
      <w:pStyle w:val="Nadpis10"/>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4"/>
    <w:lvl w:ilvl="0">
      <w:start w:val="1"/>
      <w:numFmt w:val="lowerLetter"/>
      <w:lvlText w:val="%1)"/>
      <w:lvlJc w:val="left"/>
      <w:pPr>
        <w:tabs>
          <w:tab w:val="num" w:pos="0"/>
        </w:tabs>
        <w:ind w:left="720" w:hanging="360"/>
      </w:pPr>
      <w:rPr>
        <w:rFonts w:hint="default"/>
        <w:sz w:val="20"/>
      </w:rPr>
    </w:lvl>
  </w:abstractNum>
  <w:abstractNum w:abstractNumId="3" w15:restartNumberingAfterBreak="0">
    <w:nsid w:val="00000004"/>
    <w:multiLevelType w:val="singleLevel"/>
    <w:tmpl w:val="F8FA257C"/>
    <w:name w:val="WW8Num5"/>
    <w:lvl w:ilvl="0">
      <w:start w:val="1"/>
      <w:numFmt w:val="lowerLetter"/>
      <w:lvlText w:val="%1)"/>
      <w:lvlJc w:val="left"/>
      <w:pPr>
        <w:tabs>
          <w:tab w:val="num" w:pos="644"/>
        </w:tabs>
        <w:ind w:left="644" w:hanging="360"/>
      </w:pPr>
      <w:rPr>
        <w:rFonts w:cs="Times New Roman"/>
        <w:b/>
        <w:sz w:val="20"/>
        <w:szCs w:val="20"/>
      </w:rPr>
    </w:lvl>
  </w:abstractNum>
  <w:abstractNum w:abstractNumId="4" w15:restartNumberingAfterBreak="0">
    <w:nsid w:val="00000005"/>
    <w:multiLevelType w:val="multilevel"/>
    <w:tmpl w:val="00000005"/>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singleLevel"/>
    <w:tmpl w:val="00000006"/>
    <w:name w:val="WW8Num7"/>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00000007"/>
    <w:multiLevelType w:val="multilevel"/>
    <w:tmpl w:val="00000007"/>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588083334">
    <w:abstractNumId w:val="0"/>
  </w:num>
  <w:num w:numId="2" w16cid:durableId="288778454">
    <w:abstractNumId w:val="1"/>
  </w:num>
  <w:num w:numId="3" w16cid:durableId="869420733">
    <w:abstractNumId w:val="2"/>
  </w:num>
  <w:num w:numId="4" w16cid:durableId="2066416453">
    <w:abstractNumId w:val="3"/>
  </w:num>
  <w:num w:numId="5" w16cid:durableId="353188503">
    <w:abstractNumId w:val="4"/>
  </w:num>
  <w:num w:numId="6" w16cid:durableId="1735277879">
    <w:abstractNumId w:val="5"/>
  </w:num>
  <w:num w:numId="7" w16cid:durableId="7875784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402BC"/>
    <w:rsid w:val="00001650"/>
    <w:rsid w:val="000B5477"/>
    <w:rsid w:val="00160165"/>
    <w:rsid w:val="00174825"/>
    <w:rsid w:val="001C0A8E"/>
    <w:rsid w:val="001C2CB6"/>
    <w:rsid w:val="00225B67"/>
    <w:rsid w:val="00243E5E"/>
    <w:rsid w:val="00254EAB"/>
    <w:rsid w:val="00330F01"/>
    <w:rsid w:val="003402BC"/>
    <w:rsid w:val="00342841"/>
    <w:rsid w:val="0038281C"/>
    <w:rsid w:val="005119DF"/>
    <w:rsid w:val="00545E51"/>
    <w:rsid w:val="00582ED5"/>
    <w:rsid w:val="00782881"/>
    <w:rsid w:val="00810DC4"/>
    <w:rsid w:val="00951D77"/>
    <w:rsid w:val="00A26637"/>
    <w:rsid w:val="00B91E28"/>
    <w:rsid w:val="00BC058E"/>
    <w:rsid w:val="00BC4DD1"/>
    <w:rsid w:val="00BE6868"/>
    <w:rsid w:val="00D844C9"/>
    <w:rsid w:val="00E261EB"/>
    <w:rsid w:val="00EE658A"/>
    <w:rsid w:val="00F405FF"/>
    <w:rsid w:val="00FD04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D038829"/>
  <w15:chartTrackingRefBased/>
  <w15:docId w15:val="{DFB87B7C-66C9-4245-91C0-8919F0999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pPr>
    <w:rPr>
      <w:lang w:val="sk-SK" w:eastAsia="zh-CN"/>
    </w:rPr>
  </w:style>
  <w:style w:type="paragraph" w:styleId="Nadpis1">
    <w:name w:val="heading 1"/>
    <w:basedOn w:val="Normln"/>
    <w:next w:val="Normln"/>
    <w:qFormat/>
    <w:pPr>
      <w:keepNext/>
      <w:numPr>
        <w:numId w:val="1"/>
      </w:numPr>
      <w:outlineLvl w:val="0"/>
    </w:pPr>
    <w:rPr>
      <w:b/>
      <w:caps/>
      <w:sz w:val="18"/>
    </w:rPr>
  </w:style>
  <w:style w:type="paragraph" w:styleId="Nadpis2">
    <w:name w:val="heading 2"/>
    <w:basedOn w:val="Normln"/>
    <w:next w:val="Normln"/>
    <w:qFormat/>
    <w:pPr>
      <w:keepNext/>
      <w:outlineLvl w:val="1"/>
    </w:pPr>
    <w:rPr>
      <w:b/>
      <w:sz w:val="18"/>
    </w:rPr>
  </w:style>
  <w:style w:type="paragraph" w:styleId="Nadpis3">
    <w:name w:val="heading 3"/>
    <w:basedOn w:val="Normln"/>
    <w:next w:val="Normln"/>
    <w:qFormat/>
    <w:pPr>
      <w:keepNext/>
      <w:spacing w:before="240" w:after="60"/>
      <w:outlineLvl w:val="2"/>
    </w:pPr>
    <w:rPr>
      <w:rFonts w:ascii="Cambria" w:hAnsi="Cambria" w:cs="Cambria"/>
      <w:b/>
      <w:bCs/>
      <w:sz w:val="26"/>
      <w:szCs w:val="26"/>
    </w:rPr>
  </w:style>
  <w:style w:type="paragraph" w:styleId="Nadpis4">
    <w:name w:val="heading 4"/>
    <w:basedOn w:val="Normln"/>
    <w:next w:val="Normln"/>
    <w:qFormat/>
    <w:pPr>
      <w:keepNext/>
      <w:spacing w:before="240" w:after="60"/>
      <w:outlineLvl w:val="3"/>
    </w:pPr>
    <w:rPr>
      <w:rFonts w:ascii="Arial Narrow" w:hAnsi="Arial Narrow" w:cs="Arial Narrow"/>
      <w:b/>
      <w:bCs/>
      <w:sz w:val="28"/>
      <w:szCs w:val="28"/>
    </w:rPr>
  </w:style>
  <w:style w:type="paragraph" w:styleId="Nadpis5">
    <w:name w:val="heading 5"/>
    <w:basedOn w:val="Normln"/>
    <w:next w:val="Normln"/>
    <w:qFormat/>
    <w:pPr>
      <w:spacing w:before="240" w:after="60"/>
      <w:outlineLvl w:val="4"/>
    </w:pPr>
    <w:rPr>
      <w:rFonts w:ascii="Arial Narrow" w:hAnsi="Arial Narrow" w:cs="Arial Narrow"/>
      <w:b/>
      <w:bCs/>
      <w:i/>
      <w:iCs/>
      <w:sz w:val="26"/>
      <w:szCs w:val="26"/>
    </w:rPr>
  </w:style>
  <w:style w:type="paragraph" w:styleId="Nadpis6">
    <w:name w:val="heading 6"/>
    <w:basedOn w:val="Normln"/>
    <w:next w:val="Normln"/>
    <w:qFormat/>
    <w:pPr>
      <w:spacing w:before="240" w:after="60"/>
      <w:outlineLvl w:val="5"/>
    </w:pPr>
    <w:rPr>
      <w:rFonts w:ascii="Arial Narrow" w:hAnsi="Arial Narrow" w:cs="Arial Narrow"/>
      <w:b/>
      <w:bCs/>
      <w:sz w:val="22"/>
      <w:szCs w:val="22"/>
    </w:rPr>
  </w:style>
  <w:style w:type="paragraph" w:styleId="Nadpis7">
    <w:name w:val="heading 7"/>
    <w:basedOn w:val="Normln"/>
    <w:next w:val="Normln"/>
    <w:qFormat/>
    <w:pPr>
      <w:spacing w:before="240" w:after="60"/>
      <w:outlineLvl w:val="6"/>
    </w:pPr>
    <w:rPr>
      <w:rFonts w:ascii="Arial Narrow" w:hAnsi="Arial Narrow" w:cs="Arial Narrow"/>
      <w:sz w:val="22"/>
      <w:szCs w:val="24"/>
    </w:rPr>
  </w:style>
  <w:style w:type="paragraph" w:styleId="Nadpis8">
    <w:name w:val="heading 8"/>
    <w:basedOn w:val="Normln"/>
    <w:next w:val="Normln"/>
    <w:qFormat/>
    <w:pPr>
      <w:spacing w:before="240" w:after="60"/>
      <w:outlineLvl w:val="7"/>
    </w:pPr>
    <w:rPr>
      <w:rFonts w:ascii="Arial Narrow" w:hAnsi="Arial Narrow" w:cs="Arial Narrow"/>
      <w:i/>
      <w:iCs/>
      <w:sz w:val="22"/>
      <w:szCs w:val="24"/>
    </w:rPr>
  </w:style>
  <w:style w:type="paragraph" w:styleId="Nadpis9">
    <w:name w:val="heading 9"/>
    <w:basedOn w:val="Normln"/>
    <w:next w:val="Normln"/>
    <w:qFormat/>
    <w:pPr>
      <w:spacing w:before="240" w:after="60"/>
      <w:outlineLvl w:val="8"/>
    </w:pPr>
    <w:rPr>
      <w:rFonts w:ascii="Cambria" w:hAnsi="Cambria" w:cs="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Char Char18"/>
    <w:rPr>
      <w:b/>
      <w:caps/>
      <w:sz w:val="18"/>
      <w:lang w:val="sk-SK" w:bidi="ar-SA"/>
    </w:rPr>
  </w:style>
  <w:style w:type="character" w:customStyle="1" w:styleId="CharChar17">
    <w:name w:val="Char Char17"/>
    <w:rPr>
      <w:b/>
      <w:sz w:val="18"/>
      <w:lang w:val="sk-SK" w:bidi="ar-SA"/>
    </w:rPr>
  </w:style>
  <w:style w:type="character" w:customStyle="1" w:styleId="CharChar16">
    <w:name w:val="Char Char16"/>
    <w:rPr>
      <w:rFonts w:ascii="Cambria" w:hAnsi="Cambria" w:cs="Cambria"/>
      <w:b/>
      <w:bCs/>
      <w:sz w:val="26"/>
      <w:szCs w:val="26"/>
      <w:lang w:val="sk-SK" w:bidi="ar-SA"/>
    </w:rPr>
  </w:style>
  <w:style w:type="character" w:customStyle="1" w:styleId="CharChar15">
    <w:name w:val="Char Char15"/>
    <w:rPr>
      <w:rFonts w:ascii="Arial Narrow" w:hAnsi="Arial Narrow" w:cs="Arial Narrow"/>
      <w:b/>
      <w:bCs/>
      <w:sz w:val="28"/>
      <w:szCs w:val="28"/>
      <w:lang w:val="sk-SK" w:bidi="ar-SA"/>
    </w:rPr>
  </w:style>
  <w:style w:type="character" w:customStyle="1" w:styleId="CharChar14">
    <w:name w:val="Char Char14"/>
    <w:rPr>
      <w:rFonts w:ascii="Arial Narrow" w:hAnsi="Arial Narrow" w:cs="Arial Narrow"/>
      <w:b/>
      <w:bCs/>
      <w:i/>
      <w:iCs/>
      <w:sz w:val="26"/>
      <w:szCs w:val="26"/>
      <w:lang w:val="sk-SK" w:bidi="ar-SA"/>
    </w:rPr>
  </w:style>
  <w:style w:type="character" w:customStyle="1" w:styleId="CharChar13">
    <w:name w:val="Char Char13"/>
    <w:rPr>
      <w:rFonts w:ascii="Arial Narrow" w:hAnsi="Arial Narrow" w:cs="Arial Narrow"/>
      <w:b/>
      <w:bCs/>
      <w:sz w:val="22"/>
      <w:szCs w:val="22"/>
      <w:lang w:val="sk-SK" w:bidi="ar-SA"/>
    </w:rPr>
  </w:style>
  <w:style w:type="character" w:customStyle="1" w:styleId="CharChar12">
    <w:name w:val="Char Char12"/>
    <w:rPr>
      <w:rFonts w:ascii="Arial Narrow" w:hAnsi="Arial Narrow" w:cs="Arial Narrow"/>
      <w:sz w:val="22"/>
      <w:szCs w:val="24"/>
      <w:lang w:val="sk-SK" w:bidi="ar-SA"/>
    </w:rPr>
  </w:style>
  <w:style w:type="character" w:customStyle="1" w:styleId="CharChar11">
    <w:name w:val="Char Char11"/>
    <w:rPr>
      <w:rFonts w:ascii="Arial Narrow" w:hAnsi="Arial Narrow" w:cs="Arial Narrow"/>
      <w:i/>
      <w:iCs/>
      <w:sz w:val="22"/>
      <w:szCs w:val="24"/>
      <w:lang w:val="sk-SK" w:bidi="ar-SA"/>
    </w:rPr>
  </w:style>
  <w:style w:type="character" w:customStyle="1" w:styleId="CharChar10">
    <w:name w:val="Char Char10"/>
    <w:rPr>
      <w:rFonts w:ascii="Cambria" w:hAnsi="Cambria" w:cs="Cambria"/>
      <w:sz w:val="22"/>
      <w:szCs w:val="22"/>
      <w:lang w:val="sk-SK" w:bidi="ar-SA"/>
    </w:rPr>
  </w:style>
  <w:style w:type="character" w:customStyle="1" w:styleId="CharChar9">
    <w:name w:val="Char Char9"/>
    <w:rPr>
      <w:lang w:val="sk-SK" w:bidi="ar-SA"/>
    </w:rPr>
  </w:style>
  <w:style w:type="character" w:customStyle="1" w:styleId="CharChar8">
    <w:name w:val="Char Char8"/>
    <w:rPr>
      <w:sz w:val="18"/>
      <w:lang w:val="sk-SK" w:bidi="ar-SA"/>
    </w:rPr>
  </w:style>
  <w:style w:type="character" w:customStyle="1" w:styleId="CharChar7">
    <w:name w:val="Char Char7"/>
    <w:rPr>
      <w:b/>
      <w:bCs/>
      <w:kern w:val="2"/>
      <w:sz w:val="32"/>
      <w:szCs w:val="32"/>
      <w:lang w:bidi="ar-SA"/>
    </w:rPr>
  </w:style>
  <w:style w:type="character" w:customStyle="1" w:styleId="CharChar6">
    <w:name w:val="Char Char6"/>
    <w:rPr>
      <w:lang w:val="sk-SK" w:bidi="ar-SA"/>
    </w:rPr>
  </w:style>
  <w:style w:type="character" w:styleId="slostrnk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Char Char3"/>
    <w:rPr>
      <w:sz w:val="24"/>
      <w:szCs w:val="24"/>
      <w:lang w:bidi="ar-SA"/>
    </w:rPr>
  </w:style>
  <w:style w:type="character" w:customStyle="1" w:styleId="CharChar2">
    <w:name w:val="Char Char2"/>
    <w:rPr>
      <w:sz w:val="24"/>
      <w:szCs w:val="24"/>
      <w:lang w:bidi="ar-SA"/>
    </w:rPr>
  </w:style>
  <w:style w:type="character" w:customStyle="1" w:styleId="CharChar1">
    <w:name w:val="Char Char1"/>
    <w:rPr>
      <w:sz w:val="24"/>
      <w:szCs w:val="24"/>
      <w:lang w:bidi="ar-SA"/>
    </w:rPr>
  </w:style>
  <w:style w:type="character" w:customStyle="1" w:styleId="CharChar">
    <w:name w:val="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
    <w:next w:val="Normln"/>
    <w:pPr>
      <w:keepNext/>
      <w:spacing w:before="280" w:after="220"/>
      <w:jc w:val="center"/>
    </w:pPr>
    <w:rPr>
      <w:b/>
      <w:bCs/>
      <w:kern w:val="2"/>
      <w:sz w:val="32"/>
      <w:szCs w:val="32"/>
    </w:rPr>
  </w:style>
  <w:style w:type="paragraph" w:styleId="Zkladntext">
    <w:name w:val="Body Text"/>
    <w:basedOn w:val="Normln"/>
    <w:pPr>
      <w:ind w:left="426"/>
      <w:jc w:val="both"/>
    </w:pPr>
    <w:rPr>
      <w:sz w:val="18"/>
    </w:rPr>
  </w:style>
  <w:style w:type="paragraph" w:styleId="Seznam">
    <w:name w:val="List"/>
    <w:basedOn w:val="Zkladntext"/>
    <w:rPr>
      <w:rFonts w:cs="Arial"/>
    </w:rPr>
  </w:style>
  <w:style w:type="paragraph" w:styleId="Titulek">
    <w:name w:val="caption"/>
    <w:basedOn w:val="Normln"/>
    <w:qFormat/>
    <w:pPr>
      <w:suppressLineNumbers/>
      <w:spacing w:before="120" w:after="120"/>
    </w:pPr>
    <w:rPr>
      <w:rFonts w:cs="Arial"/>
      <w:i/>
      <w:iCs/>
      <w:sz w:val="24"/>
      <w:szCs w:val="24"/>
    </w:rPr>
  </w:style>
  <w:style w:type="paragraph" w:customStyle="1" w:styleId="Index">
    <w:name w:val="Index"/>
    <w:basedOn w:val="Normln"/>
    <w:pPr>
      <w:suppressLineNumbers/>
    </w:pPr>
    <w:rPr>
      <w:rFonts w:cs="Arial"/>
    </w:rPr>
  </w:style>
  <w:style w:type="paragraph" w:styleId="Normlnweb">
    <w:name w:val="Normal (Web)"/>
    <w:basedOn w:val="Normln"/>
  </w:style>
  <w:style w:type="paragraph" w:customStyle="1" w:styleId="TNR12riad1">
    <w:name w:val="TNR 12 riad1"/>
    <w:basedOn w:val="Normlnweb"/>
    <w:pPr>
      <w:spacing w:before="120" w:after="120"/>
      <w:jc w:val="both"/>
    </w:pPr>
  </w:style>
  <w:style w:type="paragraph" w:styleId="Zhlav">
    <w:name w:val="header"/>
    <w:basedOn w:val="Normln"/>
  </w:style>
  <w:style w:type="paragraph" w:customStyle="1" w:styleId="Pismenka">
    <w:name w:val="Pismenka"/>
    <w:basedOn w:val="Zkladntext"/>
    <w:pPr>
      <w:numPr>
        <w:numId w:val="6"/>
      </w:numPr>
      <w:ind w:left="426" w:hanging="426"/>
    </w:pPr>
    <w:rPr>
      <w:b/>
    </w:rPr>
  </w:style>
  <w:style w:type="paragraph" w:customStyle="1" w:styleId="TopHeader">
    <w:name w:val="Top Header"/>
    <w:basedOn w:val="Normln"/>
    <w:pPr>
      <w:jc w:val="center"/>
    </w:pPr>
    <w:rPr>
      <w:rFonts w:ascii="Arial Narrow" w:hAnsi="Arial Narrow" w:cs="Arial Narrow"/>
      <w:b/>
      <w:bCs/>
      <w:sz w:val="22"/>
      <w:szCs w:val="22"/>
    </w:rPr>
  </w:style>
  <w:style w:type="paragraph" w:styleId="Zpat">
    <w:name w:val="footer"/>
    <w:basedOn w:val="Normln"/>
  </w:style>
  <w:style w:type="paragraph" w:styleId="Textpoznpodarou">
    <w:name w:val="footnote text"/>
    <w:basedOn w:val="Normln"/>
  </w:style>
  <w:style w:type="paragraph" w:styleId="Podnadpis">
    <w:name w:val="Subtitle"/>
    <w:basedOn w:val="Normln"/>
    <w:next w:val="Normln"/>
    <w:qFormat/>
    <w:pPr>
      <w:spacing w:after="60"/>
      <w:jc w:val="center"/>
    </w:pPr>
    <w:rPr>
      <w:rFonts w:ascii="Cambria" w:hAnsi="Cambria" w:cs="Cambria"/>
      <w:sz w:val="24"/>
      <w:szCs w:val="24"/>
    </w:rPr>
  </w:style>
  <w:style w:type="paragraph" w:customStyle="1" w:styleId="Zkladntext21">
    <w:name w:val="Základný text 21"/>
    <w:basedOn w:val="Normln"/>
    <w:pPr>
      <w:ind w:left="2124" w:hanging="2124"/>
      <w:jc w:val="both"/>
    </w:pPr>
    <w:rPr>
      <w:sz w:val="24"/>
      <w:szCs w:val="24"/>
    </w:rPr>
  </w:style>
  <w:style w:type="paragraph" w:customStyle="1" w:styleId="Zarkazkladnhotextu21">
    <w:name w:val="Zarážka základného textu 21"/>
    <w:basedOn w:val="Normln"/>
    <w:pPr>
      <w:ind w:firstLine="708"/>
      <w:jc w:val="both"/>
    </w:pPr>
    <w:rPr>
      <w:sz w:val="24"/>
      <w:szCs w:val="24"/>
    </w:rPr>
  </w:style>
  <w:style w:type="paragraph" w:customStyle="1" w:styleId="Zarkazkladnhotextu31">
    <w:name w:val="Zarážka základného textu 31"/>
    <w:basedOn w:val="Normln"/>
    <w:pPr>
      <w:ind w:left="708" w:firstLine="708"/>
      <w:jc w:val="both"/>
    </w:pPr>
    <w:rPr>
      <w:sz w:val="24"/>
      <w:szCs w:val="24"/>
    </w:rPr>
  </w:style>
  <w:style w:type="paragraph" w:styleId="Textbubliny">
    <w:name w:val="Balloon Text"/>
    <w:basedOn w:val="Normln"/>
    <w:rPr>
      <w:rFonts w:ascii="Tahoma" w:hAnsi="Tahoma" w:cs="Tahoma"/>
      <w:sz w:val="16"/>
      <w:szCs w:val="16"/>
    </w:rPr>
  </w:style>
  <w:style w:type="paragraph" w:customStyle="1" w:styleId="Odsekzoznamu1">
    <w:name w:val="Odsek zoznamu1"/>
    <w:basedOn w:val="Normln"/>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val="sk-SK" w:eastAsia="zh-CN"/>
    </w:rPr>
  </w:style>
  <w:style w:type="paragraph" w:styleId="Odstavecseseznamem">
    <w:name w:val="List Paragraph"/>
    <w:basedOn w:val="Normln"/>
    <w:qFormat/>
    <w:pPr>
      <w:ind w:left="720"/>
      <w:contextualSpacing/>
    </w:pPr>
  </w:style>
  <w:style w:type="paragraph" w:customStyle="1" w:styleId="Obsahtabuky">
    <w:name w:val="Obsah tabuľky"/>
    <w:basedOn w:val="Normln"/>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numId w:val="2"/>
      </w:numPr>
      <w:spacing w:before="60" w:after="60"/>
    </w:pPr>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2087</Words>
  <Characters>11902</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13962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Your User Name</dc:creator>
  <cp:keywords/>
  <cp:lastModifiedBy>Csiba Zsuzsa</cp:lastModifiedBy>
  <cp:revision>8</cp:revision>
  <cp:lastPrinted>2021-03-10T06:52:00Z</cp:lastPrinted>
  <dcterms:created xsi:type="dcterms:W3CDTF">2023-03-30T18:27:00Z</dcterms:created>
  <dcterms:modified xsi:type="dcterms:W3CDTF">2025-03-29T18:11:00Z</dcterms:modified>
</cp:coreProperties>
</file>