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p>
      <w:pPr>
        <w:pStyle w:val="Normal"/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spacing w:before="0" w:after="120"/>
        <w:jc w:val="center"/>
        <w:rPr/>
      </w:pPr>
      <w:r>
        <w:rPr>
          <w:rFonts w:cs="Arial Narrow" w:ascii="Arial Narrow" w:hAnsi="Arial Narrow"/>
          <w:b/>
        </w:rPr>
        <w:t>POZNÁMKY K ÚČTOVNEJ ZÁVIERKE 202</w:t>
      </w:r>
      <w:r>
        <w:rPr>
          <w:rFonts w:cs="Arial Narrow" w:ascii="Arial Narrow" w:hAnsi="Arial Narrow"/>
          <w:b/>
        </w:rPr>
        <w:t>4</w:t>
      </w:r>
    </w:p>
    <w:p>
      <w:pPr>
        <w:pStyle w:val="Normal"/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  <w:rPr/>
      </w:pPr>
      <w:r>
        <w:rPr>
          <w:rFonts w:cs="Arial Narrow" w:ascii="Arial Narrow" w:hAnsi="Arial Narrow"/>
          <w:sz w:val="22"/>
          <w:szCs w:val="22"/>
        </w:rPr>
        <w:t xml:space="preserve">zostavené podľa Opatrenia č.MF/23378/2014-74 (FS č.12/2014), ktorým sa ustanovujú podrobnosti o individuálnej účtovnej závierke a rozsahu údajov určených z individuálnej účtovnej závierky na zverejnenie </w:t>
      </w:r>
    </w:p>
    <w:p>
      <w:pPr>
        <w:pStyle w:val="Normal"/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  <w:rPr/>
      </w:pPr>
      <w:r>
        <w:rPr>
          <w:rFonts w:cs="Arial Narrow" w:ascii="Arial Narrow" w:hAnsi="Arial Narrow"/>
          <w:b/>
          <w:sz w:val="22"/>
          <w:szCs w:val="22"/>
        </w:rPr>
        <w:t>pre malé účtovné jednotky</w:t>
      </w:r>
      <w:r>
        <w:rPr>
          <w:rFonts w:cs="Arial Narrow" w:ascii="Arial Narrow" w:hAnsi="Arial Narrow"/>
          <w:sz w:val="22"/>
          <w:szCs w:val="22"/>
        </w:rPr>
        <w:t xml:space="preserve"> </w:t>
      </w:r>
    </w:p>
    <w:p>
      <w:pPr>
        <w:pStyle w:val="Normal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center"/>
        <w:rPr/>
      </w:pPr>
      <w:r>
        <w:rPr>
          <w:rFonts w:cs="Arial Narrow" w:ascii="Arial Narrow" w:hAnsi="Arial Narrow"/>
          <w:b/>
          <w:sz w:val="22"/>
          <w:szCs w:val="22"/>
          <w:u w:val="single"/>
        </w:rPr>
        <w:t>Článok I – VŠEOBECNÉ INFORMÁCIE</w:t>
      </w:r>
    </w:p>
    <w:p>
      <w:pPr>
        <w:pStyle w:val="Normal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rPr/>
      </w:pPr>
      <w:r>
        <w:rPr>
          <w:rFonts w:cs="Arial Narrow" w:ascii="Arial Narrow" w:hAnsi="Arial Narrow"/>
          <w:sz w:val="22"/>
          <w:szCs w:val="22"/>
        </w:rPr>
        <w:t xml:space="preserve">1) </w:t>
      </w:r>
      <w:r>
        <w:rPr>
          <w:rFonts w:cs="Arial Narrow" w:ascii="Arial Narrow" w:hAnsi="Arial Narrow"/>
          <w:sz w:val="22"/>
          <w:szCs w:val="22"/>
          <w:u w:val="single"/>
        </w:rPr>
        <w:t>Základné informácie o účtovnej jednotke</w:t>
      </w:r>
      <w:r>
        <w:rPr>
          <w:rFonts w:cs="Arial Narrow" w:ascii="Arial Narrow" w:hAnsi="Arial Narrow"/>
          <w:sz w:val="22"/>
          <w:szCs w:val="22"/>
        </w:rPr>
        <w:t>:</w:t>
      </w:r>
    </w:p>
    <w:p>
      <w:pPr>
        <w:pStyle w:val="Normal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tbl>
      <w:tblPr>
        <w:tblW w:w="9765" w:type="dxa"/>
        <w:jc w:val="left"/>
        <w:tblInd w:w="-183" w:type="dxa"/>
        <w:tblLayout w:type="fixed"/>
        <w:tblCellMar>
          <w:top w:w="0" w:type="dxa"/>
          <w:left w:w="5" w:type="dxa"/>
          <w:bottom w:w="0" w:type="dxa"/>
          <w:right w:w="0" w:type="dxa"/>
        </w:tblCellMar>
        <w:tblLook w:firstRow="0" w:noVBand="0" w:lastRow="0" w:firstColumn="0" w:lastColumn="0" w:noHBand="0" w:val="0000"/>
      </w:tblPr>
      <w:tblGrid>
        <w:gridCol w:w="2635"/>
        <w:gridCol w:w="7019"/>
        <w:gridCol w:w="52"/>
        <w:gridCol w:w="58"/>
      </w:tblGrid>
      <w:tr>
        <w:trPr>
          <w:trHeight w:val="231" w:hRule="atLeast"/>
        </w:trPr>
        <w:tc>
          <w:tcPr>
            <w:tcW w:w="2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Obchodné meno: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 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BRANO s.r.o.</w:t>
            </w:r>
          </w:p>
        </w:tc>
        <w:tc>
          <w:tcPr>
            <w:tcW w:w="52" w:type="dxa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  <w:tc>
          <w:tcPr>
            <w:tcW w:w="58" w:type="dxa"/>
            <w:tcBorders/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249" w:hRule="atLeast"/>
        </w:trPr>
        <w:tc>
          <w:tcPr>
            <w:tcW w:w="2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Sídlo: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Valča 356, 038 35</w:t>
            </w:r>
          </w:p>
        </w:tc>
        <w:tc>
          <w:tcPr>
            <w:tcW w:w="52" w:type="dxa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  <w:tc>
          <w:tcPr>
            <w:tcW w:w="58" w:type="dxa"/>
            <w:tcBorders/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25" w:hRule="atLeast"/>
        </w:trPr>
        <w:tc>
          <w:tcPr>
            <w:tcW w:w="2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Právna forma: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Spoločnosť s ručením obmedzeným</w:t>
            </w:r>
          </w:p>
        </w:tc>
        <w:tc>
          <w:tcPr>
            <w:tcW w:w="52" w:type="dxa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  <w:tc>
          <w:tcPr>
            <w:tcW w:w="58" w:type="dxa"/>
            <w:tcBorders/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43" w:hRule="atLeast"/>
        </w:trPr>
        <w:tc>
          <w:tcPr>
            <w:tcW w:w="26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Dátum vzniku:</w:t>
            </w:r>
          </w:p>
        </w:tc>
        <w:tc>
          <w:tcPr>
            <w:tcW w:w="712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Zápis do obchodného registra: 03.01.2014</w:t>
            </w:r>
          </w:p>
        </w:tc>
      </w:tr>
      <w:tr>
        <w:trPr>
          <w:trHeight w:val="175" w:hRule="atLeast"/>
        </w:trPr>
        <w:tc>
          <w:tcPr>
            <w:tcW w:w="26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Hlavný predmet podnikania:</w:t>
            </w:r>
          </w:p>
        </w:tc>
        <w:tc>
          <w:tcPr>
            <w:tcW w:w="712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/>
              <w:t>Zemné práce</w:t>
            </w:r>
          </w:p>
        </w:tc>
      </w:tr>
      <w:tr>
        <w:trPr>
          <w:trHeight w:val="194" w:hRule="atLeast"/>
        </w:trPr>
        <w:tc>
          <w:tcPr>
            <w:tcW w:w="26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Subjekt verejného záujmu:</w:t>
            </w:r>
          </w:p>
        </w:tc>
        <w:tc>
          <w:tcPr>
            <w:tcW w:w="712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 xml:space="preserve">Spoločnosť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 BRANO, s.r.o.</w:t>
            </w:r>
            <w:r>
              <w:rPr>
                <w:rFonts w:cs="Arial Narrow" w:ascii="Arial Narrow" w:hAnsi="Arial Narrow"/>
                <w:sz w:val="22"/>
                <w:szCs w:val="22"/>
              </w:rPr>
              <w:t xml:space="preserve"> nie je subjektom verejného záujmu (§ 2/14 ZoU).</w:t>
            </w:r>
          </w:p>
        </w:tc>
      </w:tr>
      <w:tr>
        <w:trPr>
          <w:trHeight w:val="194" w:hRule="atLeast"/>
        </w:trPr>
        <w:tc>
          <w:tcPr>
            <w:tcW w:w="263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Účtovné obdobie:</w:t>
            </w:r>
          </w:p>
        </w:tc>
        <w:tc>
          <w:tcPr>
            <w:tcW w:w="7129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Kalendárny rok 202</w:t>
            </w:r>
            <w:r>
              <w:rPr>
                <w:rFonts w:cs="Arial Narrow" w:ascii="Arial Narrow" w:hAnsi="Arial Narrow"/>
                <w:sz w:val="22"/>
                <w:szCs w:val="22"/>
              </w:rPr>
              <w:t>4</w:t>
            </w:r>
          </w:p>
        </w:tc>
      </w:tr>
    </w:tbl>
    <w:p>
      <w:pPr>
        <w:pStyle w:val="Normal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ind w:hanging="0" w:right="-425"/>
        <w:jc w:val="both"/>
        <w:rPr/>
      </w:pPr>
      <w:r>
        <w:rPr>
          <w:rFonts w:cs="Arial Narrow" w:ascii="Arial Narrow" w:hAnsi="Arial Narrow"/>
          <w:bCs/>
          <w:sz w:val="22"/>
          <w:szCs w:val="22"/>
          <w:u w:val="single"/>
        </w:rPr>
        <w:t>Test veľkostnej skupiny účtovnej jednotky (2 ZoU)</w:t>
      </w:r>
    </w:p>
    <w:p>
      <w:pPr>
        <w:pStyle w:val="Normal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 xml:space="preserve">(Do veľkostnej skupiny mala účtovná jednotka patrí taká, ktorá za dve po sebe idúce účtovné obdobia spĺňa aspoň dve z troch podmienok – suma netto aktív presiahla 350 000 eura, ale nepresiahla 4 000 000 eur, čistý obrat presiahol 700 000 eur, ale nepresiahol 8 000 000 eur a priemerný prepočítaný počet zamestnancov počas účtovného obdobia presiahol 10, ale nepresiahol 50).  </w:t>
      </w:r>
    </w:p>
    <w:p>
      <w:pPr>
        <w:pStyle w:val="Normal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tbl>
      <w:tblPr>
        <w:tblW w:w="9648" w:type="dxa"/>
        <w:jc w:val="left"/>
        <w:tblInd w:w="-2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2195"/>
        <w:gridCol w:w="2837"/>
        <w:gridCol w:w="3260"/>
        <w:gridCol w:w="1355"/>
      </w:tblGrid>
      <w:tr>
        <w:trPr/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Áno/Nie</w:t>
            </w:r>
          </w:p>
        </w:tc>
      </w:tr>
      <w:tr>
        <w:trPr/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487425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543376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A</w:t>
            </w:r>
          </w:p>
        </w:tc>
      </w:tr>
      <w:tr>
        <w:trPr/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1304132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986263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A</w:t>
            </w:r>
          </w:p>
        </w:tc>
      </w:tr>
      <w:tr>
        <w:trPr/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</w:t>
            </w:r>
          </w:p>
        </w:tc>
      </w:tr>
    </w:tbl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  <w:u w:val="single"/>
        </w:rPr>
        <w:t>Komentár:</w:t>
      </w:r>
      <w:r>
        <w:rPr>
          <w:rFonts w:cs="Arial Narrow" w:ascii="Arial Narrow" w:hAnsi="Arial Narrow"/>
          <w:sz w:val="22"/>
          <w:szCs w:val="22"/>
        </w:rPr>
        <w:t xml:space="preserve"> UJ spĺňa veľkostné podmienky na zatriedenie do veľkostnej skupiny – </w:t>
      </w:r>
      <w:r>
        <w:rPr>
          <w:rFonts w:cs="Arial Narrow" w:ascii="Arial Narrow" w:hAnsi="Arial Narrow"/>
          <w:b/>
          <w:sz w:val="22"/>
          <w:szCs w:val="22"/>
        </w:rPr>
        <w:t xml:space="preserve">malá účtovná jednotka, </w:t>
      </w:r>
      <w:r>
        <w:rPr>
          <w:rFonts w:cs="Arial Narrow" w:ascii="Arial Narrow" w:hAnsi="Arial Narrow"/>
          <w:sz w:val="22"/>
          <w:szCs w:val="22"/>
        </w:rPr>
        <w:t>preto zostavuje účtovnú závierku podľa metodiky pre túto veľkostnú skupinu (Opatrenie č.MF/23378/2014-74).</w:t>
      </w:r>
    </w:p>
    <w:p>
      <w:pPr>
        <w:pStyle w:val="Normal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jc w:val="both"/>
        <w:rPr>
          <w:rFonts w:ascii="Arial Narrow" w:hAnsi="Arial Narrow" w:eastAsia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 xml:space="preserve">2) </w:t>
      </w:r>
      <w:r>
        <w:rPr>
          <w:rFonts w:cs="Arial Narrow" w:ascii="Arial Narrow" w:hAnsi="Arial Narrow"/>
          <w:b/>
          <w:sz w:val="22"/>
          <w:szCs w:val="22"/>
        </w:rPr>
        <w:t>Dátum schválenia účtovnej závierky</w:t>
      </w:r>
      <w:r>
        <w:rPr>
          <w:rFonts w:cs="Arial Narrow" w:ascii="Arial Narrow" w:hAnsi="Arial Narrow"/>
          <w:sz w:val="22"/>
          <w:szCs w:val="22"/>
        </w:rPr>
        <w:t xml:space="preserve"> za bezprostredne predchádzajúce účtovné obdobie príslušným orgánom účtovnej jednotky:</w:t>
      </w:r>
      <w:r>
        <w:rPr>
          <w:rFonts w:eastAsia="Arial Narrow" w:cs="Arial Narrow" w:ascii="Arial Narrow" w:hAnsi="Arial Narrow"/>
          <w:sz w:val="22"/>
          <w:szCs w:val="22"/>
        </w:rPr>
        <w:t xml:space="preserve">  29.</w:t>
      </w:r>
      <w:r>
        <w:rPr>
          <w:rFonts w:eastAsia="Arial Narrow" w:cs="Arial Narrow" w:ascii="Arial Narrow" w:hAnsi="Arial Narrow"/>
          <w:sz w:val="22"/>
          <w:szCs w:val="22"/>
        </w:rPr>
        <w:t>02.2024</w:t>
      </w:r>
    </w:p>
    <w:p>
      <w:pPr>
        <w:pStyle w:val="Normal"/>
        <w:spacing w:before="0" w:after="120"/>
        <w:jc w:val="both"/>
        <w:rPr/>
      </w:pPr>
      <w:r>
        <w:rPr>
          <w:rFonts w:eastAsia="Arial Narrow" w:cs="Arial Narrow" w:ascii="Arial Narrow" w:hAnsi="Arial Narrow"/>
          <w:sz w:val="22"/>
          <w:szCs w:val="22"/>
        </w:rPr>
        <w:t xml:space="preserve"> </w:t>
      </w:r>
    </w:p>
    <w:p>
      <w:pPr>
        <w:pStyle w:val="Normal"/>
        <w:ind w:hanging="0" w:right="-468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3) </w:t>
      </w:r>
      <w:r>
        <w:rPr>
          <w:rFonts w:cs="Arial Narrow" w:ascii="Arial Narrow" w:hAnsi="Arial Narrow"/>
          <w:b/>
          <w:sz w:val="22"/>
          <w:szCs w:val="22"/>
        </w:rPr>
        <w:t>Právny dôvod</w:t>
      </w:r>
      <w:r>
        <w:rPr>
          <w:rFonts w:cs="Arial Narrow" w:ascii="Arial Narrow" w:hAnsi="Arial Narrow"/>
          <w:sz w:val="22"/>
          <w:szCs w:val="22"/>
        </w:rPr>
        <w:t xml:space="preserve"> na zostavenie účtovnej závierky: riadna</w:t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 xml:space="preserve">4) </w:t>
      </w:r>
      <w:r>
        <w:rPr>
          <w:rFonts w:cs="Arial Narrow" w:ascii="Arial Narrow" w:hAnsi="Arial Narrow"/>
          <w:bCs/>
          <w:sz w:val="22"/>
          <w:szCs w:val="22"/>
          <w:u w:val="single"/>
        </w:rPr>
        <w:t>Údaje o skupine</w:t>
      </w:r>
      <w:r>
        <w:rPr>
          <w:rFonts w:cs="Arial Narrow" w:ascii="Arial Narrow" w:hAnsi="Arial Narrow"/>
          <w:bCs/>
          <w:sz w:val="22"/>
          <w:szCs w:val="22"/>
        </w:rPr>
        <w:t xml:space="preserve"> účtovných jednotiek v súvislosti </w:t>
      </w:r>
      <w:r>
        <w:rPr>
          <w:rFonts w:cs="Arial Narrow" w:ascii="Arial Narrow" w:hAnsi="Arial Narrow"/>
          <w:b/>
          <w:bCs/>
          <w:sz w:val="22"/>
          <w:szCs w:val="22"/>
        </w:rPr>
        <w:t>s konsolidáciou</w:t>
      </w:r>
      <w:r>
        <w:rPr>
          <w:rFonts w:cs="Arial Narrow" w:ascii="Arial Narrow" w:hAnsi="Arial Narrow"/>
          <w:bCs/>
          <w:sz w:val="22"/>
          <w:szCs w:val="22"/>
        </w:rPr>
        <w:t>: spoločnosť nie je súčasťou konsolidácie</w:t>
      </w:r>
    </w:p>
    <w:p>
      <w:pPr>
        <w:pStyle w:val="Normal"/>
        <w:ind w:hanging="0" w:left="36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5) </w:t>
      </w:r>
      <w:r>
        <w:rPr>
          <w:rFonts w:cs="Arial Narrow" w:ascii="Arial Narrow" w:hAnsi="Arial Narrow"/>
          <w:sz w:val="22"/>
          <w:szCs w:val="22"/>
          <w:u w:val="single"/>
        </w:rPr>
        <w:t>Priemerný prepočítaný počet zamestnancov účtovnej jednotky</w:t>
      </w:r>
      <w:r>
        <w:rPr>
          <w:rFonts w:cs="Arial Narrow" w:ascii="Arial Narrow" w:hAnsi="Arial Narrow"/>
          <w:sz w:val="22"/>
          <w:szCs w:val="22"/>
        </w:rPr>
        <w:t>:</w:t>
      </w:r>
    </w:p>
    <w:tbl>
      <w:tblPr>
        <w:tblW w:w="9827" w:type="dxa"/>
        <w:jc w:val="left"/>
        <w:tblInd w:w="-4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857"/>
        <w:gridCol w:w="2523"/>
        <w:gridCol w:w="2447"/>
      </w:tblGrid>
      <w:tr>
        <w:trPr>
          <w:trHeight w:val="537" w:hRule="atLeast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hanging="0" w:right="459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>
        <w:trPr>
          <w:trHeight w:val="163" w:hRule="atLeast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Priemerný prepočítaný počet počas účtovného obdobia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 </w:t>
            </w:r>
            <w:r>
              <w:rPr>
                <w:rFonts w:cs="Arial Narrow" w:ascii="Arial Narrow" w:hAnsi="Arial Narrow"/>
                <w:sz w:val="22"/>
                <w:szCs w:val="22"/>
              </w:rPr>
              <w:t>1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 </w:t>
            </w:r>
            <w:r>
              <w:rPr>
                <w:rFonts w:cs="Arial Narrow" w:ascii="Arial Narrow" w:hAnsi="Arial Narrow"/>
                <w:sz w:val="22"/>
                <w:szCs w:val="22"/>
              </w:rPr>
              <w:t>1</w:t>
            </w:r>
          </w:p>
        </w:tc>
      </w:tr>
    </w:tbl>
    <w:p>
      <w:pPr>
        <w:pStyle w:val="Normal"/>
        <w:ind w:hanging="0" w:left="928"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hanging="0"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hanging="0" w:right="-468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Článok II – INFORMÁCIE O ORGÁNOCH SPOLOČNOSTI</w:t>
      </w:r>
    </w:p>
    <w:p>
      <w:pPr>
        <w:pStyle w:val="Normal"/>
        <w:ind w:hanging="0" w:right="-468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cs="Arial Narrow" w:ascii="Arial Narrow" w:hAnsi="Arial Narrow"/>
          <w:bCs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b/>
          <w:bCs/>
          <w:sz w:val="22"/>
          <w:szCs w:val="22"/>
          <w:u w:val="single"/>
        </w:rPr>
        <w:t>Informácie o orgánoch účtovnej jednotky</w:t>
      </w:r>
      <w:r>
        <w:rPr>
          <w:rFonts w:cs="Arial Narrow" w:ascii="Arial Narrow" w:hAnsi="Arial Narrow"/>
          <w:bCs/>
          <w:sz w:val="22"/>
          <w:szCs w:val="22"/>
        </w:rPr>
        <w:t xml:space="preserve"> – štatutárneho orgánu, dozorného orgánu a iného orgánu účtovnej jednotky, pričom sa uvádzajú najmä informácie – o podmienkach a výške jednotlivých druhov záruk alebo iných zabezpečení, o pôžičkách a ich podmienkach (výška úrokov, celková suma pôžičky, suma splatenej pôžičky, suma odpustenej pôžičky), o použití majetku účtovnej jednotky na súkromné účely; v členení na jednotlivé orgány (informácie sa neuvádzajú vtedy, ak by umožnili identifikáciu finančnej situácie konkrétnej fyzickej osoby): nie je náplň pre túto položku</w:t>
      </w:r>
    </w:p>
    <w:tbl>
      <w:tblPr>
        <w:tblW w:w="9794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6312"/>
        <w:gridCol w:w="1701"/>
        <w:gridCol w:w="1781"/>
      </w:tblGrid>
      <w:tr>
        <w:trPr>
          <w:trHeight w:val="780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Orgány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267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44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3"/>
              </w:numPr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61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61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3"/>
              </w:numPr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61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61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3"/>
              </w:numPr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</w:tbl>
    <w:p>
      <w:pPr>
        <w:pStyle w:val="Normal"/>
        <w:ind w:hanging="0" w:right="-468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cs="Arial Narrow" w:ascii="Arial Narrow" w:hAnsi="Arial Narrow"/>
          <w:bCs/>
          <w:sz w:val="22"/>
          <w:szCs w:val="22"/>
        </w:rPr>
      </w:r>
    </w:p>
    <w:p>
      <w:pPr>
        <w:pStyle w:val="Normal"/>
        <w:ind w:hanging="0" w:right="-468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cs="Arial Narrow" w:ascii="Arial Narrow" w:hAnsi="Arial Narrow"/>
          <w:bCs/>
          <w:sz w:val="22"/>
          <w:szCs w:val="22"/>
        </w:rPr>
      </w:r>
    </w:p>
    <w:p>
      <w:pPr>
        <w:pStyle w:val="Normal"/>
        <w:ind w:hanging="0" w:right="-141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  <w:u w:val="single"/>
        </w:rPr>
        <w:t>Článok III – INFORMÁCIE O PRIJATÝCH POSTUPOCH</w:t>
      </w:r>
    </w:p>
    <w:p>
      <w:pPr>
        <w:pStyle w:val="Normal"/>
        <w:ind w:hanging="0"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ind w:hanging="0"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1) Informácia, či je účtovná závierka zostavená za splnenia predpokladu, že účtovná jednotka bude </w:t>
      </w:r>
      <w:r>
        <w:rPr>
          <w:rFonts w:cs="Arial Narrow" w:ascii="Arial Narrow" w:hAnsi="Arial Narrow"/>
          <w:b/>
          <w:sz w:val="22"/>
          <w:szCs w:val="22"/>
        </w:rPr>
        <w:t>nepretržite pokračovať</w:t>
      </w:r>
      <w:r>
        <w:rPr>
          <w:rFonts w:cs="Arial Narrow" w:ascii="Arial Narrow" w:hAnsi="Arial Narrow"/>
          <w:sz w:val="22"/>
          <w:szCs w:val="22"/>
        </w:rPr>
        <w:t xml:space="preserve"> vo svojej činnosti minimálne 12 mesiacov po závierkovom dni v zmysle § 7 ods. 4 zákona o účtovníctve. Ak by tento predpoklad nebol splnený, uvedie sa aj dopad do účtovnej závierky (napr. zrušenie dlhodobých rezerv): Ú</w:t>
      </w:r>
      <w:r>
        <w:rPr>
          <w:rFonts w:eastAsia="Arial Narrow" w:cs="Arial Narrow" w:ascii="Arial Narrow" w:hAnsi="Arial Narrow"/>
          <w:sz w:val="22"/>
          <w:szCs w:val="22"/>
        </w:rPr>
        <w:t xml:space="preserve">čtovná závierka je zostavená za splnenia predpokladu, že účtovná jednotka bude </w:t>
      </w:r>
      <w:r>
        <w:rPr>
          <w:rFonts w:eastAsia="Arial Narrow" w:cs="Arial Narrow" w:ascii="Arial Narrow" w:hAnsi="Arial Narrow"/>
          <w:b/>
          <w:sz w:val="22"/>
          <w:szCs w:val="22"/>
        </w:rPr>
        <w:t>nepretržite pokračovať</w:t>
      </w:r>
      <w:r>
        <w:rPr>
          <w:rFonts w:eastAsia="Arial Narrow" w:cs="Arial Narrow" w:ascii="Arial Narrow" w:hAnsi="Arial Narrow"/>
          <w:sz w:val="22"/>
          <w:szCs w:val="22"/>
        </w:rPr>
        <w:t xml:space="preserve"> vo svojej činnosti minimálne 12 mesiacov po závierkovom dni v zmysle § 7 ods. 4 zákona o účtovníctve.</w:t>
      </w:r>
    </w:p>
    <w:p>
      <w:pPr>
        <w:pStyle w:val="Normal"/>
        <w:ind w:hanging="0" w:right="-141"/>
        <w:jc w:val="both"/>
        <w:rPr/>
      </w:pPr>
      <w:r>
        <w:rPr>
          <w:rFonts w:eastAsia="Arial Narrow" w:cs="Arial Narrow" w:ascii="Arial Narrow" w:hAnsi="Arial Narrow"/>
          <w:sz w:val="22"/>
          <w:szCs w:val="22"/>
        </w:rPr>
        <w:t xml:space="preserve"> </w:t>
      </w:r>
    </w:p>
    <w:p>
      <w:pPr>
        <w:pStyle w:val="Normal"/>
        <w:ind w:hanging="0"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hanging="0"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2) Informácia o aplikácii účtovných zásad a účtovných metód, ktoré sú dôležité na posúdenie majetku, záväzkov, finančnej situácie a výsledku hospodárenia. Informácia </w:t>
      </w:r>
      <w:r>
        <w:rPr>
          <w:rFonts w:cs="Arial Narrow" w:ascii="Arial Narrow" w:hAnsi="Arial Narrow"/>
          <w:b/>
          <w:sz w:val="22"/>
          <w:szCs w:val="22"/>
        </w:rPr>
        <w:t>o zmenách účtovných zásad a zmenách účtovných metód</w:t>
      </w:r>
      <w:r>
        <w:rPr>
          <w:rFonts w:cs="Arial Narrow" w:ascii="Arial Narrow" w:hAnsi="Arial Narrow"/>
          <w:sz w:val="22"/>
          <w:szCs w:val="22"/>
        </w:rPr>
        <w:t xml:space="preserve">, a to s uvedením </w:t>
      </w:r>
      <w:r>
        <w:rPr>
          <w:rFonts w:cs="Arial Narrow" w:ascii="Arial Narrow" w:hAnsi="Arial Narrow"/>
          <w:sz w:val="22"/>
          <w:szCs w:val="22"/>
          <w:u w:val="single"/>
        </w:rPr>
        <w:t>dôvodu</w:t>
      </w:r>
      <w:r>
        <w:rPr>
          <w:rFonts w:cs="Arial Narrow" w:ascii="Arial Narrow" w:hAnsi="Arial Narrow"/>
          <w:sz w:val="22"/>
          <w:szCs w:val="22"/>
        </w:rPr>
        <w:t xml:space="preserve"> ich uplatnenia a ich </w:t>
      </w:r>
      <w:r>
        <w:rPr>
          <w:rFonts w:cs="Arial Narrow" w:ascii="Arial Narrow" w:hAnsi="Arial Narrow"/>
          <w:sz w:val="22"/>
          <w:szCs w:val="22"/>
          <w:u w:val="single"/>
        </w:rPr>
        <w:t>vplyvu na hodnotu</w:t>
      </w:r>
      <w:r>
        <w:rPr>
          <w:rFonts w:cs="Arial Narrow" w:ascii="Arial Narrow" w:hAnsi="Arial Narrow"/>
          <w:sz w:val="22"/>
          <w:szCs w:val="22"/>
        </w:rPr>
        <w:t xml:space="preserve"> majetku, záväzkov, vlastného imania a výsledku hospodárenia. Ak v dôsledku zmeny účtovných zásad a účtovných metód nie sú hodnoty za bezprostredne predchádzajúce účtovné obdobie v jednotlivých súčastiach účtovnej závierky porovnateľné, uvádza sa vysvetlenie v neporovnateľných hodnotách: nie je náplň pre túto položku</w:t>
      </w:r>
    </w:p>
    <w:p>
      <w:pPr>
        <w:pStyle w:val="Normal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hanging="0"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3) Informácie o charaktere a účele </w:t>
      </w:r>
      <w:r>
        <w:rPr>
          <w:rFonts w:cs="Arial Narrow" w:ascii="Arial Narrow" w:hAnsi="Arial Narrow"/>
          <w:b/>
          <w:sz w:val="22"/>
          <w:szCs w:val="22"/>
        </w:rPr>
        <w:t>transakcií, ktoré sa neuvádzajú v súvahe</w:t>
      </w:r>
      <w:r>
        <w:rPr>
          <w:rFonts w:cs="Arial Narrow" w:ascii="Arial Narrow" w:hAnsi="Arial Narrow"/>
          <w:sz w:val="22"/>
          <w:szCs w:val="22"/>
        </w:rPr>
        <w:t xml:space="preserve">, pričom sa uvádza finančný vplyv týchto transakcií na účtovnú jednotku, ak sú </w:t>
      </w:r>
      <w:r>
        <w:rPr>
          <w:rFonts w:cs="Arial Narrow" w:ascii="Arial Narrow" w:hAnsi="Arial Narrow"/>
          <w:sz w:val="22"/>
          <w:szCs w:val="22"/>
          <w:u w:val="single"/>
        </w:rPr>
        <w:t>riziká alebo prínosy</w:t>
      </w:r>
      <w:r>
        <w:rPr>
          <w:rFonts w:cs="Arial Narrow" w:ascii="Arial Narrow" w:hAnsi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časovo limitované licencie a oprávnenia, podnikové kombinácie, záväzky investovať, dopad legislatívy, celkový pokles v hospodárskom segmente):    </w:t>
      </w:r>
      <w:r>
        <w:rPr>
          <w:rFonts w:cs="Arial Narrow" w:ascii="Arial Narrow" w:hAnsi="Arial Narrow"/>
          <w:b/>
          <w:bCs/>
          <w:sz w:val="22"/>
          <w:szCs w:val="22"/>
        </w:rPr>
        <w:t>Po dni účtovnej závierky nenastali udalosti, ktoré by menili údaje v účtovnej závierke 202</w:t>
      </w:r>
      <w:r>
        <w:rPr>
          <w:rFonts w:cs="Arial Narrow" w:ascii="Arial Narrow" w:hAnsi="Arial Narrow"/>
          <w:b/>
          <w:bCs/>
          <w:sz w:val="22"/>
          <w:szCs w:val="22"/>
        </w:rPr>
        <w:t>4</w:t>
      </w:r>
      <w:r>
        <w:rPr>
          <w:rFonts w:cs="Arial Narrow" w:ascii="Arial Narrow" w:hAnsi="Arial Narrow"/>
          <w:b/>
          <w:bCs/>
          <w:sz w:val="22"/>
          <w:szCs w:val="22"/>
        </w:rPr>
        <w:t>.</w:t>
      </w:r>
    </w:p>
    <w:p>
      <w:pPr>
        <w:pStyle w:val="Normal"/>
        <w:ind w:hanging="0"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ind w:hanging="0"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4) </w:t>
      </w:r>
      <w:r>
        <w:rPr>
          <w:rFonts w:cs="Arial Narrow" w:ascii="Arial Narrow" w:hAnsi="Arial Narrow"/>
          <w:b/>
          <w:sz w:val="22"/>
          <w:szCs w:val="22"/>
        </w:rPr>
        <w:t>Spôsob a určenie oceňovania</w:t>
      </w:r>
      <w:r>
        <w:rPr>
          <w:rFonts w:cs="Arial Narrow" w:ascii="Arial Narrow" w:hAnsi="Arial Narrow"/>
          <w:sz w:val="22"/>
          <w:szCs w:val="22"/>
        </w:rPr>
        <w:t xml:space="preserve"> majetku a záväzkov (vrátane rozhodujúcich odhadov):</w:t>
      </w:r>
    </w:p>
    <w:p>
      <w:pPr>
        <w:pStyle w:val="Normal"/>
        <w:ind w:hanging="0"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>a) Spôsob oceňovania majetku a záväzkov (§ 25 ZoU):</w:t>
      </w:r>
    </w:p>
    <w:p>
      <w:pPr>
        <w:pStyle w:val="BodyText"/>
        <w:tabs>
          <w:tab w:val="clear" w:pos="113"/>
          <w:tab w:val="left" w:pos="808" w:leader="none"/>
        </w:tabs>
        <w:ind w:hanging="0" w:left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tbl>
      <w:tblPr>
        <w:tblW w:w="9687" w:type="dxa"/>
        <w:jc w:val="left"/>
        <w:tblInd w:w="-4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706"/>
        <w:gridCol w:w="5299"/>
        <w:gridCol w:w="3682"/>
      </w:tblGrid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1.</w:t>
            </w:r>
          </w:p>
        </w:tc>
        <w:tc>
          <w:tcPr>
            <w:tcW w:w="5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Dlhodobý n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hmotný maj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4.</w:t>
            </w:r>
          </w:p>
        </w:tc>
        <w:tc>
          <w:tcPr>
            <w:tcW w:w="5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12.</w:t>
            </w:r>
          </w:p>
        </w:tc>
        <w:tc>
          <w:tcPr>
            <w:tcW w:w="5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Pohľadávky, z toho</w:t>
            </w: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snapToGrid w:val="false"/>
              <w:ind w:hanging="0" w:left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Vlastné pohľ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d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Kúpené pohľ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d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13.</w:t>
            </w:r>
          </w:p>
        </w:tc>
        <w:tc>
          <w:tcPr>
            <w:tcW w:w="5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K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rá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 xml:space="preserve">tkodobý </w:t>
            </w:r>
            <w:r>
              <w:rPr>
                <w:rFonts w:cs="Arial Narrow" w:ascii="Arial Narrow" w:hAnsi="Arial Narrow"/>
                <w:spacing w:val="-2"/>
                <w:sz w:val="22"/>
                <w:szCs w:val="22"/>
                <w:lang w:val="sk-SK"/>
              </w:rPr>
              <w:t>f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ina</w:t>
            </w:r>
            <w:r>
              <w:rPr>
                <w:rFonts w:cs="Arial Narrow" w:ascii="Arial Narrow" w:hAnsi="Arial Narrow"/>
                <w:spacing w:val="1"/>
                <w:sz w:val="22"/>
                <w:szCs w:val="22"/>
                <w:lang w:val="sk-SK"/>
              </w:rPr>
              <w:t>n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č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ný maj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en-AU" w:eastAsia="sk-SK"/>
              </w:rPr>
              <w:t>Časové rozlíšenie na strane aktív súvahy:</w:t>
            </w: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15.</w:t>
            </w:r>
          </w:p>
        </w:tc>
        <w:tc>
          <w:tcPr>
            <w:tcW w:w="5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en-AU" w:eastAsia="sk-SK"/>
              </w:rPr>
              <w:t>Záväzky, vrátane rezerv, dlhopisov, pôžičiek a úverov:</w:t>
            </w: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16.</w:t>
            </w:r>
          </w:p>
        </w:tc>
        <w:tc>
          <w:tcPr>
            <w:tcW w:w="5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en-AU" w:eastAsia="sk-SK"/>
              </w:rPr>
              <w:t>Časové rozlíšenie na strane pasív súvahy:</w:t>
            </w: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20.</w:t>
            </w:r>
          </w:p>
        </w:tc>
        <w:tc>
          <w:tcPr>
            <w:tcW w:w="5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en-AU" w:eastAsia="sk-SK"/>
              </w:rPr>
              <w:t>Splatná daň z príjmov a odložená daň z príjmov:</w:t>
            </w: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</w:tbl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>b) Trvalé zníženie hodnoty majetku nebolo účtované. Prechodné zníženie hodnoty majetku je zaúčtované formou opravnej položky stanovené odborným odhadom bonity klienta – tvorba OP</w:t>
      </w:r>
      <w:r>
        <w:rPr>
          <w:rFonts w:cs="Arial Narrow" w:ascii="Arial Narrow" w:hAnsi="Arial Narrow"/>
          <w:sz w:val="22"/>
          <w:szCs w:val="22"/>
        </w:rPr>
        <w:t>3195,12</w:t>
      </w:r>
      <w:r>
        <w:rPr>
          <w:rFonts w:cs="Arial Narrow" w:ascii="Arial Narrow" w:hAnsi="Arial Narrow"/>
          <w:sz w:val="22"/>
          <w:szCs w:val="22"/>
        </w:rPr>
        <w:t>€</w:t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>c) Záväzky účtovná jednotka ocenila menovitou hodnotou záväzkov. Rezervy účtovná jednotka ocenila odborným odhadom budúcej menovitej hodnoty potrebnej na ich úhradu. Úprava ZD o výšku neuhr. záväzkov- 1680€ ako PP</w:t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d) Určenie ocenenia </w:t>
      </w:r>
      <w:r>
        <w:rPr>
          <w:rFonts w:cs="Arial Narrow" w:ascii="Arial Narrow" w:hAnsi="Arial Narrow"/>
          <w:sz w:val="22"/>
          <w:szCs w:val="22"/>
          <w:u w:val="single"/>
        </w:rPr>
        <w:t>finančných nástrojov alebo majetku</w:t>
      </w:r>
      <w:r>
        <w:rPr>
          <w:rFonts w:cs="Arial Narrow" w:ascii="Arial Narrow" w:hAnsi="Arial Narrow"/>
          <w:sz w:val="22"/>
          <w:szCs w:val="22"/>
        </w:rPr>
        <w:t xml:space="preserve">, ktorý nie je finančným nástrojom pri oceňovaní </w:t>
      </w:r>
      <w:r>
        <w:rPr>
          <w:rFonts w:cs="Arial Narrow" w:ascii="Arial Narrow" w:hAnsi="Arial Narrow"/>
          <w:b/>
          <w:sz w:val="22"/>
          <w:szCs w:val="22"/>
        </w:rPr>
        <w:t>reálnou hodnotou</w:t>
      </w:r>
      <w:r>
        <w:rPr>
          <w:rFonts w:cs="Arial Narrow" w:ascii="Arial Narrow" w:hAnsi="Arial Narrow"/>
          <w:sz w:val="22"/>
          <w:szCs w:val="22"/>
        </w:rPr>
        <w:t>: nie je náplň pre túto položku</w:t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e) Určenie ocenenia </w:t>
      </w:r>
      <w:r>
        <w:rPr>
          <w:rFonts w:cs="Arial Narrow" w:ascii="Arial Narrow" w:hAnsi="Arial Narrow"/>
          <w:sz w:val="22"/>
          <w:szCs w:val="22"/>
          <w:u w:val="single"/>
        </w:rPr>
        <w:t>finančných nástrojov</w:t>
      </w:r>
      <w:r>
        <w:rPr>
          <w:rFonts w:cs="Arial Narrow" w:ascii="Arial Narrow" w:hAnsi="Arial Narrow"/>
          <w:sz w:val="22"/>
          <w:szCs w:val="22"/>
        </w:rPr>
        <w:t xml:space="preserve"> pri oceňovaní obstarávacou cenou alebo vlastnými nákladmi: nie je náplň pre túto položku</w:t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f) Účtovná jednotka nepoužila dobrovoľné oceňovanie obchodných podielov </w:t>
      </w:r>
      <w:r>
        <w:rPr>
          <w:rFonts w:cs="Arial Narrow" w:ascii="Arial Narrow" w:hAnsi="Arial Narrow"/>
          <w:sz w:val="22"/>
          <w:szCs w:val="22"/>
          <w:u w:val="single"/>
        </w:rPr>
        <w:t>metódou vlastného imania</w:t>
      </w:r>
      <w:r>
        <w:rPr>
          <w:rFonts w:cs="Arial Narrow" w:ascii="Arial Narrow" w:hAnsi="Arial Narrow"/>
          <w:sz w:val="22"/>
          <w:szCs w:val="22"/>
        </w:rPr>
        <w:t xml:space="preserve"> (§ 27/9 ZoU).</w:t>
      </w:r>
    </w:p>
    <w:p>
      <w:pPr>
        <w:pStyle w:val="Heading2"/>
        <w:tabs>
          <w:tab w:val="clear" w:pos="113"/>
          <w:tab w:val="left" w:pos="1005" w:leader="none"/>
        </w:tabs>
        <w:jc w:val="both"/>
        <w:rPr/>
      </w:pP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g) </w:t>
      </w:r>
      <w:r>
        <w:rPr>
          <w:rFonts w:cs="Arial Narrow" w:ascii="Arial Narrow" w:hAnsi="Arial Narrow"/>
          <w:bCs w:val="false"/>
          <w:sz w:val="22"/>
          <w:szCs w:val="22"/>
        </w:rPr>
        <w:t>Tvorba odpisového plánu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pre dlhodobý majetok, pričom sa uvádza doba odpisovania, sadzby odpisov a odpisové metódy pre účtovné odpisy:</w:t>
      </w:r>
    </w:p>
    <w:tbl>
      <w:tblPr>
        <w:tblW w:w="9687" w:type="dxa"/>
        <w:jc w:val="left"/>
        <w:tblInd w:w="-4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218"/>
        <w:gridCol w:w="1013"/>
        <w:gridCol w:w="2107"/>
        <w:gridCol w:w="2348"/>
      </w:tblGrid>
      <w:tr>
        <w:trPr/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Dlhodobý hmotný a nehmotný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odpisovaný majetok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číslo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doba odpisovania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(počet rokov)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 xml:space="preserve">odpisová sadzba 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(%)</w:t>
            </w:r>
          </w:p>
        </w:tc>
      </w:tr>
      <w:tr>
        <w:trPr/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022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4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25</w:t>
            </w:r>
          </w:p>
        </w:tc>
      </w:tr>
      <w:tr>
        <w:trPr/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Sedacia súprava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022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6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16,67</w:t>
            </w:r>
          </w:p>
        </w:tc>
      </w:tr>
      <w:tr>
        <w:trPr/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ebike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022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6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16,67</w:t>
            </w:r>
          </w:p>
        </w:tc>
      </w:tr>
      <w:tr>
        <w:trPr/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</w:tbl>
    <w:p>
      <w:pPr>
        <w:pStyle w:val="Normal"/>
        <w:jc w:val="both"/>
        <w:rPr/>
      </w:pPr>
      <w:r>
        <w:rPr>
          <w:rFonts w:eastAsia="Arial Narrow" w:cs="Arial Narrow" w:ascii="Arial Narrow" w:hAnsi="Arial Narrow"/>
          <w:sz w:val="22"/>
          <w:szCs w:val="22"/>
        </w:rPr>
        <w:t xml:space="preserve"> </w:t>
      </w:r>
    </w:p>
    <w:p>
      <w:pPr>
        <w:pStyle w:val="Normal"/>
        <w:spacing w:before="0" w:after="120"/>
        <w:rPr/>
      </w:pPr>
      <w:r>
        <w:rPr>
          <w:rFonts w:cs="Arial Narrow" w:ascii="Arial Narrow" w:hAnsi="Arial Narrow"/>
          <w:sz w:val="22"/>
          <w:szCs w:val="22"/>
          <w:u w:val="single"/>
        </w:rPr>
        <w:t>Komentár k odpisovému plánu</w:t>
      </w:r>
      <w:r>
        <w:rPr>
          <w:rFonts w:cs="Arial Narrow" w:ascii="Arial Narrow" w:hAnsi="Arial Narrow"/>
          <w:sz w:val="22"/>
          <w:szCs w:val="22"/>
        </w:rPr>
        <w:t xml:space="preserve">: </w:t>
      </w:r>
    </w:p>
    <w:p>
      <w:pPr>
        <w:pStyle w:val="Normal"/>
        <w:numPr>
          <w:ilvl w:val="0"/>
          <w:numId w:val="2"/>
        </w:numPr>
        <w:spacing w:before="0" w:after="120"/>
        <w:ind w:hanging="227" w:left="227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UJ používa </w:t>
      </w:r>
      <w:r>
        <w:rPr>
          <w:rFonts w:cs="Arial Narrow" w:ascii="Arial Narrow" w:hAnsi="Arial Narrow"/>
          <w:sz w:val="22"/>
          <w:szCs w:val="22"/>
          <w:u w:val="single"/>
        </w:rPr>
        <w:t>účtovné odpisy v závislosti na daňových odpisoch</w:t>
      </w:r>
      <w:r>
        <w:rPr>
          <w:rFonts w:cs="Arial Narrow" w:ascii="Arial Narrow" w:hAnsi="Arial Narrow"/>
          <w:sz w:val="22"/>
          <w:szCs w:val="22"/>
        </w:rPr>
        <w:t xml:space="preserve">. Majetok sa začína odpisovať v mesiaci, kedy bol </w:t>
      </w:r>
      <w:r>
        <w:rPr>
          <w:rFonts w:cs="Arial Narrow" w:ascii="Arial Narrow" w:hAnsi="Arial Narrow"/>
          <w:sz w:val="22"/>
          <w:szCs w:val="22"/>
          <w:u w:val="single"/>
        </w:rPr>
        <w:t>zaradený do užívania</w:t>
      </w:r>
      <w:r>
        <w:rPr>
          <w:rFonts w:cs="Arial Narrow" w:ascii="Arial Narrow" w:hAnsi="Arial Narrow"/>
          <w:sz w:val="22"/>
          <w:szCs w:val="22"/>
        </w:rPr>
        <w:t>. Dlhodobý nehmotný majetok sa odpisuje počas 4 rokov od jeho obstarania.</w:t>
      </w:r>
    </w:p>
    <w:p>
      <w:pPr>
        <w:pStyle w:val="Normal"/>
        <w:numPr>
          <w:ilvl w:val="0"/>
          <w:numId w:val="2"/>
        </w:numPr>
        <w:spacing w:before="0" w:after="120"/>
        <w:ind w:hanging="227" w:left="227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UJ používa </w:t>
      </w:r>
      <w:r>
        <w:rPr>
          <w:rFonts w:cs="Arial Narrow" w:ascii="Arial Narrow" w:hAnsi="Arial Narrow"/>
          <w:sz w:val="22"/>
          <w:szCs w:val="22"/>
          <w:u w:val="single"/>
        </w:rPr>
        <w:t>rovnomerné odpisovanie</w:t>
      </w:r>
      <w:r>
        <w:rPr>
          <w:rFonts w:cs="Arial Narrow" w:ascii="Arial Narrow" w:hAnsi="Arial Narrow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MRP (taktiež daňové odpisy podľa zákona o dani z príjmov).</w:t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Heading2"/>
        <w:jc w:val="both"/>
        <w:rPr/>
      </w:pP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h) Informácia </w:t>
      </w:r>
      <w:r>
        <w:rPr>
          <w:rFonts w:cs="Arial Narrow" w:ascii="Arial Narrow" w:hAnsi="Arial Narrow"/>
          <w:bCs w:val="false"/>
          <w:sz w:val="22"/>
          <w:szCs w:val="22"/>
        </w:rPr>
        <w:t>o poskytnutých dotáciách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a pri dotáciách na obstaranie majetku sa uvedú zložky majetku a ich ocenenie: nie je náplň pre túto položku</w:t>
      </w:r>
    </w:p>
    <w:p>
      <w:pPr>
        <w:pStyle w:val="Heading2"/>
        <w:jc w:val="both"/>
        <w:rPr>
          <w:rFonts w:ascii="Arial Narrow" w:hAnsi="Arial Narrow" w:cs="Arial Narrow"/>
          <w:b w:val="false"/>
          <w:bCs w:val="false"/>
          <w:sz w:val="22"/>
          <w:szCs w:val="22"/>
        </w:rPr>
      </w:pPr>
      <w:r>
        <w:rPr>
          <w:rFonts w:cs="Arial Narrow" w:ascii="Arial Narrow" w:hAnsi="Arial Narrow"/>
          <w:b w:val="false"/>
          <w:bCs w:val="false"/>
          <w:sz w:val="22"/>
          <w:szCs w:val="22"/>
        </w:rPr>
      </w:r>
    </w:p>
    <w:p>
      <w:pPr>
        <w:pStyle w:val="Heading2"/>
        <w:jc w:val="both"/>
        <w:rPr/>
      </w:pP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5) </w:t>
      </w:r>
      <w:r>
        <w:rPr>
          <w:rFonts w:cs="Arial Narrow" w:ascii="Arial Narrow" w:hAnsi="Arial Narrow"/>
          <w:bCs w:val="false"/>
          <w:sz w:val="22"/>
          <w:szCs w:val="22"/>
        </w:rPr>
        <w:t xml:space="preserve">Informácie o oprave </w:t>
      </w:r>
      <w:r>
        <w:rPr>
          <w:rFonts w:cs="Arial Narrow" w:ascii="Arial Narrow" w:hAnsi="Arial Narrow"/>
          <w:bCs w:val="false"/>
          <w:sz w:val="22"/>
          <w:szCs w:val="22"/>
          <w:u w:val="single"/>
        </w:rPr>
        <w:t>významných chýb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minulých účtovných období účtovaných v bežnom účtovnom období </w:t>
      </w:r>
      <w:r>
        <w:rPr>
          <w:rFonts w:cs="Arial Narrow" w:ascii="Arial Narrow" w:hAnsi="Arial Narrow"/>
          <w:b w:val="false"/>
          <w:bCs w:val="false"/>
          <w:sz w:val="22"/>
          <w:szCs w:val="22"/>
          <w:u w:val="single"/>
        </w:rPr>
        <w:t>s uvedením sumy vplyvu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na nerozdelený zisk minulých rokov alebo na neuhradenú stratu minulých rokov. Účtovná jednotka môže uviesť aj informácie o oprave </w:t>
      </w:r>
      <w:r>
        <w:rPr>
          <w:rFonts w:cs="Arial Narrow" w:ascii="Arial Narrow" w:hAnsi="Arial Narrow"/>
          <w:b w:val="false"/>
          <w:bCs w:val="false"/>
          <w:sz w:val="22"/>
          <w:szCs w:val="22"/>
          <w:u w:val="single"/>
        </w:rPr>
        <w:t>nevýznamných chýb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minulých účtovných období účtovaných v bežnom účtovnom období s uvedením sumy vplyvu na výsledok hospodárenia bežného účtovného obdobia: nie je náplň pre túto položku.</w:t>
      </w:r>
    </w:p>
    <w:tbl>
      <w:tblPr>
        <w:tblW w:w="9681" w:type="dxa"/>
        <w:jc w:val="left"/>
        <w:tblInd w:w="-4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3073"/>
        <w:gridCol w:w="1042"/>
        <w:gridCol w:w="1039"/>
        <w:gridCol w:w="1926"/>
        <w:gridCol w:w="2601"/>
      </w:tblGrid>
      <w:tr>
        <w:trPr/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20"/>
              <w:ind w:hanging="0" w:right="-471"/>
              <w:rPr/>
            </w:pPr>
            <w:r>
              <w:rPr>
                <w:rFonts w:eastAsia="Arial Narrow" w:cs="Arial Narrow" w:ascii="Arial Narrow" w:hAnsi="Arial Narrow"/>
                <w:b/>
                <w:sz w:val="22"/>
                <w:szCs w:val="22"/>
              </w:rPr>
              <w:t xml:space="preserve">     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20"/>
              <w:ind w:hanging="0" w:right="-471"/>
              <w:rPr/>
            </w:pPr>
            <w:r>
              <w:rPr>
                <w:rFonts w:eastAsia="Arial Narrow" w:cs="Arial Narrow" w:ascii="Arial Narrow" w:hAnsi="Arial Narrow"/>
                <w:b/>
                <w:sz w:val="22"/>
                <w:szCs w:val="22"/>
              </w:rPr>
              <w:t xml:space="preserve"> 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Suma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20"/>
              <w:ind w:hanging="0" w:right="-471"/>
              <w:rPr/>
            </w:pPr>
            <w:r>
              <w:rPr>
                <w:rFonts w:eastAsia="Arial Narrow" w:cs="Arial Narrow" w:ascii="Arial Narrow" w:hAnsi="Arial Narrow"/>
                <w:b/>
                <w:sz w:val="22"/>
                <w:szCs w:val="22"/>
              </w:rPr>
              <w:t xml:space="preserve">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MD/DAL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20"/>
              <w:ind w:hanging="0" w:right="-471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2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20"/>
              <w:ind w:hanging="0" w:right="-471"/>
              <w:rPr/>
            </w:pPr>
            <w:r>
              <w:rPr>
                <w:rFonts w:eastAsia="Arial Narrow" w:cs="Arial Narrow" w:ascii="Arial Narrow" w:hAnsi="Arial Narrow"/>
                <w:b/>
                <w:sz w:val="22"/>
                <w:szCs w:val="22"/>
              </w:rPr>
              <w:t xml:space="preserve">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Vplyv na vlastné imanie</w:t>
            </w:r>
          </w:p>
        </w:tc>
      </w:tr>
      <w:tr>
        <w:trPr/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hanging="0"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hanging="0"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hanging="0"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hanging="0"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hanging="0"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/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hanging="0"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hanging="0"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hanging="0"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hanging="0"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hanging="0"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</w:tbl>
    <w:p>
      <w:pPr>
        <w:pStyle w:val="Normal"/>
        <w:ind w:hanging="0"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hanging="0" w:right="-468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  <w:u w:val="single"/>
        </w:rPr>
        <w:t>Článok IV – INFORMÁCIE, KTORÉ VYSVETĽUJÚ A DOPĹŇAJÚ SÚVAHU A VÝKAZ ZISKOV A STRÁT</w:t>
      </w:r>
    </w:p>
    <w:p>
      <w:pPr>
        <w:pStyle w:val="Normal"/>
        <w:ind w:hanging="0"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1) Dlhodobý nehmotný majetok, ktorým je </w:t>
      </w:r>
      <w:r>
        <w:rPr>
          <w:rFonts w:cs="Arial Narrow" w:ascii="Arial Narrow" w:hAnsi="Arial Narrow"/>
          <w:sz w:val="22"/>
          <w:szCs w:val="22"/>
          <w:u w:val="single"/>
        </w:rPr>
        <w:t>goodwill alebo záporný goodwill</w:t>
      </w:r>
      <w:r>
        <w:rPr>
          <w:rFonts w:cs="Arial Narrow" w:ascii="Arial Narrow" w:hAnsi="Arial Narrow"/>
          <w:b/>
          <w:sz w:val="22"/>
          <w:szCs w:val="22"/>
        </w:rPr>
        <w:t xml:space="preserve"> - </w:t>
      </w:r>
      <w:r>
        <w:rPr>
          <w:rFonts w:cs="Arial Narrow" w:ascii="Arial Narrow" w:hAnsi="Arial Narrow"/>
          <w:sz w:val="22"/>
          <w:szCs w:val="22"/>
        </w:rPr>
        <w:t>dôvod jeho vzniku, spôsob výpočtu a prehodnotenie opodstatnenosti jeho výšky a odpisu jeho hodnoty: nie je náplň pre túto položku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2) Informácie o významných </w:t>
      </w:r>
      <w:r>
        <w:rPr>
          <w:rFonts w:cs="Arial Narrow" w:ascii="Arial Narrow" w:hAnsi="Arial Narrow"/>
          <w:sz w:val="22"/>
          <w:szCs w:val="22"/>
          <w:u w:val="single"/>
        </w:rPr>
        <w:t>položkách derivátov, majetku a záväzkoch zabezpečených derivátmi (§ 16 PU):</w:t>
      </w:r>
      <w:r>
        <w:rPr>
          <w:rFonts w:cs="Arial Narrow" w:ascii="Arial Narrow" w:hAnsi="Arial Narrow"/>
          <w:sz w:val="22"/>
          <w:szCs w:val="22"/>
        </w:rPr>
        <w:t xml:space="preserve"> nie je náplň pre túto položku</w:t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ind w:hanging="0"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3a) Celková suma </w:t>
      </w:r>
      <w:r>
        <w:rPr>
          <w:rFonts w:cs="Arial Narrow" w:ascii="Arial Narrow" w:hAnsi="Arial Narrow"/>
          <w:sz w:val="22"/>
          <w:szCs w:val="22"/>
          <w:u w:val="single"/>
        </w:rPr>
        <w:t>záväzkov so zostatkovou dobou splatnosti dlhšou ako 5 rokov</w:t>
      </w:r>
      <w:r>
        <w:rPr>
          <w:rFonts w:cs="Arial Narrow" w:ascii="Arial Narrow" w:hAnsi="Arial Narrow"/>
          <w:sz w:val="22"/>
          <w:szCs w:val="22"/>
        </w:rPr>
        <w:t xml:space="preserve">:  </w:t>
      </w:r>
    </w:p>
    <w:tbl>
      <w:tblPr>
        <w:tblW w:w="9794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785"/>
        <w:gridCol w:w="2551"/>
        <w:gridCol w:w="2458"/>
      </w:tblGrid>
      <w:tr>
        <w:trPr>
          <w:trHeight w:val="693" w:hRule="atLeast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207" w:hRule="atLeast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rFonts w:cs="Arial Narrow"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2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0</w:t>
            </w:r>
          </w:p>
        </w:tc>
      </w:tr>
    </w:tbl>
    <w:p>
      <w:pPr>
        <w:pStyle w:val="Normal"/>
        <w:spacing w:before="120" w:after="0"/>
        <w:ind w:hanging="0"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>[Vysvetlivky: Zostatková doba splatnosti záväzku alebo jeho časti – je rozdiel medzi dohodnutou dobou splatnosti záväzkov a závierkovým dňom (§ 12 PU).]</w:t>
      </w:r>
    </w:p>
    <w:p>
      <w:pPr>
        <w:pStyle w:val="Normal"/>
        <w:spacing w:before="120" w:after="0"/>
        <w:ind w:hanging="0"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ind w:hanging="0"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3b) Celková suma </w:t>
      </w:r>
      <w:r>
        <w:rPr>
          <w:rFonts w:cs="Arial Narrow" w:ascii="Arial Narrow" w:hAnsi="Arial Narrow"/>
          <w:sz w:val="22"/>
          <w:szCs w:val="22"/>
          <w:u w:val="single"/>
        </w:rPr>
        <w:t>zabezpečených záväzkov</w:t>
      </w:r>
      <w:r>
        <w:rPr>
          <w:rFonts w:cs="Arial Narrow" w:ascii="Arial Narrow" w:hAnsi="Arial Narrow"/>
          <w:sz w:val="22"/>
          <w:szCs w:val="22"/>
        </w:rPr>
        <w:t xml:space="preserve"> – opis a spôsob zabezpečenia záväzkov: úver na nehnuteľnosti </w:t>
      </w:r>
    </w:p>
    <w:tbl>
      <w:tblPr>
        <w:tblW w:w="9718" w:type="dxa"/>
        <w:jc w:val="left"/>
        <w:tblInd w:w="7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4396"/>
        <w:gridCol w:w="2831"/>
        <w:gridCol w:w="2491"/>
      </w:tblGrid>
      <w:tr>
        <w:trPr/>
        <w:tc>
          <w:tcPr>
            <w:tcW w:w="4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Zabezpečené záväzky</w:t>
            </w:r>
          </w:p>
        </w:tc>
        <w:tc>
          <w:tcPr>
            <w:tcW w:w="53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439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snapToGrid w:val="false"/>
              <w:jc w:val="both"/>
              <w:rPr/>
            </w:pPr>
            <w:r>
              <w:rPr/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Spôsob </w:t>
            </w:r>
          </w:p>
          <w:p>
            <w:pPr>
              <w:pStyle w:val="TopHeader"/>
              <w:widowControl w:val="false"/>
              <w:rPr/>
            </w:pPr>
            <w:r>
              <w:rPr/>
              <w:t>zabezpečenia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 záväzkov</w:t>
            </w:r>
          </w:p>
        </w:tc>
      </w:tr>
      <w:tr>
        <w:trPr>
          <w:trHeight w:val="69" w:hRule="atLeast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360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auto" w:line="36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</w:tr>
      <w:tr>
        <w:trPr>
          <w:trHeight w:val="117" w:hRule="atLeast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auto" w:line="360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auto" w:line="36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</w:tr>
      <w:tr>
        <w:trPr>
          <w:trHeight w:val="117" w:hRule="atLeast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360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auto" w:line="36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</w:tr>
    </w:tbl>
    <w:p>
      <w:pPr>
        <w:pStyle w:val="Normal"/>
        <w:ind w:hanging="0"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4) </w:t>
      </w:r>
      <w:r>
        <w:rPr>
          <w:rFonts w:cs="Arial Narrow" w:ascii="Arial Narrow" w:hAnsi="Arial Narrow"/>
          <w:sz w:val="22"/>
          <w:szCs w:val="22"/>
          <w:u w:val="single"/>
        </w:rPr>
        <w:t>Informácie o vlastných akciách</w:t>
      </w:r>
      <w:r>
        <w:rPr>
          <w:rFonts w:cs="Arial Narrow" w:ascii="Arial Narrow" w:hAnsi="Arial Narrow"/>
          <w:sz w:val="22"/>
          <w:szCs w:val="22"/>
        </w:rPr>
        <w:t>: nie je náplň pre túto položku</w:t>
      </w:r>
    </w:p>
    <w:p>
      <w:pPr>
        <w:pStyle w:val="Normal"/>
        <w:spacing w:before="0" w:after="120"/>
        <w:ind w:hanging="0"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  <w:r>
        <w:rPr>
          <w:rFonts w:cs="Arial Narrow" w:ascii="Arial Narrow" w:hAnsi="Arial Narrow"/>
          <w:b/>
          <w:sz w:val="22"/>
          <w:szCs w:val="22"/>
          <w:u w:val="single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5) Informácie o sume a dôvodoch vzniku jednotlivých položiek </w:t>
      </w:r>
      <w:r>
        <w:rPr>
          <w:rFonts w:cs="Arial Narrow" w:ascii="Arial Narrow" w:hAnsi="Arial Narrow"/>
          <w:b/>
          <w:sz w:val="22"/>
          <w:szCs w:val="22"/>
        </w:rPr>
        <w:t>nákladov alebo výnosov</w:t>
      </w:r>
      <w:r>
        <w:rPr>
          <w:rFonts w:cs="Arial Narrow" w:ascii="Arial Narrow" w:hAnsi="Arial Narrow"/>
          <w:sz w:val="22"/>
          <w:szCs w:val="22"/>
        </w:rPr>
        <w:t xml:space="preserve">, ktoré majú </w:t>
      </w:r>
      <w:r>
        <w:rPr>
          <w:rFonts w:cs="Arial Narrow" w:ascii="Arial Narrow" w:hAnsi="Arial Narrow"/>
          <w:sz w:val="22"/>
          <w:szCs w:val="22"/>
          <w:u w:val="single"/>
        </w:rPr>
        <w:t>výnimočný rozsah alebo výskyt</w:t>
      </w:r>
      <w:r>
        <w:rPr>
          <w:rFonts w:cs="Arial Narrow" w:ascii="Arial Narrow" w:hAnsi="Arial Narrow"/>
          <w:sz w:val="22"/>
          <w:szCs w:val="22"/>
        </w:rPr>
        <w:t xml:space="preserve"> (napr. výnosy z predaja podniku alebo jeho časti, náklady z dôvodu predaja podniku alebo jeho časti, škody z dôvodu živelných pohrôm): nie je náplň pre túto položku</w:t>
      </w:r>
    </w:p>
    <w:p>
      <w:pPr>
        <w:pStyle w:val="Normal"/>
        <w:spacing w:before="0" w:after="120"/>
        <w:ind w:hanging="0"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  <w:r>
        <w:rPr>
          <w:rFonts w:cs="Arial Narrow" w:ascii="Arial Narrow" w:hAnsi="Arial Narrow"/>
          <w:b/>
          <w:sz w:val="22"/>
          <w:szCs w:val="22"/>
          <w:u w:val="single"/>
        </w:rPr>
      </w:r>
    </w:p>
    <w:p>
      <w:pPr>
        <w:pStyle w:val="Normal"/>
        <w:spacing w:before="0" w:after="120"/>
        <w:ind w:hanging="0" w:right="-471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Článok V – INFORMÁCIE O INÝCH AKTÍVACH A INÝCH PASÍVACH</w:t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1a) </w:t>
      </w:r>
      <w:r>
        <w:rPr>
          <w:rFonts w:cs="Arial Narrow" w:ascii="Arial Narrow" w:hAnsi="Arial Narrow"/>
          <w:b/>
          <w:sz w:val="22"/>
          <w:szCs w:val="22"/>
          <w:u w:val="single"/>
        </w:rPr>
        <w:t>Podmienený majetok</w:t>
      </w:r>
      <w:r>
        <w:rPr>
          <w:rFonts w:cs="Arial Narrow" w:ascii="Arial Narrow" w:hAnsi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 nie je náplň pre túto položku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1b) </w:t>
      </w:r>
      <w:r>
        <w:rPr>
          <w:rFonts w:cs="Arial Narrow" w:ascii="Arial Narrow" w:hAnsi="Arial Narrow"/>
          <w:b/>
          <w:sz w:val="22"/>
          <w:szCs w:val="22"/>
          <w:u w:val="single"/>
        </w:rPr>
        <w:t>Podmienené záväzky</w:t>
      </w:r>
      <w:r>
        <w:rPr>
          <w:rFonts w:cs="Arial Narrow" w:ascii="Arial Narrow" w:hAnsi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 ručenie za úver na nehnuteľnosti</w:t>
      </w:r>
    </w:p>
    <w:p>
      <w:pPr>
        <w:pStyle w:val="Normal"/>
        <w:numPr>
          <w:ilvl w:val="0"/>
          <w:numId w:val="4"/>
        </w:numPr>
        <w:spacing w:before="0" w:after="120"/>
        <w:ind w:hanging="227" w:left="227"/>
        <w:jc w:val="both"/>
        <w:rPr/>
      </w:pPr>
      <w:r>
        <w:rPr>
          <w:rFonts w:cs="Arial Narrow" w:ascii="Arial Narrow" w:hAnsi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>
      <w:pPr>
        <w:pStyle w:val="Normal"/>
        <w:numPr>
          <w:ilvl w:val="0"/>
          <w:numId w:val="4"/>
        </w:numPr>
        <w:ind w:hanging="227" w:left="227"/>
        <w:jc w:val="both"/>
        <w:rPr/>
      </w:pPr>
      <w:r>
        <w:rPr>
          <w:rFonts w:cs="Arial Narrow" w:ascii="Arial Narrow" w:hAnsi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2) </w:t>
      </w:r>
      <w:r>
        <w:rPr>
          <w:rFonts w:cs="Arial Narrow" w:ascii="Arial Narrow" w:hAnsi="Arial Narrow"/>
          <w:b/>
          <w:sz w:val="22"/>
          <w:szCs w:val="22"/>
          <w:u w:val="single"/>
        </w:rPr>
        <w:t>Ostatné finančné povinnosti</w:t>
      </w:r>
      <w:r>
        <w:rPr>
          <w:rFonts w:cs="Arial Narrow" w:ascii="Arial Narrow" w:hAnsi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 nie je náplň pre túto položku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3) </w:t>
      </w:r>
      <w:r>
        <w:rPr>
          <w:rFonts w:cs="Arial Narrow" w:ascii="Arial Narrow" w:hAnsi="Arial Narrow"/>
          <w:b/>
          <w:sz w:val="22"/>
          <w:szCs w:val="22"/>
          <w:u w:val="single"/>
        </w:rPr>
        <w:t>Podsúvahové účty</w:t>
      </w:r>
      <w:r>
        <w:rPr>
          <w:rFonts w:cs="Arial Narrow" w:ascii="Arial Narrow" w:hAnsi="Arial Narrow"/>
          <w:sz w:val="22"/>
          <w:szCs w:val="22"/>
        </w:rPr>
        <w:t xml:space="preserve"> – uvádzajú sa informácie o významných položkách sledovaných na podsúvahových účtoch (§ 85 PU): nie je náplň pre túto položku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hanging="0"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ind w:hanging="0" w:right="-468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Článok VI – UDALOSTI, KTORÉ NASTALI PO ZÁVIERKOVOM DNI</w:t>
      </w:r>
    </w:p>
    <w:p>
      <w:pPr>
        <w:pStyle w:val="Normal"/>
        <w:ind w:hanging="0" w:right="-468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(Následné udalosti)</w:t>
      </w:r>
    </w:p>
    <w:p>
      <w:pPr>
        <w:pStyle w:val="Normal"/>
        <w:ind w:hanging="0" w:right="-468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>Uvádzajú sa informácie o charaktere a finančnom vplyve významných udalostí, ktoré nastali v čase po závierkovom dni - do dňa zostavenia účtovnej závierky (t.j. do dňa podpísania výkazov podľa § 17/5 ZoU) a ktoré nie sú zohľadnené v súvahe alebo vo výkaze ziskov a strát.</w:t>
      </w:r>
    </w:p>
    <w:p>
      <w:pPr>
        <w:pStyle w:val="Normal"/>
        <w:ind w:hanging="0" w:right="-468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Po dni účtovnej závierky nenastali udalosti, ktoré by menili údaje v účtovnej závierke 202</w:t>
      </w:r>
      <w:r>
        <w:rPr>
          <w:rFonts w:cs="Arial Narrow" w:ascii="Arial Narrow" w:hAnsi="Arial Narrow"/>
          <w:b/>
          <w:bCs/>
          <w:sz w:val="22"/>
          <w:szCs w:val="22"/>
        </w:rPr>
        <w:t>4</w:t>
      </w:r>
      <w:r>
        <w:rPr>
          <w:rFonts w:cs="Arial Narrow" w:ascii="Arial Narrow" w:hAnsi="Arial Narrow"/>
          <w:b/>
          <w:bCs/>
          <w:sz w:val="22"/>
          <w:szCs w:val="22"/>
        </w:rPr>
        <w:t>.</w:t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hanging="0" w:right="-468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ind w:hanging="0" w:right="-468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Článok VII – OSTATNÉ INFORMÁCIE</w:t>
      </w:r>
    </w:p>
    <w:p>
      <w:pPr>
        <w:pStyle w:val="Normal"/>
        <w:ind w:hanging="0"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spacing w:before="0" w:after="120"/>
        <w:ind w:hanging="0" w:right="-471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>1) Informácie o výlučnom práve poskytovať služby vo verejnom záujme: nie je náplň pre túto položku</w:t>
      </w:r>
    </w:p>
    <w:p>
      <w:pPr>
        <w:pStyle w:val="Normal"/>
        <w:spacing w:before="0" w:after="120"/>
        <w:ind w:hanging="0" w:right="-471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>2) Informácie o osobitnej kategórii priemyselnej výroby (§ 23d/6 ZoU): nie je náplň pre túto položku</w:t>
      </w:r>
    </w:p>
    <w:p>
      <w:pPr>
        <w:pStyle w:val="Normal"/>
        <w:spacing w:before="0" w:after="120"/>
        <w:ind w:hanging="0" w:right="-471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>3) Informácie o finančných vzťahoch s orgánmi verejnej moci (§ 23d/6 ZoU): nie je náplň pre túto položku</w:t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1417" w:right="992" w:gutter="0" w:header="567" w:top="1417" w:footer="567" w:bottom="1417"/>
      <w:pgNumType w:fmt="decimal"/>
      <w:formProt w:val="false"/>
      <w:textDirection w:val="lrTb"/>
      <w:docGrid w:type="default"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Wingdings">
    <w:charset w:val="ee"/>
    <w:family w:val="roman"/>
    <w:pitch w:val="variable"/>
  </w:font>
  <w:font w:name="Arial Narrow">
    <w:charset w:val="ee"/>
    <w:family w:val="roman"/>
    <w:pitch w:val="variable"/>
  </w:font>
  <w:font w:name="Courier New">
    <w:charset w:val="ee"/>
    <w:family w:val="roman"/>
    <w:pitch w:val="variable"/>
  </w:font>
  <w:font w:name="Symbol">
    <w:charset w:val="ee"/>
    <w:family w:val="roman"/>
    <w:pitch w:val="variable"/>
  </w:font>
  <w:font w:name="Cambria">
    <w:charset w:val="ee"/>
    <w:family w:val="roman"/>
    <w:pitch w:val="variable"/>
  </w:font>
  <w:font w:name="Arial">
    <w:charset w:val="ee"/>
    <w:family w:val="roman"/>
    <w:pitch w:val="variable"/>
  </w:font>
  <w:font w:name="Wingdings">
    <w:charset w:val="02"/>
    <w:family w:val="auto"/>
    <w:pitch w:val="variable"/>
  </w:font>
  <w:font w:name="Arial Narrow">
    <w:charset w:val="01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right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5</w:t>
    </w:r>
    <w:r>
      <w:rPr/>
      <w:fldChar w:fldCharType="end"/>
    </w:r>
  </w:p>
  <w:p>
    <w:pPr>
      <w:pStyle w:val="Foo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right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5</w:t>
    </w:r>
    <w:r>
      <w:rPr/>
      <w:fldChar w:fldCharType="end"/>
    </w:r>
  </w:p>
  <w:p>
    <w:pPr>
      <w:pStyle w:val="Foo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tabs>
        <w:tab w:val="clear" w:pos="113"/>
        <w:tab w:val="left" w:pos="2990" w:leader="none"/>
        <w:tab w:val="left" w:pos="6348" w:leader="none"/>
      </w:tabs>
      <w:ind w:hanging="0" w:left="-397"/>
      <w:jc w:val="center"/>
      <w:rPr/>
    </w:pPr>
    <w:r>
      <w:rPr>
        <w:rFonts w:cs="Arial" w:ascii="Arial" w:hAnsi="Arial"/>
        <w:sz w:val="22"/>
        <w:szCs w:val="22"/>
        <w:lang w:val="sk-SK"/>
      </w:rPr>
      <w:t>Po</w:t>
    </w:r>
    <w:r>
      <w:rPr>
        <w:rFonts w:cs="Arial" w:ascii="Arial" w:hAnsi="Arial"/>
        <w:spacing w:val="1"/>
        <w:sz w:val="22"/>
        <w:szCs w:val="22"/>
        <w:lang w:val="sk-SK"/>
      </w:rPr>
      <w:t>z</w:t>
    </w:r>
    <w:r>
      <w:rPr>
        <w:rFonts w:cs="Arial" w:ascii="Arial" w:hAnsi="Arial"/>
        <w:sz w:val="22"/>
        <w:szCs w:val="22"/>
        <w:lang w:val="sk-SK"/>
      </w:rPr>
      <w:t>n</w:t>
    </w:r>
    <w:r>
      <w:rPr>
        <w:rFonts w:cs="Arial" w:ascii="Arial" w:hAnsi="Arial"/>
        <w:spacing w:val="-1"/>
        <w:sz w:val="22"/>
        <w:szCs w:val="22"/>
        <w:lang w:val="sk-SK"/>
      </w:rPr>
      <w:t>á</w:t>
    </w:r>
    <w:r>
      <w:rPr>
        <w:rFonts w:cs="Arial" w:ascii="Arial" w:hAnsi="Arial"/>
        <w:sz w:val="22"/>
        <w:szCs w:val="22"/>
        <w:lang w:val="sk-SK"/>
      </w:rPr>
      <w:t>m</w:t>
    </w:r>
    <w:r>
      <w:rPr>
        <w:rFonts w:cs="Arial" w:ascii="Arial" w:hAnsi="Arial"/>
        <w:spacing w:val="2"/>
        <w:sz w:val="22"/>
        <w:szCs w:val="22"/>
        <w:lang w:val="sk-SK"/>
      </w:rPr>
      <w:t>k</w:t>
    </w:r>
    <w:r>
      <w:rPr>
        <w:rFonts w:cs="Arial" w:ascii="Arial" w:hAnsi="Arial"/>
        <w:sz w:val="22"/>
        <w:szCs w:val="22"/>
        <w:lang w:val="sk-SK"/>
      </w:rPr>
      <w:t>y</w:t>
    </w:r>
    <w:r>
      <w:rPr>
        <w:rFonts w:cs="Arial" w:ascii="Arial" w:hAnsi="Arial"/>
        <w:spacing w:val="-8"/>
        <w:sz w:val="22"/>
        <w:szCs w:val="22"/>
        <w:lang w:val="sk-SK"/>
      </w:rPr>
      <w:t xml:space="preserve"> </w:t>
    </w:r>
    <w:r>
      <w:rPr>
        <w:rFonts w:cs="Arial" w:ascii="Arial" w:hAnsi="Arial"/>
        <w:spacing w:val="1"/>
        <w:sz w:val="22"/>
        <w:szCs w:val="22"/>
        <w:lang w:val="sk-SK"/>
      </w:rPr>
      <w:t>Ú</w:t>
    </w:r>
    <w:r>
      <w:rPr>
        <w:rFonts w:cs="Arial" w:ascii="Arial" w:hAnsi="Arial"/>
        <w:sz w:val="22"/>
        <w:szCs w:val="22"/>
        <w:lang w:val="sk-SK"/>
      </w:rPr>
      <w:t>č</w:t>
    </w:r>
    <w:r>
      <w:rPr>
        <w:rFonts w:cs="Arial" w:ascii="Arial" w:hAnsi="Arial"/>
        <w:sz w:val="22"/>
        <w:szCs w:val="22"/>
      </w:rPr>
      <w:t xml:space="preserve"> POD 3 –</w:t>
    </w:r>
    <w:r>
      <w:rPr>
        <w:rFonts w:cs="Arial" w:ascii="Arial" w:hAnsi="Arial"/>
        <w:spacing w:val="-1"/>
        <w:sz w:val="22"/>
        <w:szCs w:val="22"/>
      </w:rPr>
      <w:t xml:space="preserve"> </w:t>
    </w:r>
    <w:r>
      <w:rPr>
        <w:rFonts w:cs="Arial" w:ascii="Arial" w:hAnsi="Arial"/>
        <w:sz w:val="22"/>
        <w:szCs w:val="22"/>
      </w:rPr>
      <w:t xml:space="preserve">01                           </w:t>
    </w:r>
    <w:r>
      <w:rPr>
        <w:rFonts w:cs="Arial" w:ascii="Arial" w:hAnsi="Arial"/>
        <w:spacing w:val="-6"/>
        <w:sz w:val="22"/>
        <w:szCs w:val="22"/>
      </w:rPr>
      <w:t>I</w:t>
    </w:r>
    <w:r>
      <w:rPr>
        <w:rFonts w:cs="Arial" w:ascii="Arial" w:hAnsi="Arial"/>
        <w:sz w:val="22"/>
        <w:szCs w:val="22"/>
      </w:rPr>
      <w:t xml:space="preserve">ČO: 47580330        </w:t>
    </w:r>
    <w:r>
      <w:rPr>
        <w:rFonts w:cs="Arial" w:ascii="Arial" w:hAnsi="Arial"/>
        <w:spacing w:val="1"/>
        <w:sz w:val="22"/>
        <w:szCs w:val="22"/>
      </w:rPr>
      <w:t>D</w:t>
    </w:r>
    <w:r>
      <w:rPr>
        <w:rFonts w:cs="Arial" w:ascii="Arial" w:hAnsi="Arial"/>
        <w:spacing w:val="-6"/>
        <w:sz w:val="22"/>
        <w:szCs w:val="22"/>
      </w:rPr>
      <w:t>I</w:t>
    </w:r>
    <w:r>
      <w:rPr>
        <w:rFonts w:cs="Arial" w:ascii="Arial" w:hAnsi="Arial"/>
        <w:sz w:val="22"/>
        <w:szCs w:val="22"/>
      </w:rPr>
      <w:t>Č: 2024006974</w:t>
    </w:r>
  </w:p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tabs>
        <w:tab w:val="clear" w:pos="113"/>
        <w:tab w:val="left" w:pos="2990" w:leader="none"/>
        <w:tab w:val="left" w:pos="6348" w:leader="none"/>
      </w:tabs>
      <w:ind w:hanging="0" w:left="-397"/>
      <w:jc w:val="center"/>
      <w:rPr/>
    </w:pPr>
    <w:r>
      <w:rPr>
        <w:rFonts w:cs="Arial" w:ascii="Arial" w:hAnsi="Arial"/>
        <w:sz w:val="22"/>
        <w:szCs w:val="22"/>
        <w:lang w:val="sk-SK"/>
      </w:rPr>
      <w:t>Po</w:t>
    </w:r>
    <w:r>
      <w:rPr>
        <w:rFonts w:cs="Arial" w:ascii="Arial" w:hAnsi="Arial"/>
        <w:spacing w:val="1"/>
        <w:sz w:val="22"/>
        <w:szCs w:val="22"/>
        <w:lang w:val="sk-SK"/>
      </w:rPr>
      <w:t>z</w:t>
    </w:r>
    <w:r>
      <w:rPr>
        <w:rFonts w:cs="Arial" w:ascii="Arial" w:hAnsi="Arial"/>
        <w:sz w:val="22"/>
        <w:szCs w:val="22"/>
        <w:lang w:val="sk-SK"/>
      </w:rPr>
      <w:t>n</w:t>
    </w:r>
    <w:r>
      <w:rPr>
        <w:rFonts w:cs="Arial" w:ascii="Arial" w:hAnsi="Arial"/>
        <w:spacing w:val="-1"/>
        <w:sz w:val="22"/>
        <w:szCs w:val="22"/>
        <w:lang w:val="sk-SK"/>
      </w:rPr>
      <w:t>á</w:t>
    </w:r>
    <w:r>
      <w:rPr>
        <w:rFonts w:cs="Arial" w:ascii="Arial" w:hAnsi="Arial"/>
        <w:sz w:val="22"/>
        <w:szCs w:val="22"/>
        <w:lang w:val="sk-SK"/>
      </w:rPr>
      <w:t>m</w:t>
    </w:r>
    <w:r>
      <w:rPr>
        <w:rFonts w:cs="Arial" w:ascii="Arial" w:hAnsi="Arial"/>
        <w:spacing w:val="2"/>
        <w:sz w:val="22"/>
        <w:szCs w:val="22"/>
        <w:lang w:val="sk-SK"/>
      </w:rPr>
      <w:t>k</w:t>
    </w:r>
    <w:r>
      <w:rPr>
        <w:rFonts w:cs="Arial" w:ascii="Arial" w:hAnsi="Arial"/>
        <w:sz w:val="22"/>
        <w:szCs w:val="22"/>
        <w:lang w:val="sk-SK"/>
      </w:rPr>
      <w:t>y</w:t>
    </w:r>
    <w:r>
      <w:rPr>
        <w:rFonts w:cs="Arial" w:ascii="Arial" w:hAnsi="Arial"/>
        <w:spacing w:val="-8"/>
        <w:sz w:val="22"/>
        <w:szCs w:val="22"/>
        <w:lang w:val="sk-SK"/>
      </w:rPr>
      <w:t xml:space="preserve"> </w:t>
    </w:r>
    <w:r>
      <w:rPr>
        <w:rFonts w:cs="Arial" w:ascii="Arial" w:hAnsi="Arial"/>
        <w:spacing w:val="1"/>
        <w:sz w:val="22"/>
        <w:szCs w:val="22"/>
        <w:lang w:val="sk-SK"/>
      </w:rPr>
      <w:t>Ú</w:t>
    </w:r>
    <w:r>
      <w:rPr>
        <w:rFonts w:cs="Arial" w:ascii="Arial" w:hAnsi="Arial"/>
        <w:sz w:val="22"/>
        <w:szCs w:val="22"/>
        <w:lang w:val="sk-SK"/>
      </w:rPr>
      <w:t>č</w:t>
    </w:r>
    <w:r>
      <w:rPr>
        <w:rFonts w:cs="Arial" w:ascii="Arial" w:hAnsi="Arial"/>
        <w:sz w:val="22"/>
        <w:szCs w:val="22"/>
      </w:rPr>
      <w:t xml:space="preserve"> POD 3 –</w:t>
    </w:r>
    <w:r>
      <w:rPr>
        <w:rFonts w:cs="Arial" w:ascii="Arial" w:hAnsi="Arial"/>
        <w:spacing w:val="-1"/>
        <w:sz w:val="22"/>
        <w:szCs w:val="22"/>
      </w:rPr>
      <w:t xml:space="preserve"> </w:t>
    </w:r>
    <w:r>
      <w:rPr>
        <w:rFonts w:cs="Arial" w:ascii="Arial" w:hAnsi="Arial"/>
        <w:sz w:val="22"/>
        <w:szCs w:val="22"/>
      </w:rPr>
      <w:t xml:space="preserve">01                           </w:t>
    </w:r>
    <w:r>
      <w:rPr>
        <w:rFonts w:cs="Arial" w:ascii="Arial" w:hAnsi="Arial"/>
        <w:spacing w:val="-6"/>
        <w:sz w:val="22"/>
        <w:szCs w:val="22"/>
      </w:rPr>
      <w:t>I</w:t>
    </w:r>
    <w:r>
      <w:rPr>
        <w:rFonts w:cs="Arial" w:ascii="Arial" w:hAnsi="Arial"/>
        <w:sz w:val="22"/>
        <w:szCs w:val="22"/>
      </w:rPr>
      <w:t xml:space="preserve">ČO: 47580330        </w:t>
    </w:r>
    <w:r>
      <w:rPr>
        <w:rFonts w:cs="Arial" w:ascii="Arial" w:hAnsi="Arial"/>
        <w:spacing w:val="1"/>
        <w:sz w:val="22"/>
        <w:szCs w:val="22"/>
      </w:rPr>
      <w:t>D</w:t>
    </w:r>
    <w:r>
      <w:rPr>
        <w:rFonts w:cs="Arial" w:ascii="Arial" w:hAnsi="Arial"/>
        <w:spacing w:val="-6"/>
        <w:sz w:val="22"/>
        <w:szCs w:val="22"/>
      </w:rPr>
      <w:t>I</w:t>
    </w:r>
    <w:r>
      <w:rPr>
        <w:rFonts w:cs="Arial" w:ascii="Arial" w:hAnsi="Arial"/>
        <w:sz w:val="22"/>
        <w:szCs w:val="22"/>
      </w:rPr>
      <w:t>Č: 2024006974</w:t>
    </w:r>
  </w:p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Heading1"/>
      <w:numFmt w:val="decimal"/>
      <w:lvlText w:val="§ %1"/>
      <w:lvlJc w:val="center"/>
      <w:pPr>
        <w:tabs>
          <w:tab w:val="num" w:pos="5220"/>
        </w:tabs>
        <w:ind w:left="4500" w:firstLine="360"/>
      </w:pPr>
      <w:rPr>
        <w:smallCaps w:val="false"/>
        <w:caps w:val="false"/>
        <w:dstrike w:val="false"/>
        <w:strike w:val="false"/>
        <w:vertAlign w:val="baseline"/>
        <w:position w:val="0"/>
        <w:sz w:val="24"/>
        <w:sz w:val="24"/>
        <w:spacing w:val="0"/>
        <w:i w:val="false"/>
        <w:u w:val="none"/>
        <w:b w:val="false"/>
        <w:kern w:val="2"/>
        <w:szCs w:val="24"/>
        <w:iCs w:val="false"/>
        <w:bCs w:val="false"/>
        <w:w w:val="100"/>
        <w:vanish w:val="false"/>
        <w:rFonts w:ascii="Times New Roman" w:hAnsi="Times New Roman" w:cs="Times New Roman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 w:hint="default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3">
    <w:lvl w:ilvl="0">
      <w:start w:val="6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 Narrow" w:hAnsi="Arial Narrow" w:cs="Arial Narrow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displayBackgroundShape/>
  <w:embedSystemFonts/>
  <w:defaultTabStop w:val="113"/>
  <w:autoHyphenation w:val="true"/>
  <w:hyphenationZone w:val="425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sk-SK" w:eastAsia="sk-SK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sk-SK" w:eastAsia="zh-CN" w:bidi="ar-SA"/>
    </w:rPr>
  </w:style>
  <w:style w:type="paragraph" w:styleId="Heading1">
    <w:name w:val="Heading 1"/>
    <w:basedOn w:val="Normal"/>
    <w:next w:val="Heading2"/>
    <w:qFormat/>
    <w:pPr>
      <w:keepNext w:val="true"/>
      <w:numPr>
        <w:ilvl w:val="0"/>
        <w:numId w:val="1"/>
      </w:numPr>
      <w:tabs>
        <w:tab w:val="clear" w:pos="113"/>
        <w:tab w:val="left" w:pos="5220" w:leader="none"/>
      </w:tabs>
      <w:spacing w:before="240" w:after="60"/>
      <w:jc w:val="center"/>
      <w:outlineLvl w:val="0"/>
    </w:pPr>
    <w:rPr>
      <w:b/>
      <w:bCs/>
      <w:kern w:val="2"/>
    </w:rPr>
  </w:style>
  <w:style w:type="paragraph" w:styleId="Heading2">
    <w:name w:val="Heading 2"/>
    <w:basedOn w:val="Normal"/>
    <w:next w:val="Normal"/>
    <w:qFormat/>
    <w:pPr>
      <w:keepNext w:val="true"/>
      <w:spacing w:before="0" w:after="120"/>
      <w:jc w:val="center"/>
      <w:outlineLvl w:val="1"/>
    </w:pPr>
    <w:rPr>
      <w:b/>
      <w:bCs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WW8Num1z0" w:customStyle="1">
    <w:name w:val="WW8Num1z0"/>
    <w:qFormat/>
    <w:rPr>
      <w:rFonts w:ascii="Times New Roman" w:hAnsi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0"/>
      <w:spacing w:val="0"/>
      <w:w w:val="100"/>
      <w:kern w:val="2"/>
      <w:position w:val="0"/>
      <w:sz w:val="24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styleId="WW8Num1z1" w:customStyle="1">
    <w:name w:val="WW8Num1z1"/>
    <w:qFormat/>
    <w:rPr/>
  </w:style>
  <w:style w:type="character" w:styleId="WW8Num1z2" w:customStyle="1">
    <w:name w:val="WW8Num1z2"/>
    <w:qFormat/>
    <w:rPr/>
  </w:style>
  <w:style w:type="character" w:styleId="WW8Num1z3" w:customStyle="1">
    <w:name w:val="WW8Num1z3"/>
    <w:qFormat/>
    <w:rPr/>
  </w:style>
  <w:style w:type="character" w:styleId="WW8Num1z4" w:customStyle="1">
    <w:name w:val="WW8Num1z4"/>
    <w:qFormat/>
    <w:rPr/>
  </w:style>
  <w:style w:type="character" w:styleId="WW8Num1z5" w:customStyle="1">
    <w:name w:val="WW8Num1z5"/>
    <w:qFormat/>
    <w:rPr/>
  </w:style>
  <w:style w:type="character" w:styleId="WW8Num1z6" w:customStyle="1">
    <w:name w:val="WW8Num1z6"/>
    <w:qFormat/>
    <w:rPr/>
  </w:style>
  <w:style w:type="character" w:styleId="WW8Num1z7" w:customStyle="1">
    <w:name w:val="WW8Num1z7"/>
    <w:qFormat/>
    <w:rPr/>
  </w:style>
  <w:style w:type="character" w:styleId="WW8Num1z8" w:customStyle="1">
    <w:name w:val="WW8Num1z8"/>
    <w:qFormat/>
    <w:rPr/>
  </w:style>
  <w:style w:type="character" w:styleId="WW8Num2z0" w:customStyle="1">
    <w:name w:val="WW8Num2z0"/>
    <w:qFormat/>
    <w:rPr>
      <w:rFonts w:ascii="Wingdings" w:hAnsi="Wingdings" w:cs="Wingdings"/>
      <w:sz w:val="22"/>
      <w:szCs w:val="22"/>
    </w:rPr>
  </w:style>
  <w:style w:type="character" w:styleId="WW8Num3z0" w:customStyle="1">
    <w:name w:val="WW8Num3z0"/>
    <w:qFormat/>
    <w:rPr>
      <w:rFonts w:ascii="Arial Narrow" w:hAnsi="Arial Narrow" w:cs="Arial Narrow"/>
    </w:rPr>
  </w:style>
  <w:style w:type="character" w:styleId="WW8Num4z0" w:customStyle="1">
    <w:name w:val="WW8Num4z0"/>
    <w:qFormat/>
    <w:rPr/>
  </w:style>
  <w:style w:type="character" w:styleId="WW8Num5z0" w:customStyle="1">
    <w:name w:val="WW8Num5z0"/>
    <w:qFormat/>
    <w:rPr/>
  </w:style>
  <w:style w:type="character" w:styleId="Predvolenpsmoodseku3" w:customStyle="1">
    <w:name w:val="Predvolené písmo odseku3"/>
    <w:qFormat/>
    <w:rPr/>
  </w:style>
  <w:style w:type="character" w:styleId="WW8Num6z0" w:customStyle="1">
    <w:name w:val="WW8Num6z0"/>
    <w:qFormat/>
    <w:rPr>
      <w:rFonts w:ascii="Times New Roman" w:hAnsi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0"/>
      <w:spacing w:val="0"/>
      <w:w w:val="100"/>
      <w:kern w:val="2"/>
      <w:position w:val="0"/>
      <w:sz w:val="24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styleId="WW8Num7z0" w:customStyle="1">
    <w:name w:val="WW8Num7z0"/>
    <w:qFormat/>
    <w:rPr/>
  </w:style>
  <w:style w:type="character" w:styleId="Predvolenpsmoodseku2" w:customStyle="1">
    <w:name w:val="Predvolené písmo odseku2"/>
    <w:qFormat/>
    <w:rPr/>
  </w:style>
  <w:style w:type="character" w:styleId="WW8Num2z1" w:customStyle="1">
    <w:name w:val="WW8Num2z1"/>
    <w:qFormat/>
    <w:rPr>
      <w:rFonts w:ascii="Courier New" w:hAnsi="Courier New" w:cs="Courier New"/>
    </w:rPr>
  </w:style>
  <w:style w:type="character" w:styleId="WW8Num2z3" w:customStyle="1">
    <w:name w:val="WW8Num2z3"/>
    <w:qFormat/>
    <w:rPr>
      <w:rFonts w:ascii="Symbol" w:hAnsi="Symbol" w:cs="Symbol"/>
    </w:rPr>
  </w:style>
  <w:style w:type="character" w:styleId="WW8Num3z1" w:customStyle="1">
    <w:name w:val="WW8Num3z1"/>
    <w:qFormat/>
    <w:rPr>
      <w:rFonts w:ascii="Courier New" w:hAnsi="Courier New" w:cs="Courier New"/>
    </w:rPr>
  </w:style>
  <w:style w:type="character" w:styleId="WW8Num3z3" w:customStyle="1">
    <w:name w:val="WW8Num3z3"/>
    <w:qFormat/>
    <w:rPr>
      <w:rFonts w:ascii="Symbol" w:hAnsi="Symbol" w:cs="Symbol"/>
    </w:rPr>
  </w:style>
  <w:style w:type="character" w:styleId="WW8Num4z1" w:customStyle="1">
    <w:name w:val="WW8Num4z1"/>
    <w:qFormat/>
    <w:rPr/>
  </w:style>
  <w:style w:type="character" w:styleId="WW8Num4z2" w:customStyle="1">
    <w:name w:val="WW8Num4z2"/>
    <w:qFormat/>
    <w:rPr/>
  </w:style>
  <w:style w:type="character" w:styleId="WW8Num4z3" w:customStyle="1">
    <w:name w:val="WW8Num4z3"/>
    <w:qFormat/>
    <w:rPr/>
  </w:style>
  <w:style w:type="character" w:styleId="WW8Num4z4" w:customStyle="1">
    <w:name w:val="WW8Num4z4"/>
    <w:qFormat/>
    <w:rPr/>
  </w:style>
  <w:style w:type="character" w:styleId="WW8Num4z5" w:customStyle="1">
    <w:name w:val="WW8Num4z5"/>
    <w:qFormat/>
    <w:rPr/>
  </w:style>
  <w:style w:type="character" w:styleId="WW8Num4z6" w:customStyle="1">
    <w:name w:val="WW8Num4z6"/>
    <w:qFormat/>
    <w:rPr/>
  </w:style>
  <w:style w:type="character" w:styleId="WW8Num4z7" w:customStyle="1">
    <w:name w:val="WW8Num4z7"/>
    <w:qFormat/>
    <w:rPr/>
  </w:style>
  <w:style w:type="character" w:styleId="WW8Num4z8" w:customStyle="1">
    <w:name w:val="WW8Num4z8"/>
    <w:qFormat/>
    <w:rPr/>
  </w:style>
  <w:style w:type="character" w:styleId="WW8Num5z1" w:customStyle="1">
    <w:name w:val="WW8Num5z1"/>
    <w:qFormat/>
    <w:rPr>
      <w:rFonts w:ascii="Courier New" w:hAnsi="Courier New" w:cs="Courier New"/>
    </w:rPr>
  </w:style>
  <w:style w:type="character" w:styleId="WW8Num5z3" w:customStyle="1">
    <w:name w:val="WW8Num5z3"/>
    <w:qFormat/>
    <w:rPr>
      <w:rFonts w:ascii="Symbol" w:hAnsi="Symbol" w:cs="Symbol"/>
    </w:rPr>
  </w:style>
  <w:style w:type="character" w:styleId="WW8Num6z1" w:customStyle="1">
    <w:name w:val="WW8Num6z1"/>
    <w:qFormat/>
    <w:rPr>
      <w:rFonts w:ascii="Courier New" w:hAnsi="Courier New" w:cs="Courier New"/>
    </w:rPr>
  </w:style>
  <w:style w:type="character" w:styleId="WW8Num6z3" w:customStyle="1">
    <w:name w:val="WW8Num6z3"/>
    <w:qFormat/>
    <w:rPr>
      <w:rFonts w:ascii="Symbol" w:hAnsi="Symbol" w:cs="Symbol"/>
    </w:rPr>
  </w:style>
  <w:style w:type="character" w:styleId="WW8Num7z1" w:customStyle="1">
    <w:name w:val="WW8Num7z1"/>
    <w:qFormat/>
    <w:rPr>
      <w:rFonts w:ascii="Courier New" w:hAnsi="Courier New" w:cs="Courier New"/>
    </w:rPr>
  </w:style>
  <w:style w:type="character" w:styleId="WW8Num7z3" w:customStyle="1">
    <w:name w:val="WW8Num7z3"/>
    <w:qFormat/>
    <w:rPr>
      <w:rFonts w:ascii="Symbol" w:hAnsi="Symbol" w:cs="Symbol"/>
    </w:rPr>
  </w:style>
  <w:style w:type="character" w:styleId="WW8Num8z0" w:customStyle="1">
    <w:name w:val="WW8Num8z0"/>
    <w:qFormat/>
    <w:rPr/>
  </w:style>
  <w:style w:type="character" w:styleId="WW8Num8z1" w:customStyle="1">
    <w:name w:val="WW8Num8z1"/>
    <w:qFormat/>
    <w:rPr/>
  </w:style>
  <w:style w:type="character" w:styleId="WW8Num8z2" w:customStyle="1">
    <w:name w:val="WW8Num8z2"/>
    <w:qFormat/>
    <w:rPr/>
  </w:style>
  <w:style w:type="character" w:styleId="WW8Num8z3" w:customStyle="1">
    <w:name w:val="WW8Num8z3"/>
    <w:qFormat/>
    <w:rPr/>
  </w:style>
  <w:style w:type="character" w:styleId="WW8Num8z4" w:customStyle="1">
    <w:name w:val="WW8Num8z4"/>
    <w:qFormat/>
    <w:rPr/>
  </w:style>
  <w:style w:type="character" w:styleId="WW8Num8z5" w:customStyle="1">
    <w:name w:val="WW8Num8z5"/>
    <w:qFormat/>
    <w:rPr/>
  </w:style>
  <w:style w:type="character" w:styleId="WW8Num8z6" w:customStyle="1">
    <w:name w:val="WW8Num8z6"/>
    <w:qFormat/>
    <w:rPr/>
  </w:style>
  <w:style w:type="character" w:styleId="WW8Num8z7" w:customStyle="1">
    <w:name w:val="WW8Num8z7"/>
    <w:qFormat/>
    <w:rPr/>
  </w:style>
  <w:style w:type="character" w:styleId="WW8Num8z8" w:customStyle="1">
    <w:name w:val="WW8Num8z8"/>
    <w:qFormat/>
    <w:rPr/>
  </w:style>
  <w:style w:type="character" w:styleId="WW8Num9z0" w:customStyle="1">
    <w:name w:val="WW8Num9z0"/>
    <w:qFormat/>
    <w:rPr/>
  </w:style>
  <w:style w:type="character" w:styleId="WW8Num9z1" w:customStyle="1">
    <w:name w:val="WW8Num9z1"/>
    <w:qFormat/>
    <w:rPr/>
  </w:style>
  <w:style w:type="character" w:styleId="WW8Num9z2" w:customStyle="1">
    <w:name w:val="WW8Num9z2"/>
    <w:qFormat/>
    <w:rPr/>
  </w:style>
  <w:style w:type="character" w:styleId="WW8Num9z3" w:customStyle="1">
    <w:name w:val="WW8Num9z3"/>
    <w:qFormat/>
    <w:rPr/>
  </w:style>
  <w:style w:type="character" w:styleId="WW8Num9z4" w:customStyle="1">
    <w:name w:val="WW8Num9z4"/>
    <w:qFormat/>
    <w:rPr/>
  </w:style>
  <w:style w:type="character" w:styleId="WW8Num9z5" w:customStyle="1">
    <w:name w:val="WW8Num9z5"/>
    <w:qFormat/>
    <w:rPr/>
  </w:style>
  <w:style w:type="character" w:styleId="WW8Num9z6" w:customStyle="1">
    <w:name w:val="WW8Num9z6"/>
    <w:qFormat/>
    <w:rPr/>
  </w:style>
  <w:style w:type="character" w:styleId="WW8Num9z7" w:customStyle="1">
    <w:name w:val="WW8Num9z7"/>
    <w:qFormat/>
    <w:rPr/>
  </w:style>
  <w:style w:type="character" w:styleId="WW8Num9z8" w:customStyle="1">
    <w:name w:val="WW8Num9z8"/>
    <w:qFormat/>
    <w:rPr/>
  </w:style>
  <w:style w:type="character" w:styleId="WW8Num10z0" w:customStyle="1">
    <w:name w:val="WW8Num10z0"/>
    <w:qFormat/>
    <w:rPr>
      <w:rFonts w:ascii="Arial Narrow" w:hAnsi="Arial Narrow" w:eastAsia="Times New Roman" w:cs="Arial Narrow"/>
    </w:rPr>
  </w:style>
  <w:style w:type="character" w:styleId="WW8Num10z1" w:customStyle="1">
    <w:name w:val="WW8Num10z1"/>
    <w:qFormat/>
    <w:rPr>
      <w:rFonts w:ascii="Courier New" w:hAnsi="Courier New" w:cs="Courier New"/>
    </w:rPr>
  </w:style>
  <w:style w:type="character" w:styleId="WW8Num10z2" w:customStyle="1">
    <w:name w:val="WW8Num10z2"/>
    <w:qFormat/>
    <w:rPr>
      <w:rFonts w:ascii="Wingdings" w:hAnsi="Wingdings" w:cs="Wingdings"/>
    </w:rPr>
  </w:style>
  <w:style w:type="character" w:styleId="WW8Num10z3" w:customStyle="1">
    <w:name w:val="WW8Num10z3"/>
    <w:qFormat/>
    <w:rPr>
      <w:rFonts w:ascii="Symbol" w:hAnsi="Symbol" w:cs="Symbol"/>
    </w:rPr>
  </w:style>
  <w:style w:type="character" w:styleId="WW8Num11z0" w:customStyle="1">
    <w:name w:val="WW8Num11z0"/>
    <w:qFormat/>
    <w:rPr>
      <w:rFonts w:ascii="Wingdings" w:hAnsi="Wingdings" w:cs="Wingdings"/>
    </w:rPr>
  </w:style>
  <w:style w:type="character" w:styleId="WW8Num11z1" w:customStyle="1">
    <w:name w:val="WW8Num11z1"/>
    <w:qFormat/>
    <w:rPr>
      <w:rFonts w:ascii="Courier New" w:hAnsi="Courier New" w:cs="Courier New"/>
    </w:rPr>
  </w:style>
  <w:style w:type="character" w:styleId="WW8Num11z3" w:customStyle="1">
    <w:name w:val="WW8Num11z3"/>
    <w:qFormat/>
    <w:rPr>
      <w:rFonts w:ascii="Symbol" w:hAnsi="Symbol" w:cs="Symbol"/>
    </w:rPr>
  </w:style>
  <w:style w:type="character" w:styleId="WW8Num12z0" w:customStyle="1">
    <w:name w:val="WW8Num12z0"/>
    <w:qFormat/>
    <w:rPr>
      <w:rFonts w:ascii="Times New Roman" w:hAnsi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0"/>
      <w:spacing w:val="0"/>
      <w:w w:val="100"/>
      <w:kern w:val="2"/>
      <w:position w:val="0"/>
      <w:sz w:val="24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styleId="WW8Num12z1" w:customStyle="1">
    <w:name w:val="WW8Num12z1"/>
    <w:qFormat/>
    <w:rPr/>
  </w:style>
  <w:style w:type="character" w:styleId="WW8Num12z2" w:customStyle="1">
    <w:name w:val="WW8Num12z2"/>
    <w:qFormat/>
    <w:rPr/>
  </w:style>
  <w:style w:type="character" w:styleId="WW8Num12z3" w:customStyle="1">
    <w:name w:val="WW8Num12z3"/>
    <w:qFormat/>
    <w:rPr/>
  </w:style>
  <w:style w:type="character" w:styleId="WW8Num12z4" w:customStyle="1">
    <w:name w:val="WW8Num12z4"/>
    <w:qFormat/>
    <w:rPr/>
  </w:style>
  <w:style w:type="character" w:styleId="WW8Num12z5" w:customStyle="1">
    <w:name w:val="WW8Num12z5"/>
    <w:qFormat/>
    <w:rPr/>
  </w:style>
  <w:style w:type="character" w:styleId="WW8Num12z6" w:customStyle="1">
    <w:name w:val="WW8Num12z6"/>
    <w:qFormat/>
    <w:rPr/>
  </w:style>
  <w:style w:type="character" w:styleId="WW8Num12z7" w:customStyle="1">
    <w:name w:val="WW8Num12z7"/>
    <w:qFormat/>
    <w:rPr/>
  </w:style>
  <w:style w:type="character" w:styleId="WW8Num12z8" w:customStyle="1">
    <w:name w:val="WW8Num12z8"/>
    <w:qFormat/>
    <w:rPr/>
  </w:style>
  <w:style w:type="character" w:styleId="WW8Num13z0" w:customStyle="1">
    <w:name w:val="WW8Num13z0"/>
    <w:qFormat/>
    <w:rPr/>
  </w:style>
  <w:style w:type="character" w:styleId="WW8Num13z1" w:customStyle="1">
    <w:name w:val="WW8Num13z1"/>
    <w:qFormat/>
    <w:rPr/>
  </w:style>
  <w:style w:type="character" w:styleId="WW8Num13z2" w:customStyle="1">
    <w:name w:val="WW8Num13z2"/>
    <w:qFormat/>
    <w:rPr/>
  </w:style>
  <w:style w:type="character" w:styleId="WW8Num13z3" w:customStyle="1">
    <w:name w:val="WW8Num13z3"/>
    <w:qFormat/>
    <w:rPr/>
  </w:style>
  <w:style w:type="character" w:styleId="WW8Num13z4" w:customStyle="1">
    <w:name w:val="WW8Num13z4"/>
    <w:qFormat/>
    <w:rPr/>
  </w:style>
  <w:style w:type="character" w:styleId="WW8Num13z5" w:customStyle="1">
    <w:name w:val="WW8Num13z5"/>
    <w:qFormat/>
    <w:rPr/>
  </w:style>
  <w:style w:type="character" w:styleId="WW8Num13z6" w:customStyle="1">
    <w:name w:val="WW8Num13z6"/>
    <w:qFormat/>
    <w:rPr/>
  </w:style>
  <w:style w:type="character" w:styleId="WW8Num13z7" w:customStyle="1">
    <w:name w:val="WW8Num13z7"/>
    <w:qFormat/>
    <w:rPr/>
  </w:style>
  <w:style w:type="character" w:styleId="WW8Num13z8" w:customStyle="1">
    <w:name w:val="WW8Num13z8"/>
    <w:qFormat/>
    <w:rPr/>
  </w:style>
  <w:style w:type="character" w:styleId="WW8Num14z0" w:customStyle="1">
    <w:name w:val="WW8Num14z0"/>
    <w:qFormat/>
    <w:rPr>
      <w:rFonts w:ascii="Wingdings" w:hAnsi="Wingdings" w:cs="Wingdings"/>
    </w:rPr>
  </w:style>
  <w:style w:type="character" w:styleId="WW8Num14z1" w:customStyle="1">
    <w:name w:val="WW8Num14z1"/>
    <w:qFormat/>
    <w:rPr>
      <w:rFonts w:ascii="Courier New" w:hAnsi="Courier New" w:cs="Courier New"/>
    </w:rPr>
  </w:style>
  <w:style w:type="character" w:styleId="WW8Num14z3" w:customStyle="1">
    <w:name w:val="WW8Num14z3"/>
    <w:qFormat/>
    <w:rPr>
      <w:rFonts w:ascii="Symbol" w:hAnsi="Symbol" w:cs="Symbol"/>
    </w:rPr>
  </w:style>
  <w:style w:type="character" w:styleId="WW8Num15z0" w:customStyle="1">
    <w:name w:val="WW8Num15z0"/>
    <w:qFormat/>
    <w:rPr/>
  </w:style>
  <w:style w:type="character" w:styleId="WW8Num15z1" w:customStyle="1">
    <w:name w:val="WW8Num15z1"/>
    <w:qFormat/>
    <w:rPr/>
  </w:style>
  <w:style w:type="character" w:styleId="WW8Num15z2" w:customStyle="1">
    <w:name w:val="WW8Num15z2"/>
    <w:qFormat/>
    <w:rPr/>
  </w:style>
  <w:style w:type="character" w:styleId="WW8Num15z3" w:customStyle="1">
    <w:name w:val="WW8Num15z3"/>
    <w:qFormat/>
    <w:rPr/>
  </w:style>
  <w:style w:type="character" w:styleId="WW8Num15z4" w:customStyle="1">
    <w:name w:val="WW8Num15z4"/>
    <w:qFormat/>
    <w:rPr/>
  </w:style>
  <w:style w:type="character" w:styleId="WW8Num15z5" w:customStyle="1">
    <w:name w:val="WW8Num15z5"/>
    <w:qFormat/>
    <w:rPr/>
  </w:style>
  <w:style w:type="character" w:styleId="WW8Num15z6" w:customStyle="1">
    <w:name w:val="WW8Num15z6"/>
    <w:qFormat/>
    <w:rPr/>
  </w:style>
  <w:style w:type="character" w:styleId="WW8Num15z7" w:customStyle="1">
    <w:name w:val="WW8Num15z7"/>
    <w:qFormat/>
    <w:rPr/>
  </w:style>
  <w:style w:type="character" w:styleId="WW8Num15z8" w:customStyle="1">
    <w:name w:val="WW8Num15z8"/>
    <w:qFormat/>
    <w:rPr/>
  </w:style>
  <w:style w:type="character" w:styleId="WW8Num16z0" w:customStyle="1">
    <w:name w:val="WW8Num16z0"/>
    <w:qFormat/>
    <w:rPr>
      <w:rFonts w:ascii="Wingdings" w:hAnsi="Wingdings" w:cs="Wingdings"/>
    </w:rPr>
  </w:style>
  <w:style w:type="character" w:styleId="WW8Num16z1" w:customStyle="1">
    <w:name w:val="WW8Num16z1"/>
    <w:qFormat/>
    <w:rPr>
      <w:rFonts w:ascii="Courier New" w:hAnsi="Courier New" w:cs="Courier New"/>
    </w:rPr>
  </w:style>
  <w:style w:type="character" w:styleId="WW8Num16z3" w:customStyle="1">
    <w:name w:val="WW8Num16z3"/>
    <w:qFormat/>
    <w:rPr>
      <w:rFonts w:ascii="Symbol" w:hAnsi="Symbol" w:cs="Symbol"/>
    </w:rPr>
  </w:style>
  <w:style w:type="character" w:styleId="WW8Num17z0" w:customStyle="1">
    <w:name w:val="WW8Num17z0"/>
    <w:qFormat/>
    <w:rPr/>
  </w:style>
  <w:style w:type="character" w:styleId="WW8Num17z1" w:customStyle="1">
    <w:name w:val="WW8Num17z1"/>
    <w:qFormat/>
    <w:rPr/>
  </w:style>
  <w:style w:type="character" w:styleId="WW8Num17z2" w:customStyle="1">
    <w:name w:val="WW8Num17z2"/>
    <w:qFormat/>
    <w:rPr/>
  </w:style>
  <w:style w:type="character" w:styleId="WW8Num17z3" w:customStyle="1">
    <w:name w:val="WW8Num17z3"/>
    <w:qFormat/>
    <w:rPr/>
  </w:style>
  <w:style w:type="character" w:styleId="WW8Num17z4" w:customStyle="1">
    <w:name w:val="WW8Num17z4"/>
    <w:qFormat/>
    <w:rPr/>
  </w:style>
  <w:style w:type="character" w:styleId="WW8Num17z5" w:customStyle="1">
    <w:name w:val="WW8Num17z5"/>
    <w:qFormat/>
    <w:rPr/>
  </w:style>
  <w:style w:type="character" w:styleId="WW8Num17z6" w:customStyle="1">
    <w:name w:val="WW8Num17z6"/>
    <w:qFormat/>
    <w:rPr/>
  </w:style>
  <w:style w:type="character" w:styleId="WW8Num17z7" w:customStyle="1">
    <w:name w:val="WW8Num17z7"/>
    <w:qFormat/>
    <w:rPr/>
  </w:style>
  <w:style w:type="character" w:styleId="WW8Num17z8" w:customStyle="1">
    <w:name w:val="WW8Num17z8"/>
    <w:qFormat/>
    <w:rPr/>
  </w:style>
  <w:style w:type="character" w:styleId="Predvolenpsmoodseku1" w:customStyle="1">
    <w:name w:val="Predvolené písmo odseku1"/>
    <w:qFormat/>
    <w:rPr/>
  </w:style>
  <w:style w:type="character" w:styleId="Nadpis1Char" w:customStyle="1">
    <w:name w:val="Nadpis 1 Char"/>
    <w:qFormat/>
    <w:rPr>
      <w:b/>
      <w:bCs/>
      <w:kern w:val="2"/>
      <w:sz w:val="24"/>
      <w:szCs w:val="24"/>
      <w:lang w:val="sk-SK"/>
    </w:rPr>
  </w:style>
  <w:style w:type="character" w:styleId="Nadpis2Char" w:customStyle="1">
    <w:name w:val="Nadpis 2 Char"/>
    <w:qFormat/>
    <w:rPr>
      <w:rFonts w:ascii="Cambria" w:hAnsi="Cambria" w:eastAsia="Times New Roman" w:cs="Cambria"/>
      <w:b/>
      <w:bCs/>
      <w:i/>
      <w:iCs/>
      <w:sz w:val="28"/>
      <w:szCs w:val="28"/>
    </w:rPr>
  </w:style>
  <w:style w:type="character" w:styleId="TextpoznmkypodiarouChar" w:customStyle="1">
    <w:name w:val="Text poznámky pod čiarou Char"/>
    <w:qFormat/>
    <w:rPr>
      <w:sz w:val="20"/>
      <w:szCs w:val="20"/>
    </w:rPr>
  </w:style>
  <w:style w:type="character" w:styleId="Znakyprepoznmkupodiarou" w:customStyle="1">
    <w:name w:val="Znaky pre poznámku pod čiarou"/>
    <w:qFormat/>
    <w:rPr>
      <w:vertAlign w:val="superscript"/>
    </w:rPr>
  </w:style>
  <w:style w:type="character" w:styleId="PtaChar" w:customStyle="1">
    <w:name w:val="Päta Char"/>
    <w:qFormat/>
    <w:rPr>
      <w:sz w:val="24"/>
      <w:szCs w:val="24"/>
    </w:rPr>
  </w:style>
  <w:style w:type="character" w:styleId="Pagenumber">
    <w:name w:val="page number"/>
    <w:basedOn w:val="Predvolenpsmoodseku1"/>
    <w:qFormat/>
    <w:rPr/>
  </w:style>
  <w:style w:type="character" w:styleId="NzovChar" w:customStyle="1">
    <w:name w:val="Názov Char"/>
    <w:qFormat/>
    <w:rPr>
      <w:rFonts w:ascii="Arial Narrow" w:hAnsi="Arial Narrow" w:cs="Arial Narrow"/>
      <w:b/>
      <w:bCs/>
      <w:kern w:val="2"/>
      <w:sz w:val="32"/>
      <w:szCs w:val="32"/>
      <w:lang w:val="sk-SK"/>
    </w:rPr>
  </w:style>
  <w:style w:type="character" w:styleId="HlavikaChar" w:customStyle="1">
    <w:name w:val="Hlavička Char"/>
    <w:qFormat/>
    <w:rPr>
      <w:sz w:val="24"/>
      <w:szCs w:val="24"/>
      <w:lang w:val="sk-SK"/>
    </w:rPr>
  </w:style>
  <w:style w:type="character" w:styleId="ZkladntextChar" w:customStyle="1">
    <w:name w:val="Základný text Char"/>
    <w:qFormat/>
    <w:rPr>
      <w:sz w:val="24"/>
      <w:szCs w:val="24"/>
      <w:lang w:val="en-US"/>
    </w:rPr>
  </w:style>
  <w:style w:type="paragraph" w:styleId="Nadpis" w:customStyle="1">
    <w:name w:val="Nadpis"/>
    <w:basedOn w:val="Normal"/>
    <w:next w:val="Normal"/>
    <w:qFormat/>
    <w:pPr>
      <w:keepNext w:val="true"/>
      <w:spacing w:before="280" w:after="220"/>
      <w:jc w:val="center"/>
    </w:pPr>
    <w:rPr>
      <w:rFonts w:ascii="Arial Narrow" w:hAnsi="Arial Narrow" w:cs="Arial Narrow"/>
      <w:b/>
      <w:bCs/>
      <w:kern w:val="2"/>
      <w:sz w:val="22"/>
      <w:szCs w:val="22"/>
    </w:rPr>
  </w:style>
  <w:style w:type="paragraph" w:styleId="BodyText">
    <w:name w:val="Body Text"/>
    <w:basedOn w:val="Normal"/>
    <w:pPr>
      <w:widowControl w:val="false"/>
      <w:ind w:hanging="567" w:left="668"/>
    </w:pPr>
    <w:rPr>
      <w:lang w:val="en-US"/>
    </w:rPr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Register" w:customStyle="1">
    <w:name w:val="Register"/>
    <w:basedOn w:val="Normal"/>
    <w:qFormat/>
    <w:pPr>
      <w:suppressLineNumbers/>
    </w:pPr>
    <w:rPr>
      <w:rFonts w:cs="Mangal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styleId="Zkladntext" w:customStyle="1">
    <w:name w:val="Základní text"/>
    <w:qFormat/>
    <w:pPr>
      <w:widowControl/>
      <w:suppressAutoHyphens w:val="true"/>
      <w:bidi w:val="0"/>
      <w:spacing w:before="0" w:after="240"/>
      <w:jc w:val="both"/>
    </w:pPr>
    <w:rPr>
      <w:rFonts w:ascii="Times New Roman" w:hAnsi="Times New Roman" w:eastAsia="Times New Roman" w:cs="Times New Roman"/>
      <w:color w:val="000000"/>
      <w:kern w:val="0"/>
      <w:sz w:val="24"/>
      <w:szCs w:val="24"/>
      <w:lang w:val="sk-SK" w:eastAsia="zh-CN" w:bidi="ar-SA"/>
    </w:rPr>
  </w:style>
  <w:style w:type="paragraph" w:styleId="FootnoteText">
    <w:name w:val="Footnote Text"/>
    <w:basedOn w:val="Normal"/>
    <w:pPr/>
    <w:rPr>
      <w:sz w:val="20"/>
      <w:szCs w:val="20"/>
    </w:rPr>
  </w:style>
  <w:style w:type="paragraph" w:styleId="Hlavikaapta" w:customStyle="1">
    <w:name w:val="Hlavička a päta"/>
    <w:basedOn w:val="Normal"/>
    <w:qFormat/>
    <w:pPr>
      <w:suppressLineNumbers/>
      <w:tabs>
        <w:tab w:val="clear" w:pos="113"/>
        <w:tab w:val="center" w:pos="4819" w:leader="none"/>
        <w:tab w:val="right" w:pos="9638" w:leader="none"/>
      </w:tabs>
    </w:pPr>
    <w:rPr/>
  </w:style>
  <w:style w:type="paragraph" w:styleId="Footer">
    <w:name w:val="Footer"/>
    <w:basedOn w:val="Normal"/>
    <w:pPr>
      <w:tabs>
        <w:tab w:val="clear" w:pos="113"/>
        <w:tab w:val="center" w:pos="4536" w:leader="none"/>
        <w:tab w:val="right" w:pos="9072" w:leader="none"/>
      </w:tabs>
    </w:pPr>
    <w:rPr/>
  </w:style>
  <w:style w:type="paragraph" w:styleId="TopHeader" w:customStyle="1">
    <w:name w:val="Top Header"/>
    <w:basedOn w:val="Normal"/>
    <w:qFormat/>
    <w:pPr>
      <w:jc w:val="center"/>
    </w:pPr>
    <w:rPr>
      <w:rFonts w:ascii="Arial Narrow" w:hAnsi="Arial Narrow" w:cs="Arial Narrow"/>
      <w:b/>
      <w:bCs/>
      <w:sz w:val="22"/>
      <w:szCs w:val="22"/>
    </w:rPr>
  </w:style>
  <w:style w:type="paragraph" w:styleId="Header">
    <w:name w:val="Header"/>
    <w:basedOn w:val="Normal"/>
    <w:pPr>
      <w:tabs>
        <w:tab w:val="clear" w:pos="113"/>
        <w:tab w:val="center" w:pos="4703" w:leader="none"/>
        <w:tab w:val="right" w:pos="9406" w:leader="none"/>
      </w:tabs>
    </w:pPr>
    <w:rPr/>
  </w:style>
  <w:style w:type="paragraph" w:styleId="Obsahtabuky" w:customStyle="1">
    <w:name w:val="Obsah tabuľky"/>
    <w:basedOn w:val="Normal"/>
    <w:qFormat/>
    <w:pPr>
      <w:suppressLineNumbers/>
    </w:pPr>
    <w:rPr/>
  </w:style>
  <w:style w:type="paragraph" w:styleId="Nadpistabuky" w:customStyle="1">
    <w:name w:val="Nadpis tabuľky"/>
    <w:basedOn w:val="Obsahtabuky"/>
    <w:qFormat/>
    <w:pPr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atabu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Motív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Application>LibreOffice/24.2.3.2$Windows_X86_64 LibreOffice_project/433d9c2ded56988e8a90e6b2e771ee4e6a5ab2ba</Application>
  <AppVersion>15.0000</AppVersion>
  <Pages>5</Pages>
  <Words>1726</Words>
  <Characters>9839</Characters>
  <CharactersWithSpaces>11542</CharactersWithSpaces>
  <Paragraphs>23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2023-05-29T16:50:00Z</dcterms:created>
  <dc:creator>user</dc:creator>
  <dc:description/>
  <dc:language>sk-SK</dc:language>
  <cp:lastModifiedBy/>
  <cp:lastPrinted>1995-11-21T16:41:00Z</cp:lastPrinted>
  <dcterms:modified xsi:type="dcterms:W3CDTF">2025-03-30T12:46:12Z</dcterms:modified>
  <cp:revision>4</cp:revision>
  <dc:subject/>
  <dc:title>Návrh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