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76367B0" w14:textId="0AD3A998" w:rsidR="00B87364" w:rsidRDefault="00310231">
      <w:pPr>
        <w:spacing w:after="120"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POZNÁMKY K ÚČTOVNEJ ZÁVIERKE 202</w:t>
      </w:r>
      <w:r w:rsidR="008C5947">
        <w:rPr>
          <w:rFonts w:ascii="Calibri" w:eastAsia="Calibri" w:hAnsi="Calibri" w:cs="Calibri"/>
          <w:b/>
          <w:sz w:val="24"/>
          <w:szCs w:val="24"/>
        </w:rPr>
        <w:t>4</w:t>
      </w:r>
    </w:p>
    <w:p w14:paraId="0B8D835D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4EF531A5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 xml:space="preserve">pre </w:t>
      </w:r>
      <w:r w:rsidR="008A730C">
        <w:rPr>
          <w:rFonts w:ascii="Calibri" w:eastAsia="Calibri" w:hAnsi="Calibri" w:cs="Calibri"/>
          <w:b/>
          <w:sz w:val="24"/>
          <w:szCs w:val="24"/>
        </w:rPr>
        <w:t>mikro</w:t>
      </w:r>
      <w:r>
        <w:rPr>
          <w:rFonts w:ascii="Calibri" w:eastAsia="Calibri" w:hAnsi="Calibri" w:cs="Calibri"/>
          <w:b/>
          <w:sz w:val="24"/>
          <w:szCs w:val="24"/>
        </w:rPr>
        <w:t xml:space="preserve"> účtovné jednotky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F7E5CE3" w14:textId="77777777" w:rsidR="00B87364" w:rsidRDefault="00B87364">
      <w:pPr>
        <w:spacing w:line="240" w:lineRule="auto"/>
      </w:pPr>
    </w:p>
    <w:p w14:paraId="1DBE310E" w14:textId="77777777" w:rsidR="00B87364" w:rsidRDefault="00752F78">
      <w:pPr>
        <w:spacing w:line="240" w:lineRule="auto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 – VŠEOBECNÉ INFORMÁCIE</w:t>
      </w:r>
    </w:p>
    <w:p w14:paraId="246CAF98" w14:textId="77777777" w:rsidR="00B87364" w:rsidRDefault="00B87364">
      <w:pPr>
        <w:spacing w:line="240" w:lineRule="auto"/>
      </w:pPr>
    </w:p>
    <w:p w14:paraId="789914F6" w14:textId="77777777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1) Základné informácie o účtovnej jednotke:</w:t>
      </w:r>
    </w:p>
    <w:p w14:paraId="23C60ACB" w14:textId="77777777" w:rsidR="00B87364" w:rsidRDefault="00B87364">
      <w:pPr>
        <w:spacing w:line="240" w:lineRule="auto"/>
      </w:pPr>
    </w:p>
    <w:tbl>
      <w:tblPr>
        <w:tblStyle w:val="a"/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835"/>
        <w:gridCol w:w="6879"/>
      </w:tblGrid>
      <w:tr w:rsidR="00B87364" w14:paraId="5A431FDA" w14:textId="77777777">
        <w:trPr>
          <w:trHeight w:val="34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8D71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Obchodné meno: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0D39E" w14:textId="77777777" w:rsidR="00B87364" w:rsidRDefault="001C3389" w:rsidP="0097737C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Na preklad, s.r.o.</w:t>
            </w:r>
          </w:p>
        </w:tc>
      </w:tr>
      <w:tr w:rsidR="00B87364" w14:paraId="14A7A3DD" w14:textId="77777777">
        <w:trPr>
          <w:trHeight w:val="3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C4A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Sídlo: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A78C3" w14:textId="77777777" w:rsidR="00B87364" w:rsidRDefault="001C3389" w:rsidP="000F7B2F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Mariánske námestie 27, 010 01 Žilina</w:t>
            </w:r>
          </w:p>
        </w:tc>
      </w:tr>
      <w:tr w:rsidR="00B87364" w14:paraId="6414FEB2" w14:textId="77777777">
        <w:trPr>
          <w:trHeight w:val="18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612A6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Právna forma:</w:t>
            </w:r>
          </w:p>
        </w:tc>
        <w:tc>
          <w:tcPr>
            <w:tcW w:w="6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617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Spoločnosť s ručením obmedzeným</w:t>
            </w:r>
          </w:p>
        </w:tc>
      </w:tr>
      <w:tr w:rsidR="00B87364" w14:paraId="057E6597" w14:textId="77777777">
        <w:trPr>
          <w:trHeight w:val="2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47BD9EB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Dátum vzniku: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6E63CB62" w14:textId="77777777" w:rsidR="00B87364" w:rsidRDefault="00752F78" w:rsidP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Zápis do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obchodného registra: 04.01.2014</w:t>
            </w:r>
          </w:p>
        </w:tc>
      </w:tr>
      <w:tr w:rsidR="00B87364" w14:paraId="1E55CCB0" w14:textId="77777777">
        <w:trPr>
          <w:trHeight w:val="26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0C166A" w14:textId="77777777" w:rsidR="00B87364" w:rsidRDefault="00752F78">
            <w:pPr>
              <w:spacing w:line="240" w:lineRule="auto"/>
              <w:ind w:right="1027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Hlavný predmet podnikania: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33C4C211" w14:textId="77777777" w:rsidR="00B87364" w:rsidRDefault="001C3389" w:rsidP="001C3389">
            <w:pPr>
              <w:spacing w:line="240" w:lineRule="auto"/>
              <w:jc w:val="both"/>
            </w:pPr>
            <w:r>
              <w:rPr>
                <w:color w:val="807A7A"/>
                <w:sz w:val="21"/>
                <w:szCs w:val="21"/>
                <w:shd w:val="clear" w:color="auto" w:fill="FFFFFF"/>
              </w:rPr>
              <w:t>Prekladateľské a tlmočnícke činnosti</w:t>
            </w:r>
          </w:p>
        </w:tc>
      </w:tr>
      <w:tr w:rsidR="00B87364" w14:paraId="0540E75E" w14:textId="77777777">
        <w:trPr>
          <w:trHeight w:val="52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C9A2C7D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Subjekt verejného záujmu: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1A9AC3A" w14:textId="77777777" w:rsidR="00B87364" w:rsidRDefault="00752F78" w:rsidP="001C3389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Spoločnosť </w:t>
            </w:r>
            <w:r w:rsidR="001C3389">
              <w:rPr>
                <w:rFonts w:ascii="Calibri" w:eastAsia="Calibri" w:hAnsi="Calibri" w:cs="Calibri"/>
                <w:sz w:val="24"/>
                <w:szCs w:val="24"/>
              </w:rPr>
              <w:t>Na preklad , s.r.o.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nie je subjektom verejného záujmu (§ 2/14 ZoU).</w:t>
            </w:r>
          </w:p>
        </w:tc>
      </w:tr>
      <w:tr w:rsidR="00B87364" w14:paraId="6F6380C9" w14:textId="77777777">
        <w:trPr>
          <w:trHeight w:val="300"/>
        </w:trPr>
        <w:tc>
          <w:tcPr>
            <w:tcW w:w="28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8C0C4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Účtovné obdobie:</w:t>
            </w:r>
          </w:p>
        </w:tc>
        <w:tc>
          <w:tcPr>
            <w:tcW w:w="687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307DAD8" w14:textId="17FB8BBE" w:rsidR="00B87364" w:rsidRDefault="00310231" w:rsidP="007F4DAB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Kalendárny rok 202</w:t>
            </w:r>
            <w:r w:rsidR="008C5947"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</w:tr>
    </w:tbl>
    <w:p w14:paraId="57508392" w14:textId="77777777" w:rsidR="00B87364" w:rsidRDefault="00B87364">
      <w:pPr>
        <w:spacing w:line="240" w:lineRule="auto"/>
        <w:jc w:val="both"/>
      </w:pPr>
    </w:p>
    <w:p w14:paraId="46D46F40" w14:textId="77777777" w:rsidR="00B87364" w:rsidRDefault="00B87364">
      <w:pPr>
        <w:spacing w:line="240" w:lineRule="auto"/>
        <w:jc w:val="both"/>
      </w:pPr>
    </w:p>
    <w:p w14:paraId="5EBCC3B6" w14:textId="5506DBCF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UJ bola </w:t>
      </w:r>
      <w:r w:rsidR="00310231">
        <w:rPr>
          <w:rFonts w:ascii="Calibri" w:eastAsia="Calibri" w:hAnsi="Calibri" w:cs="Calibri"/>
          <w:sz w:val="24"/>
          <w:szCs w:val="24"/>
        </w:rPr>
        <w:t>v účtovnom období roku 202</w:t>
      </w:r>
      <w:r w:rsidR="008C5947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– </w:t>
      </w:r>
      <w:r w:rsidR="008A730C">
        <w:rPr>
          <w:rFonts w:ascii="Calibri" w:eastAsia="Calibri" w:hAnsi="Calibri" w:cs="Calibri"/>
          <w:sz w:val="24"/>
          <w:szCs w:val="24"/>
        </w:rPr>
        <w:t>mikro</w:t>
      </w:r>
      <w:r>
        <w:rPr>
          <w:rFonts w:ascii="Calibri" w:eastAsia="Calibri" w:hAnsi="Calibri" w:cs="Calibri"/>
          <w:sz w:val="24"/>
          <w:szCs w:val="24"/>
        </w:rPr>
        <w:t xml:space="preserve"> účtovná jednotka, preto zostavuje účtovnú závierku podľa metodiky pre túto veľkostnú skupinu (Opatrenie č.MF/23378/2014-74).</w:t>
      </w:r>
    </w:p>
    <w:p w14:paraId="0AAD18AD" w14:textId="77777777" w:rsidR="00B87364" w:rsidRDefault="00B87364">
      <w:pPr>
        <w:spacing w:line="240" w:lineRule="auto"/>
        <w:jc w:val="both"/>
      </w:pPr>
    </w:p>
    <w:p w14:paraId="2D986C7B" w14:textId="77777777" w:rsidR="00B87364" w:rsidRDefault="00B87364">
      <w:pPr>
        <w:spacing w:line="240" w:lineRule="auto"/>
      </w:pPr>
    </w:p>
    <w:p w14:paraId="4B867709" w14:textId="0A6F626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Dátum schválenia účtovnej závierky za bezprostredne predchádzajúce účtovné obdobie príslušným orgánom účtovnej jednotky:</w:t>
      </w:r>
      <w:r w:rsidR="0097737C">
        <w:rPr>
          <w:rFonts w:ascii="Calibri" w:eastAsia="Calibri" w:hAnsi="Calibri" w:cs="Calibri"/>
          <w:sz w:val="24"/>
          <w:szCs w:val="24"/>
        </w:rPr>
        <w:t xml:space="preserve"> </w:t>
      </w:r>
      <w:r w:rsidR="00310231">
        <w:rPr>
          <w:rFonts w:ascii="Calibri" w:eastAsia="Calibri" w:hAnsi="Calibri" w:cs="Calibri"/>
          <w:sz w:val="24"/>
          <w:szCs w:val="24"/>
        </w:rPr>
        <w:t>2</w:t>
      </w:r>
      <w:r w:rsidR="008C5947">
        <w:rPr>
          <w:rFonts w:ascii="Calibri" w:eastAsia="Calibri" w:hAnsi="Calibri" w:cs="Calibri"/>
          <w:sz w:val="24"/>
          <w:szCs w:val="24"/>
        </w:rPr>
        <w:t>0.5.2024</w:t>
      </w:r>
    </w:p>
    <w:p w14:paraId="009171A2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6C113C3" w14:textId="63C140DF" w:rsidR="00B87364" w:rsidRDefault="00752F78">
      <w:pPr>
        <w:widowControl w:val="0"/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3) Právny dôvod na zostavenie účtovnej závierky: Účtovná závierka Spoločnosti k 31.12.201</w:t>
      </w:r>
      <w:r w:rsidR="001C3389">
        <w:rPr>
          <w:rFonts w:ascii="Calibri" w:eastAsia="Calibri" w:hAnsi="Calibri" w:cs="Calibri"/>
          <w:sz w:val="24"/>
          <w:szCs w:val="24"/>
        </w:rPr>
        <w:t>9</w:t>
      </w:r>
      <w:r>
        <w:rPr>
          <w:rFonts w:ascii="Calibri" w:eastAsia="Calibri" w:hAnsi="Calibri" w:cs="Calibri"/>
          <w:sz w:val="24"/>
          <w:szCs w:val="24"/>
        </w:rPr>
        <w:t xml:space="preserve"> je zostavená ako riadna účtovná závierka podľa §17 ods. 6 Zákona č. 431/2002 Z.z. o účtovníctve za účtovné obdobie od 01. januára 20</w:t>
      </w:r>
      <w:r w:rsidR="008C5947">
        <w:rPr>
          <w:rFonts w:ascii="Calibri" w:eastAsia="Calibri" w:hAnsi="Calibri" w:cs="Calibri"/>
          <w:sz w:val="24"/>
          <w:szCs w:val="24"/>
        </w:rPr>
        <w:t>24</w:t>
      </w:r>
      <w:r>
        <w:rPr>
          <w:rFonts w:ascii="Calibri" w:eastAsia="Calibri" w:hAnsi="Calibri" w:cs="Calibri"/>
          <w:sz w:val="24"/>
          <w:szCs w:val="24"/>
        </w:rPr>
        <w:t xml:space="preserve"> do 31. decembra 20</w:t>
      </w:r>
      <w:r w:rsidR="008C5947">
        <w:rPr>
          <w:rFonts w:ascii="Calibri" w:eastAsia="Calibri" w:hAnsi="Calibri" w:cs="Calibri"/>
          <w:sz w:val="24"/>
          <w:szCs w:val="24"/>
        </w:rPr>
        <w:t>24</w:t>
      </w:r>
    </w:p>
    <w:p w14:paraId="18201DB9" w14:textId="77777777" w:rsidR="00B87364" w:rsidRDefault="00B87364">
      <w:pPr>
        <w:spacing w:line="240" w:lineRule="auto"/>
        <w:ind w:right="-468"/>
        <w:jc w:val="both"/>
      </w:pPr>
    </w:p>
    <w:p w14:paraId="23210725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4) ÚJ nie je v skupine účtovných jednotiek</w:t>
      </w:r>
    </w:p>
    <w:p w14:paraId="451BCE1D" w14:textId="77777777" w:rsidR="00B87364" w:rsidRDefault="00B87364">
      <w:pPr>
        <w:spacing w:line="240" w:lineRule="auto"/>
        <w:jc w:val="both"/>
      </w:pPr>
    </w:p>
    <w:p w14:paraId="56BF06C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B87364" w14:paraId="7F771A52" w14:textId="77777777">
        <w:trPr>
          <w:trHeight w:val="520"/>
        </w:trPr>
        <w:tc>
          <w:tcPr>
            <w:tcW w:w="4857" w:type="dxa"/>
            <w:vAlign w:val="center"/>
          </w:tcPr>
          <w:p w14:paraId="7974BF42" w14:textId="77777777" w:rsidR="00B87364" w:rsidRDefault="00752F78">
            <w:pPr>
              <w:spacing w:line="240" w:lineRule="auto"/>
              <w:ind w:right="459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vAlign w:val="center"/>
          </w:tcPr>
          <w:p w14:paraId="0EDA508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7" w:type="dxa"/>
            <w:vAlign w:val="center"/>
          </w:tcPr>
          <w:p w14:paraId="6850D13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234798F0" w14:textId="77777777">
        <w:trPr>
          <w:trHeight w:val="160"/>
        </w:trPr>
        <w:tc>
          <w:tcPr>
            <w:tcW w:w="4857" w:type="dxa"/>
          </w:tcPr>
          <w:p w14:paraId="1739B8D9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</w:tcPr>
          <w:p w14:paraId="1C751674" w14:textId="77777777"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67" w:type="dxa"/>
          </w:tcPr>
          <w:p w14:paraId="52EB2DC4" w14:textId="77777777" w:rsidR="00B87364" w:rsidRDefault="001C3389" w:rsidP="007F4DAB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  <w:tr w:rsidR="001C3389" w14:paraId="6A325CA0" w14:textId="77777777">
        <w:trPr>
          <w:trHeight w:val="160"/>
        </w:trPr>
        <w:tc>
          <w:tcPr>
            <w:tcW w:w="4857" w:type="dxa"/>
          </w:tcPr>
          <w:p w14:paraId="0CC2F5C6" w14:textId="77777777" w:rsidR="001C3389" w:rsidRDefault="001C3389">
            <w:p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23" w:type="dxa"/>
          </w:tcPr>
          <w:p w14:paraId="2E5B6474" w14:textId="77777777"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367" w:type="dxa"/>
          </w:tcPr>
          <w:p w14:paraId="03298079" w14:textId="77777777" w:rsidR="001C3389" w:rsidRDefault="001C3389" w:rsidP="007F4DAB">
            <w:pPr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14:paraId="29184896" w14:textId="77777777" w:rsidR="00B87364" w:rsidRDefault="00B87364">
      <w:pPr>
        <w:spacing w:line="240" w:lineRule="auto"/>
        <w:ind w:left="928" w:right="-468"/>
        <w:jc w:val="both"/>
      </w:pPr>
    </w:p>
    <w:p w14:paraId="23A56089" w14:textId="77777777" w:rsidR="00B87364" w:rsidRDefault="00B87364">
      <w:pPr>
        <w:spacing w:line="240" w:lineRule="auto"/>
        <w:ind w:right="-468"/>
        <w:jc w:val="both"/>
      </w:pPr>
    </w:p>
    <w:p w14:paraId="1A752A89" w14:textId="77777777" w:rsidR="00B87364" w:rsidRDefault="00B87364">
      <w:pPr>
        <w:spacing w:line="240" w:lineRule="auto"/>
        <w:ind w:right="-468"/>
        <w:jc w:val="both"/>
      </w:pPr>
    </w:p>
    <w:p w14:paraId="1BED772E" w14:textId="77777777" w:rsidR="00B87364" w:rsidRDefault="00B87364">
      <w:pPr>
        <w:spacing w:line="240" w:lineRule="auto"/>
        <w:ind w:right="-468"/>
        <w:jc w:val="both"/>
      </w:pPr>
    </w:p>
    <w:p w14:paraId="0001D60A" w14:textId="77777777" w:rsidR="00B87364" w:rsidRDefault="00B87364">
      <w:pPr>
        <w:spacing w:line="240" w:lineRule="auto"/>
        <w:ind w:right="-468"/>
        <w:jc w:val="both"/>
      </w:pPr>
    </w:p>
    <w:p w14:paraId="617CE531" w14:textId="77777777" w:rsidR="00B87364" w:rsidRDefault="00B87364">
      <w:pPr>
        <w:spacing w:line="240" w:lineRule="auto"/>
        <w:ind w:right="-468"/>
        <w:jc w:val="both"/>
      </w:pPr>
    </w:p>
    <w:p w14:paraId="0F718569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 – INFORMÁCIE O ORGÁNOCH SPOLOČNOSTI</w:t>
      </w:r>
    </w:p>
    <w:p w14:paraId="1117D11C" w14:textId="77777777" w:rsidR="00B87364" w:rsidRDefault="00B87364">
      <w:pPr>
        <w:spacing w:line="240" w:lineRule="auto"/>
        <w:ind w:right="-468"/>
        <w:jc w:val="both"/>
      </w:pPr>
    </w:p>
    <w:p w14:paraId="59BDC8FB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b/>
          <w:sz w:val="24"/>
          <w:szCs w:val="24"/>
        </w:rPr>
        <w:t>Informácie o orgánoch účtovnej jednotky</w:t>
      </w:r>
      <w:r>
        <w:rPr>
          <w:rFonts w:ascii="Calibri" w:eastAsia="Calibri" w:hAnsi="Calibri" w:cs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9"/>
        <w:gridCol w:w="2488"/>
        <w:gridCol w:w="2360"/>
      </w:tblGrid>
      <w:tr w:rsidR="00B87364" w14:paraId="24C18B9F" w14:textId="77777777">
        <w:trPr>
          <w:trHeight w:val="860"/>
          <w:jc w:val="center"/>
        </w:trPr>
        <w:tc>
          <w:tcPr>
            <w:tcW w:w="4969" w:type="dxa"/>
            <w:vAlign w:val="center"/>
          </w:tcPr>
          <w:p w14:paraId="60D42CA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vAlign w:val="center"/>
          </w:tcPr>
          <w:p w14:paraId="46C2235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vAlign w:val="center"/>
          </w:tcPr>
          <w:p w14:paraId="20D19EB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170E82E8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301629C1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vAlign w:val="center"/>
          </w:tcPr>
          <w:p w14:paraId="5D4CA688" w14:textId="77777777" w:rsidR="00B87364" w:rsidRDefault="001C3389" w:rsidP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Helena Grofčíková</w:t>
            </w:r>
          </w:p>
        </w:tc>
        <w:tc>
          <w:tcPr>
            <w:tcW w:w="2360" w:type="dxa"/>
            <w:vAlign w:val="center"/>
          </w:tcPr>
          <w:p w14:paraId="609D8BF1" w14:textId="77777777" w:rsidR="00B87364" w:rsidRDefault="001C3389" w:rsidP="0097737C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Helena Grofčíková</w:t>
            </w:r>
          </w:p>
        </w:tc>
      </w:tr>
      <w:tr w:rsidR="00B87364" w14:paraId="7631B0F5" w14:textId="77777777">
        <w:trPr>
          <w:trHeight w:val="240"/>
          <w:jc w:val="center"/>
        </w:trPr>
        <w:tc>
          <w:tcPr>
            <w:tcW w:w="4969" w:type="dxa"/>
            <w:vAlign w:val="center"/>
          </w:tcPr>
          <w:p w14:paraId="22C0B668" w14:textId="77777777" w:rsidR="00B87364" w:rsidRDefault="00752F78">
            <w:pPr>
              <w:numPr>
                <w:ilvl w:val="0"/>
                <w:numId w:val="3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56226921" w14:textId="77777777" w:rsidR="00B87364" w:rsidRDefault="00B87364" w:rsidP="00D93A46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0127FD6B" w14:textId="77777777" w:rsidR="00B87364" w:rsidRDefault="00B87364">
            <w:pPr>
              <w:spacing w:line="240" w:lineRule="auto"/>
            </w:pPr>
          </w:p>
        </w:tc>
      </w:tr>
      <w:tr w:rsidR="00B87364" w14:paraId="100A7E7B" w14:textId="77777777">
        <w:trPr>
          <w:trHeight w:val="140"/>
          <w:jc w:val="center"/>
        </w:trPr>
        <w:tc>
          <w:tcPr>
            <w:tcW w:w="4969" w:type="dxa"/>
            <w:vAlign w:val="center"/>
          </w:tcPr>
          <w:p w14:paraId="6B5EA4F5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28EB3D6C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63A019CB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 </w:t>
            </w:r>
          </w:p>
        </w:tc>
      </w:tr>
      <w:tr w:rsidR="00B87364" w14:paraId="77ED96FB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7DA2E037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vAlign w:val="center"/>
          </w:tcPr>
          <w:p w14:paraId="6C808C46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1A9241A8" w14:textId="77777777" w:rsidR="00B87364" w:rsidRDefault="00B87364">
            <w:pPr>
              <w:spacing w:line="240" w:lineRule="auto"/>
            </w:pPr>
          </w:p>
        </w:tc>
      </w:tr>
      <w:tr w:rsidR="00B87364" w14:paraId="6224D104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70C609ED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vAlign w:val="center"/>
          </w:tcPr>
          <w:p w14:paraId="7877B4EB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236483E6" w14:textId="77777777" w:rsidR="00B87364" w:rsidRDefault="00B87364">
            <w:pPr>
              <w:spacing w:line="240" w:lineRule="auto"/>
            </w:pPr>
          </w:p>
        </w:tc>
      </w:tr>
      <w:tr w:rsidR="00B87364" w14:paraId="3D103107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397364B7" w14:textId="77777777" w:rsidR="00B87364" w:rsidRDefault="00752F78">
            <w:pPr>
              <w:numPr>
                <w:ilvl w:val="0"/>
                <w:numId w:val="1"/>
              </w:numPr>
              <w:spacing w:line="240" w:lineRule="auto"/>
              <w:ind w:hanging="36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vAlign w:val="center"/>
          </w:tcPr>
          <w:p w14:paraId="1AEB874A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58B1EE4F" w14:textId="77777777" w:rsidR="00B87364" w:rsidRDefault="00B87364">
            <w:pPr>
              <w:spacing w:line="240" w:lineRule="auto"/>
            </w:pPr>
          </w:p>
        </w:tc>
      </w:tr>
      <w:tr w:rsidR="00B87364" w14:paraId="203B1306" w14:textId="77777777">
        <w:trPr>
          <w:trHeight w:val="160"/>
          <w:jc w:val="center"/>
        </w:trPr>
        <w:tc>
          <w:tcPr>
            <w:tcW w:w="4969" w:type="dxa"/>
            <w:vAlign w:val="center"/>
          </w:tcPr>
          <w:p w14:paraId="3135BBB3" w14:textId="77777777" w:rsidR="00B87364" w:rsidRDefault="00B87364">
            <w:pPr>
              <w:spacing w:line="240" w:lineRule="auto"/>
              <w:ind w:left="720"/>
            </w:pPr>
          </w:p>
        </w:tc>
        <w:tc>
          <w:tcPr>
            <w:tcW w:w="2488" w:type="dxa"/>
            <w:vAlign w:val="center"/>
          </w:tcPr>
          <w:p w14:paraId="756E99EA" w14:textId="77777777" w:rsidR="00B87364" w:rsidRDefault="00B87364">
            <w:pPr>
              <w:spacing w:line="240" w:lineRule="auto"/>
            </w:pPr>
          </w:p>
        </w:tc>
        <w:tc>
          <w:tcPr>
            <w:tcW w:w="2360" w:type="dxa"/>
            <w:vAlign w:val="center"/>
          </w:tcPr>
          <w:p w14:paraId="2F13A8AF" w14:textId="77777777" w:rsidR="00B87364" w:rsidRDefault="00B87364">
            <w:pPr>
              <w:spacing w:line="240" w:lineRule="auto"/>
            </w:pPr>
          </w:p>
        </w:tc>
      </w:tr>
    </w:tbl>
    <w:p w14:paraId="155591AB" w14:textId="77777777" w:rsidR="00B87364" w:rsidRDefault="00B87364">
      <w:pPr>
        <w:spacing w:line="240" w:lineRule="auto"/>
        <w:ind w:right="-468"/>
        <w:jc w:val="both"/>
      </w:pPr>
    </w:p>
    <w:p w14:paraId="0EC20159" w14:textId="77777777" w:rsidR="00B87364" w:rsidRDefault="00B87364">
      <w:pPr>
        <w:spacing w:line="240" w:lineRule="auto"/>
        <w:ind w:right="-468"/>
        <w:jc w:val="both"/>
      </w:pPr>
    </w:p>
    <w:p w14:paraId="43BA7DF6" w14:textId="77777777" w:rsidR="00B87364" w:rsidRDefault="00B87364">
      <w:pPr>
        <w:spacing w:line="240" w:lineRule="auto"/>
        <w:ind w:right="-468"/>
        <w:jc w:val="both"/>
      </w:pPr>
    </w:p>
    <w:p w14:paraId="647F1CE8" w14:textId="77777777" w:rsidR="00B87364" w:rsidRDefault="00752F78">
      <w:pPr>
        <w:spacing w:line="240" w:lineRule="auto"/>
        <w:ind w:right="-14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III – INFORMÁCIE O PRIJATÝCH POSTUPOCH</w:t>
      </w:r>
    </w:p>
    <w:p w14:paraId="7B84E89D" w14:textId="77777777" w:rsidR="00B87364" w:rsidRDefault="00B87364">
      <w:pPr>
        <w:spacing w:line="240" w:lineRule="auto"/>
        <w:ind w:right="-141"/>
        <w:jc w:val="both"/>
      </w:pPr>
    </w:p>
    <w:p w14:paraId="34DCC44D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 w14:paraId="14637BCB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4790C89A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 w14:paraId="186C9C15" w14:textId="77777777" w:rsidR="00B87364" w:rsidRDefault="00B87364">
      <w:pPr>
        <w:spacing w:line="240" w:lineRule="auto"/>
        <w:ind w:right="-141"/>
        <w:jc w:val="both"/>
      </w:pPr>
    </w:p>
    <w:p w14:paraId="19AC86D5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3) ÚJ neeviduje žiadne transakcie, ktoré sa neuvádzajú v súvahe.</w:t>
      </w:r>
    </w:p>
    <w:p w14:paraId="0ABD4B82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1B068190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4) Spôsob a určenie oceňovania majetku a záväzkov (vrátane rozhodujúcich odhadov):</w:t>
      </w:r>
    </w:p>
    <w:p w14:paraId="63A521CA" w14:textId="77777777" w:rsidR="00B87364" w:rsidRDefault="00752F78">
      <w:pPr>
        <w:spacing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>a) Spôsob oceňovania majetku a záväzkov (§ 25 ZoU):</w:t>
      </w:r>
    </w:p>
    <w:p w14:paraId="510E303A" w14:textId="77777777" w:rsidR="00B87364" w:rsidRDefault="00B87364">
      <w:pPr>
        <w:widowControl w:val="0"/>
        <w:tabs>
          <w:tab w:val="left" w:pos="808"/>
        </w:tabs>
        <w:spacing w:line="240" w:lineRule="auto"/>
        <w:jc w:val="both"/>
      </w:pPr>
    </w:p>
    <w:tbl>
      <w:tblPr>
        <w:tblStyle w:val="a2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00"/>
      </w:tblGrid>
      <w:tr w:rsidR="00B87364" w14:paraId="5F94E7C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D05D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3B7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F6D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Spôsob oceňovania</w:t>
            </w:r>
          </w:p>
        </w:tc>
      </w:tr>
      <w:tr w:rsidR="00B87364" w14:paraId="6F6F48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BB9C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3830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6F8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0363752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42E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9A3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D2B4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025B67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31F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3673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48F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4C42A1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9FA2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FD2C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3384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03EAC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82A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3F8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0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27E90B3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144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0D91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6132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0722513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281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904F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C090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0579A56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198F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551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DBFF3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352F76B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ADE8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865F1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BA8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náklady</w:t>
            </w:r>
          </w:p>
        </w:tc>
      </w:tr>
      <w:tr w:rsidR="00B87364" w14:paraId="0FA948B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B0E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576A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49BC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Reprodukčná obstarávacia cena</w:t>
            </w:r>
          </w:p>
        </w:tc>
      </w:tr>
      <w:tr w:rsidR="00B87364" w14:paraId="5E791E8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335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B126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C90E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7520F59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6E5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F46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4677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54FBB61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BCEF9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FE3D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E66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277F94F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900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7087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0BAE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60936F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F8D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1F90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152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2D25BC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0DDA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1B0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4D5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7FBB7F6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A2B3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7177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C5D0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05C1AD6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46CB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B264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553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106A4F4C" w14:textId="77777777">
        <w:tc>
          <w:tcPr>
            <w:tcW w:w="706" w:type="dxa"/>
          </w:tcPr>
          <w:p w14:paraId="7225EA48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18.</w:t>
            </w:r>
          </w:p>
        </w:tc>
        <w:tc>
          <w:tcPr>
            <w:tcW w:w="5300" w:type="dxa"/>
          </w:tcPr>
          <w:p w14:paraId="3399D04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14:paraId="2ED73072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  <w:tr w:rsidR="00B87364" w14:paraId="704C082A" w14:textId="77777777">
        <w:tc>
          <w:tcPr>
            <w:tcW w:w="706" w:type="dxa"/>
          </w:tcPr>
          <w:p w14:paraId="5970CDD5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19.</w:t>
            </w:r>
          </w:p>
        </w:tc>
        <w:tc>
          <w:tcPr>
            <w:tcW w:w="5300" w:type="dxa"/>
          </w:tcPr>
          <w:p w14:paraId="5795393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14:paraId="12C024AF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Obstarávacia cena</w:t>
            </w:r>
          </w:p>
        </w:tc>
      </w:tr>
      <w:tr w:rsidR="00B87364" w14:paraId="26E3BB42" w14:textId="77777777">
        <w:tc>
          <w:tcPr>
            <w:tcW w:w="706" w:type="dxa"/>
          </w:tcPr>
          <w:p w14:paraId="2FE2351C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20.</w:t>
            </w:r>
          </w:p>
        </w:tc>
        <w:tc>
          <w:tcPr>
            <w:tcW w:w="5300" w:type="dxa"/>
          </w:tcPr>
          <w:p w14:paraId="141C44C6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</w:tcPr>
          <w:p w14:paraId="1B870BFD" w14:textId="77777777" w:rsidR="00B87364" w:rsidRDefault="00752F78">
            <w:pPr>
              <w:widowControl w:val="0"/>
              <w:tabs>
                <w:tab w:val="left" w:pos="808"/>
              </w:tabs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Menovitá hodnota</w:t>
            </w:r>
          </w:p>
        </w:tc>
      </w:tr>
    </w:tbl>
    <w:p w14:paraId="09939E5C" w14:textId="77777777" w:rsidR="00B87364" w:rsidRDefault="00B87364">
      <w:pPr>
        <w:spacing w:line="240" w:lineRule="auto"/>
        <w:jc w:val="both"/>
      </w:pPr>
    </w:p>
    <w:p w14:paraId="7F2ED88E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b) Trvalé zníženie hodnoty majetku nebolo účtované. </w:t>
      </w:r>
    </w:p>
    <w:p w14:paraId="4336B513" w14:textId="77777777" w:rsidR="00B87364" w:rsidRDefault="00B87364">
      <w:pPr>
        <w:spacing w:after="120" w:line="240" w:lineRule="auto"/>
        <w:jc w:val="both"/>
      </w:pPr>
    </w:p>
    <w:p w14:paraId="24CD6C8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c) Záväzky účtovná jednotka ocenila menovitou hodnotou záväzkov. </w:t>
      </w:r>
    </w:p>
    <w:p w14:paraId="77CA1E1C" w14:textId="77777777" w:rsidR="00B87364" w:rsidRDefault="00B87364">
      <w:pPr>
        <w:spacing w:after="120" w:line="240" w:lineRule="auto"/>
        <w:jc w:val="both"/>
      </w:pPr>
    </w:p>
    <w:p w14:paraId="1FF1FD8D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d) Účtovná jednotka nepoužila dobrovoľné oceňovanie obchodných podielov metódou vlastného imania (§ 27/9 ZoU).</w:t>
      </w:r>
    </w:p>
    <w:p w14:paraId="2198DAEC" w14:textId="77777777" w:rsidR="00B87364" w:rsidRDefault="00B87364">
      <w:pPr>
        <w:keepNext/>
        <w:tabs>
          <w:tab w:val="left" w:pos="1005"/>
        </w:tabs>
        <w:spacing w:after="120" w:line="240" w:lineRule="auto"/>
        <w:jc w:val="both"/>
      </w:pPr>
    </w:p>
    <w:p w14:paraId="00135B44" w14:textId="77777777" w:rsidR="00B87364" w:rsidRDefault="00752F78">
      <w:pPr>
        <w:keepNext/>
        <w:tabs>
          <w:tab w:val="left" w:pos="1005"/>
        </w:tabs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B87364" w14:paraId="6E5C35D1" w14:textId="77777777">
        <w:tc>
          <w:tcPr>
            <w:tcW w:w="4218" w:type="dxa"/>
          </w:tcPr>
          <w:p w14:paraId="01A0F6C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Dlhodobý hmotný a nehmotný</w:t>
            </w:r>
          </w:p>
          <w:p w14:paraId="1727F72E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3" w:type="dxa"/>
          </w:tcPr>
          <w:p w14:paraId="73425A6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číslo</w:t>
            </w:r>
          </w:p>
          <w:p w14:paraId="5392CA29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</w:tcPr>
          <w:p w14:paraId="4162617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doba odpisovania</w:t>
            </w:r>
          </w:p>
          <w:p w14:paraId="76429CA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8" w:type="dxa"/>
          </w:tcPr>
          <w:p w14:paraId="74816F63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odpisová sadzba </w:t>
            </w:r>
          </w:p>
          <w:p w14:paraId="249B216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(%)</w:t>
            </w:r>
          </w:p>
        </w:tc>
      </w:tr>
      <w:tr w:rsidR="00B87364" w14:paraId="4654D0B1" w14:textId="77777777">
        <w:tc>
          <w:tcPr>
            <w:tcW w:w="4218" w:type="dxa"/>
          </w:tcPr>
          <w:p w14:paraId="628979E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Software</w:t>
            </w:r>
          </w:p>
        </w:tc>
        <w:tc>
          <w:tcPr>
            <w:tcW w:w="1013" w:type="dxa"/>
          </w:tcPr>
          <w:p w14:paraId="4F15766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013</w:t>
            </w:r>
          </w:p>
        </w:tc>
        <w:tc>
          <w:tcPr>
            <w:tcW w:w="2107" w:type="dxa"/>
          </w:tcPr>
          <w:p w14:paraId="056BC96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31922B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7B33632B" w14:textId="77777777">
        <w:tc>
          <w:tcPr>
            <w:tcW w:w="4218" w:type="dxa"/>
          </w:tcPr>
          <w:p w14:paraId="3ED701D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3" w:type="dxa"/>
          </w:tcPr>
          <w:p w14:paraId="596DC83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019</w:t>
            </w:r>
          </w:p>
        </w:tc>
        <w:tc>
          <w:tcPr>
            <w:tcW w:w="2107" w:type="dxa"/>
          </w:tcPr>
          <w:p w14:paraId="63A74B5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2401FC2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6FB280BF" w14:textId="77777777">
        <w:tc>
          <w:tcPr>
            <w:tcW w:w="4218" w:type="dxa"/>
          </w:tcPr>
          <w:p w14:paraId="7D706440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Stavby</w:t>
            </w:r>
          </w:p>
        </w:tc>
        <w:tc>
          <w:tcPr>
            <w:tcW w:w="1013" w:type="dxa"/>
          </w:tcPr>
          <w:p w14:paraId="5BC2E05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021</w:t>
            </w:r>
          </w:p>
        </w:tc>
        <w:tc>
          <w:tcPr>
            <w:tcW w:w="2107" w:type="dxa"/>
          </w:tcPr>
          <w:p w14:paraId="5E262607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788DB700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B87364" w14:paraId="40E6B2CB" w14:textId="77777777">
        <w:tc>
          <w:tcPr>
            <w:tcW w:w="4218" w:type="dxa"/>
          </w:tcPr>
          <w:p w14:paraId="2E020212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Počítače s príslušenstvom</w:t>
            </w:r>
          </w:p>
        </w:tc>
        <w:tc>
          <w:tcPr>
            <w:tcW w:w="1013" w:type="dxa"/>
          </w:tcPr>
          <w:p w14:paraId="1E16288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531EBC62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5D2DCB8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7BBD7BC2" w14:textId="77777777">
        <w:tc>
          <w:tcPr>
            <w:tcW w:w="4218" w:type="dxa"/>
          </w:tcPr>
          <w:p w14:paraId="6D65F607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Dopravné prostriedky</w:t>
            </w:r>
          </w:p>
        </w:tc>
        <w:tc>
          <w:tcPr>
            <w:tcW w:w="1013" w:type="dxa"/>
          </w:tcPr>
          <w:p w14:paraId="7B9C540A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3750FA3F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389D0B0B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0B4F222A" w14:textId="77777777">
        <w:tc>
          <w:tcPr>
            <w:tcW w:w="4218" w:type="dxa"/>
          </w:tcPr>
          <w:p w14:paraId="2F41CEB8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Ostatné stroje</w:t>
            </w:r>
          </w:p>
        </w:tc>
        <w:tc>
          <w:tcPr>
            <w:tcW w:w="1013" w:type="dxa"/>
          </w:tcPr>
          <w:p w14:paraId="0AA42B7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</w:tcPr>
          <w:p w14:paraId="5723ED56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1854E12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  <w:tr w:rsidR="00B87364" w14:paraId="16F7F708" w14:textId="77777777">
        <w:tc>
          <w:tcPr>
            <w:tcW w:w="4218" w:type="dxa"/>
          </w:tcPr>
          <w:p w14:paraId="75DE5C2D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3" w:type="dxa"/>
          </w:tcPr>
          <w:p w14:paraId="6E83300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022</w:t>
            </w:r>
          </w:p>
        </w:tc>
        <w:tc>
          <w:tcPr>
            <w:tcW w:w="2107" w:type="dxa"/>
          </w:tcPr>
          <w:p w14:paraId="39D60B7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38240AC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25</w:t>
            </w:r>
          </w:p>
        </w:tc>
      </w:tr>
    </w:tbl>
    <w:p w14:paraId="41CC9AA3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615549E9" w14:textId="77777777" w:rsidR="00B87364" w:rsidRDefault="00752F78">
      <w:pPr>
        <w:spacing w:after="120" w:line="240" w:lineRule="auto"/>
      </w:pPr>
      <w:r>
        <w:rPr>
          <w:rFonts w:ascii="Calibri" w:eastAsia="Calibri" w:hAnsi="Calibri" w:cs="Calibri"/>
          <w:sz w:val="24"/>
          <w:szCs w:val="24"/>
        </w:rPr>
        <w:t xml:space="preserve">Komentár k odpisovému plánu: </w:t>
      </w:r>
    </w:p>
    <w:p w14:paraId="200162A9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 w14:paraId="7032C043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 w14:paraId="6606C67E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 w14:paraId="2CF9CF3A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UJ nepoužila jednorazový odpis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dlhodobého majetku z dôvodu jednorazového trvalého zníženia hodnoty majetku (§ 21/5 PU).</w:t>
      </w:r>
    </w:p>
    <w:p w14:paraId="068FBCCA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 w14:paraId="534A4741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 w14:paraId="639C7974" w14:textId="77777777" w:rsidR="00B87364" w:rsidRDefault="00752F78">
      <w:pPr>
        <w:numPr>
          <w:ilvl w:val="0"/>
          <w:numId w:val="2"/>
        </w:numPr>
        <w:spacing w:after="120" w:line="240" w:lineRule="auto"/>
        <w:ind w:left="227" w:hanging="227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 w14:paraId="04EC461D" w14:textId="77777777" w:rsidR="00B87364" w:rsidRDefault="00752F78">
      <w:pPr>
        <w:numPr>
          <w:ilvl w:val="0"/>
          <w:numId w:val="2"/>
        </w:numPr>
        <w:spacing w:after="120" w:line="240" w:lineRule="auto"/>
        <w:ind w:hanging="360"/>
        <w:jc w:val="both"/>
        <w:rPr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 w14:paraId="774A7A62" w14:textId="77777777" w:rsidR="00B87364" w:rsidRDefault="00B87364">
      <w:pPr>
        <w:spacing w:after="120" w:line="240" w:lineRule="auto"/>
        <w:jc w:val="both"/>
      </w:pPr>
    </w:p>
    <w:p w14:paraId="7F45F61D" w14:textId="1BBE4673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g) ÚJ neb</w:t>
      </w:r>
      <w:r w:rsidR="00310231">
        <w:rPr>
          <w:rFonts w:ascii="Calibri" w:eastAsia="Calibri" w:hAnsi="Calibri" w:cs="Calibri"/>
          <w:sz w:val="24"/>
          <w:szCs w:val="24"/>
        </w:rPr>
        <w:t>oli v zdaňovacom období roku 202</w:t>
      </w:r>
      <w:r w:rsidR="008C5947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poskytnuté žiadne dotácie</w:t>
      </w:r>
    </w:p>
    <w:p w14:paraId="39FFA1C2" w14:textId="77777777" w:rsidR="00B87364" w:rsidRDefault="00B87364">
      <w:pPr>
        <w:keepNext/>
        <w:spacing w:after="120" w:line="240" w:lineRule="auto"/>
        <w:jc w:val="both"/>
      </w:pPr>
    </w:p>
    <w:p w14:paraId="1EED669F" w14:textId="66D8E65D" w:rsidR="00B87364" w:rsidRDefault="00752F78">
      <w:pPr>
        <w:spacing w:line="240" w:lineRule="auto"/>
      </w:pPr>
      <w:r>
        <w:rPr>
          <w:rFonts w:ascii="Calibri" w:eastAsia="Calibri" w:hAnsi="Calibri" w:cs="Calibri"/>
          <w:sz w:val="24"/>
          <w:szCs w:val="24"/>
        </w:rPr>
        <w:t>5)</w:t>
      </w:r>
      <w:r w:rsidR="00310231">
        <w:rPr>
          <w:rFonts w:ascii="Calibri" w:eastAsia="Calibri" w:hAnsi="Calibri" w:cs="Calibri"/>
          <w:sz w:val="24"/>
          <w:szCs w:val="24"/>
        </w:rPr>
        <w:t xml:space="preserve"> ÚJ v zdaňovacom období roku 202</w:t>
      </w:r>
      <w:r w:rsidR="008C5947">
        <w:rPr>
          <w:rFonts w:ascii="Calibri" w:eastAsia="Calibri" w:hAnsi="Calibri" w:cs="Calibri"/>
          <w:sz w:val="24"/>
          <w:szCs w:val="24"/>
        </w:rPr>
        <w:t>4</w:t>
      </w:r>
      <w:r>
        <w:rPr>
          <w:rFonts w:ascii="Calibri" w:eastAsia="Calibri" w:hAnsi="Calibri" w:cs="Calibri"/>
          <w:sz w:val="24"/>
          <w:szCs w:val="24"/>
        </w:rPr>
        <w:t xml:space="preserve"> nevykonala žiadne opravy významných chýb.</w:t>
      </w:r>
    </w:p>
    <w:p w14:paraId="14869EC2" w14:textId="77777777" w:rsidR="00B87364" w:rsidRDefault="00B87364">
      <w:pPr>
        <w:spacing w:line="240" w:lineRule="auto"/>
        <w:jc w:val="both"/>
      </w:pPr>
    </w:p>
    <w:p w14:paraId="0B852669" w14:textId="77777777" w:rsidR="00B87364" w:rsidRDefault="00B87364">
      <w:pPr>
        <w:spacing w:line="240" w:lineRule="auto"/>
        <w:jc w:val="both"/>
      </w:pPr>
    </w:p>
    <w:p w14:paraId="0E1F4AE3" w14:textId="77777777" w:rsidR="00B87364" w:rsidRDefault="00B87364">
      <w:pPr>
        <w:spacing w:line="240" w:lineRule="auto"/>
        <w:jc w:val="both"/>
      </w:pPr>
    </w:p>
    <w:p w14:paraId="6188978B" w14:textId="77777777" w:rsidR="00B87364" w:rsidRDefault="00B87364">
      <w:pPr>
        <w:spacing w:line="240" w:lineRule="auto"/>
        <w:jc w:val="both"/>
      </w:pPr>
    </w:p>
    <w:p w14:paraId="502A885C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IV – INFORMÁCIE, KTORÉ VYSVETĽUJÚ A DOPĹŇAJÚ SÚVAHU A VÝKAZ ZISKOV A STRÁT</w:t>
      </w:r>
    </w:p>
    <w:p w14:paraId="0ABE1B99" w14:textId="77777777" w:rsidR="00B87364" w:rsidRDefault="00B87364">
      <w:pPr>
        <w:spacing w:line="240" w:lineRule="auto"/>
        <w:ind w:right="-468"/>
        <w:jc w:val="both"/>
      </w:pPr>
    </w:p>
    <w:p w14:paraId="3A357ED2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neeviduje žiadne položky nehmotného majetku.</w:t>
      </w:r>
    </w:p>
    <w:p w14:paraId="314F07A5" w14:textId="77777777" w:rsidR="00B87364" w:rsidRDefault="00B87364">
      <w:pPr>
        <w:spacing w:after="120" w:line="240" w:lineRule="auto"/>
        <w:ind w:right="-471"/>
        <w:jc w:val="both"/>
      </w:pPr>
    </w:p>
    <w:p w14:paraId="3FE5181D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položky významných derivátov, majetku a záväzkoch zabezpečených derivátmi.</w:t>
      </w:r>
    </w:p>
    <w:p w14:paraId="52DADBD6" w14:textId="77777777" w:rsidR="00B87364" w:rsidRDefault="00B87364">
      <w:pPr>
        <w:spacing w:after="120" w:line="240" w:lineRule="auto"/>
        <w:jc w:val="both"/>
      </w:pPr>
    </w:p>
    <w:p w14:paraId="31308FA3" w14:textId="77777777" w:rsidR="00B87364" w:rsidRDefault="00752F78">
      <w:pPr>
        <w:spacing w:after="120" w:line="240" w:lineRule="auto"/>
        <w:ind w:right="-141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3a) ÚJ neeviduje žiadne položky zabezpečených záväzkov so zostatkovou dobou splatnosti dlhšou 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  <w:t xml:space="preserve"> ako 5 rokov:  </w:t>
      </w:r>
    </w:p>
    <w:p w14:paraId="2F033376" w14:textId="77777777" w:rsidR="00B87364" w:rsidRDefault="00B87364">
      <w:pPr>
        <w:spacing w:after="120" w:line="240" w:lineRule="auto"/>
        <w:ind w:right="-141"/>
        <w:jc w:val="both"/>
      </w:pPr>
    </w:p>
    <w:tbl>
      <w:tblPr>
        <w:tblStyle w:val="a4"/>
        <w:tblW w:w="971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76"/>
      </w:tblGrid>
      <w:tr w:rsidR="00B87364" w14:paraId="1FC84DA8" w14:textId="77777777">
        <w:trPr>
          <w:trHeight w:val="680"/>
          <w:jc w:val="center"/>
        </w:trPr>
        <w:tc>
          <w:tcPr>
            <w:tcW w:w="4785" w:type="dxa"/>
            <w:vAlign w:val="center"/>
          </w:tcPr>
          <w:p w14:paraId="28DA0824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Názov položky</w:t>
            </w:r>
          </w:p>
        </w:tc>
        <w:tc>
          <w:tcPr>
            <w:tcW w:w="2553" w:type="dxa"/>
            <w:vAlign w:val="center"/>
          </w:tcPr>
          <w:p w14:paraId="4F77117D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6" w:type="dxa"/>
            <w:vAlign w:val="center"/>
          </w:tcPr>
          <w:p w14:paraId="25E6BC08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B87364" w14:paraId="38FD1905" w14:textId="77777777">
        <w:trPr>
          <w:trHeight w:val="200"/>
          <w:jc w:val="center"/>
        </w:trPr>
        <w:tc>
          <w:tcPr>
            <w:tcW w:w="4785" w:type="dxa"/>
            <w:vAlign w:val="center"/>
          </w:tcPr>
          <w:p w14:paraId="6257FC32" w14:textId="77777777" w:rsidR="00B87364" w:rsidRDefault="00752F78">
            <w:pPr>
              <w:spacing w:line="240" w:lineRule="auto"/>
            </w:pPr>
            <w:r>
              <w:rPr>
                <w:rFonts w:ascii="Calibri" w:eastAsia="Calibri" w:hAnsi="Calibri" w:cs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3" w:type="dxa"/>
            <w:vAlign w:val="center"/>
          </w:tcPr>
          <w:p w14:paraId="64730605" w14:textId="77777777" w:rsidR="00B87364" w:rsidRDefault="00752F78">
            <w:pPr>
              <w:spacing w:line="240" w:lineRule="auto"/>
              <w:jc w:val="center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2376" w:type="dxa"/>
            <w:vAlign w:val="center"/>
          </w:tcPr>
          <w:p w14:paraId="2BBAD153" w14:textId="77777777" w:rsidR="00B87364" w:rsidRDefault="00752F78">
            <w:pPr>
              <w:spacing w:line="240" w:lineRule="auto"/>
              <w:jc w:val="both"/>
            </w:pPr>
            <w:r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</w:tr>
    </w:tbl>
    <w:p w14:paraId="60B5B3AD" w14:textId="77777777" w:rsidR="00B87364" w:rsidRDefault="00B87364">
      <w:pPr>
        <w:spacing w:before="120" w:line="240" w:lineRule="auto"/>
        <w:ind w:right="-471"/>
        <w:jc w:val="both"/>
      </w:pPr>
    </w:p>
    <w:p w14:paraId="35BACC0A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3b) ÚJ neeviduje žiadne položky zabezpečených záväzkov.</w:t>
      </w:r>
    </w:p>
    <w:p w14:paraId="5A326D74" w14:textId="77777777" w:rsidR="00B87364" w:rsidRDefault="00B87364">
      <w:pPr>
        <w:spacing w:after="120" w:line="240" w:lineRule="auto"/>
        <w:ind w:right="-471"/>
        <w:jc w:val="both"/>
      </w:pPr>
    </w:p>
    <w:p w14:paraId="5B9DE277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4) ÚJ neeviduje žiadne vlastné akcie.</w:t>
      </w:r>
    </w:p>
    <w:p w14:paraId="5305DB93" w14:textId="77777777" w:rsidR="00B87364" w:rsidRDefault="00B87364">
      <w:pPr>
        <w:spacing w:after="120" w:line="240" w:lineRule="auto"/>
        <w:ind w:right="-471"/>
        <w:jc w:val="both"/>
      </w:pPr>
    </w:p>
    <w:p w14:paraId="22C58945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5) ÚJ neeviduje žiadne položky nákladov alebo výnosov, ktoré majú výnimočný rozsah alebo výskyt.</w:t>
      </w:r>
    </w:p>
    <w:p w14:paraId="0F2FE101" w14:textId="77777777" w:rsidR="00B87364" w:rsidRDefault="00B87364">
      <w:pPr>
        <w:spacing w:line="240" w:lineRule="auto"/>
        <w:jc w:val="both"/>
      </w:pPr>
    </w:p>
    <w:p w14:paraId="3AD79B09" w14:textId="77777777" w:rsidR="00B87364" w:rsidRDefault="00B87364">
      <w:pPr>
        <w:spacing w:after="120" w:line="240" w:lineRule="auto"/>
        <w:ind w:right="-471"/>
        <w:jc w:val="both"/>
      </w:pPr>
    </w:p>
    <w:p w14:paraId="7C638088" w14:textId="77777777" w:rsidR="00B87364" w:rsidRDefault="00752F78">
      <w:pPr>
        <w:spacing w:after="120" w:line="240" w:lineRule="auto"/>
        <w:ind w:right="-471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 – INFORMÁCIE O INÝCH AKTÍVACH A INÝCH PASÍVACH</w:t>
      </w:r>
    </w:p>
    <w:p w14:paraId="1046E090" w14:textId="77777777" w:rsidR="00B87364" w:rsidRDefault="00B87364">
      <w:pPr>
        <w:spacing w:after="120" w:line="240" w:lineRule="auto"/>
        <w:ind w:right="-471"/>
        <w:jc w:val="center"/>
      </w:pPr>
    </w:p>
    <w:p w14:paraId="0A21B13C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1a) ÚJ neeviduje žiadne položky podmieneného majetku.</w:t>
      </w:r>
    </w:p>
    <w:p w14:paraId="4998F1C2" w14:textId="77777777" w:rsidR="00B87364" w:rsidRDefault="00B87364">
      <w:pPr>
        <w:spacing w:line="240" w:lineRule="auto"/>
        <w:jc w:val="both"/>
      </w:pPr>
    </w:p>
    <w:p w14:paraId="0B7F8AB4" w14:textId="77777777" w:rsidR="00B87364" w:rsidRDefault="00B87364">
      <w:pPr>
        <w:spacing w:line="240" w:lineRule="auto"/>
        <w:jc w:val="both"/>
      </w:pPr>
    </w:p>
    <w:p w14:paraId="36F8CC18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1b) ÚJ neeviduje žiadne položky podmienených záväzkov.</w:t>
      </w:r>
    </w:p>
    <w:p w14:paraId="01BA911C" w14:textId="77777777" w:rsidR="00B87364" w:rsidRDefault="00B87364">
      <w:pPr>
        <w:spacing w:after="120" w:line="240" w:lineRule="auto"/>
        <w:jc w:val="both"/>
      </w:pPr>
    </w:p>
    <w:p w14:paraId="6D5D9139" w14:textId="77777777" w:rsidR="00B87364" w:rsidRDefault="00B87364">
      <w:pPr>
        <w:spacing w:line="240" w:lineRule="auto"/>
        <w:jc w:val="both"/>
      </w:pPr>
    </w:p>
    <w:p w14:paraId="39991E70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2) ÚJ neeviduje žiadne ostatné finančné povinnosti, ktoré a nevykazujú v účtovných výkazoch.</w:t>
      </w:r>
    </w:p>
    <w:p w14:paraId="42317A4A" w14:textId="77777777" w:rsidR="00B87364" w:rsidRDefault="00B87364">
      <w:pPr>
        <w:spacing w:line="240" w:lineRule="auto"/>
        <w:jc w:val="both"/>
      </w:pPr>
    </w:p>
    <w:p w14:paraId="7F2D4D48" w14:textId="77777777" w:rsidR="00B87364" w:rsidRDefault="00B87364">
      <w:pPr>
        <w:spacing w:line="240" w:lineRule="auto"/>
        <w:jc w:val="both"/>
      </w:pPr>
    </w:p>
    <w:p w14:paraId="07FAD2A6" w14:textId="77777777" w:rsidR="00B87364" w:rsidRDefault="00752F78">
      <w:pPr>
        <w:spacing w:after="120"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3 V účtovníctve ÚJ sa nenachádzajú žiadne položky evidované na podsúvahových účtoch.</w:t>
      </w:r>
    </w:p>
    <w:p w14:paraId="3C6FD7C9" w14:textId="77777777" w:rsidR="00B87364" w:rsidRDefault="00B87364">
      <w:pPr>
        <w:spacing w:line="240" w:lineRule="auto"/>
        <w:jc w:val="both"/>
      </w:pPr>
    </w:p>
    <w:p w14:paraId="29B61DAD" w14:textId="77777777" w:rsidR="00B87364" w:rsidRDefault="00B87364">
      <w:pPr>
        <w:spacing w:line="240" w:lineRule="auto"/>
        <w:jc w:val="both"/>
      </w:pPr>
    </w:p>
    <w:p w14:paraId="4A9D3FA7" w14:textId="77777777" w:rsidR="00B87364" w:rsidRDefault="00B87364">
      <w:pPr>
        <w:spacing w:line="240" w:lineRule="auto"/>
        <w:jc w:val="both"/>
      </w:pPr>
    </w:p>
    <w:p w14:paraId="0D9FC04A" w14:textId="77777777" w:rsidR="00B87364" w:rsidRDefault="00B87364">
      <w:pPr>
        <w:spacing w:line="240" w:lineRule="auto"/>
        <w:ind w:right="-468"/>
        <w:jc w:val="center"/>
      </w:pPr>
    </w:p>
    <w:p w14:paraId="44A08976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 – UDALOSTI, KTORÉ NASTALI PO ZÁVIERKOVOM DNI</w:t>
      </w:r>
    </w:p>
    <w:p w14:paraId="5DC63EA5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(Následné udalosti)</w:t>
      </w:r>
    </w:p>
    <w:p w14:paraId="195E246C" w14:textId="77777777" w:rsidR="00B87364" w:rsidRDefault="00B87364">
      <w:pPr>
        <w:spacing w:line="240" w:lineRule="auto"/>
        <w:ind w:right="-468"/>
        <w:jc w:val="center"/>
      </w:pPr>
    </w:p>
    <w:p w14:paraId="4BA80CF7" w14:textId="77777777" w:rsidR="00B87364" w:rsidRDefault="00752F78">
      <w:pPr>
        <w:spacing w:line="240" w:lineRule="auto"/>
        <w:jc w:val="both"/>
      </w:pPr>
      <w:r>
        <w:rPr>
          <w:rFonts w:ascii="Calibri" w:eastAsia="Calibri" w:hAnsi="Calibri" w:cs="Calibri"/>
          <w:sz w:val="24"/>
          <w:szCs w:val="24"/>
        </w:rPr>
        <w:t>ÚJ neeviduje žiadne udalosti, ktoré nastali po závierkovom dni.</w:t>
      </w:r>
    </w:p>
    <w:p w14:paraId="09062F62" w14:textId="77777777" w:rsidR="00B87364" w:rsidRDefault="00B87364">
      <w:pPr>
        <w:spacing w:line="240" w:lineRule="auto"/>
        <w:ind w:right="-468"/>
        <w:jc w:val="center"/>
      </w:pPr>
    </w:p>
    <w:p w14:paraId="4D54794C" w14:textId="77777777" w:rsidR="00B87364" w:rsidRDefault="00B87364">
      <w:pPr>
        <w:spacing w:line="240" w:lineRule="auto"/>
        <w:ind w:right="-468"/>
        <w:jc w:val="center"/>
      </w:pPr>
    </w:p>
    <w:p w14:paraId="3CBE4961" w14:textId="77777777" w:rsidR="00B87364" w:rsidRDefault="00752F78">
      <w:pPr>
        <w:spacing w:line="240" w:lineRule="auto"/>
        <w:ind w:right="-468"/>
        <w:jc w:val="center"/>
      </w:pPr>
      <w:r>
        <w:rPr>
          <w:rFonts w:ascii="Calibri" w:eastAsia="Calibri" w:hAnsi="Calibri" w:cs="Calibri"/>
          <w:b/>
          <w:sz w:val="24"/>
          <w:szCs w:val="24"/>
        </w:rPr>
        <w:t>Článok VII – OSTATNÉ INFORMÁCIE</w:t>
      </w:r>
    </w:p>
    <w:p w14:paraId="6B11CFE0" w14:textId="77777777" w:rsidR="00B87364" w:rsidRDefault="00B87364">
      <w:pPr>
        <w:spacing w:line="240" w:lineRule="auto"/>
        <w:ind w:right="-468"/>
        <w:jc w:val="both"/>
      </w:pPr>
    </w:p>
    <w:p w14:paraId="2560A2B6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1) ÚJ nemá žiadne právo poskytovať služby vo verejnom záujme.</w:t>
      </w: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074EEDF9" w14:textId="77777777" w:rsidR="00B87364" w:rsidRDefault="00B87364">
      <w:pPr>
        <w:spacing w:after="120" w:line="240" w:lineRule="auto"/>
        <w:ind w:right="-471"/>
        <w:jc w:val="both"/>
      </w:pPr>
    </w:p>
    <w:p w14:paraId="7A0C125D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2) ÚJ nemá žiadnu priemyselnú výrobu. (§ 23d/6 ZoU)</w:t>
      </w:r>
    </w:p>
    <w:p w14:paraId="3C2980BB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p w14:paraId="1F3C6505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>3) ÚJ nemá žiadne finančné vzťahy s orgánmi verejnej moci. (§ 23d/6 ZoU)</w:t>
      </w:r>
    </w:p>
    <w:p w14:paraId="6AFC378C" w14:textId="77777777" w:rsidR="00B87364" w:rsidRDefault="00B87364">
      <w:pPr>
        <w:spacing w:after="120" w:line="240" w:lineRule="auto"/>
        <w:ind w:right="-471"/>
        <w:jc w:val="both"/>
      </w:pPr>
    </w:p>
    <w:p w14:paraId="68EBE1AE" w14:textId="77777777" w:rsidR="00B87364" w:rsidRDefault="00B87364">
      <w:pPr>
        <w:spacing w:after="120" w:line="240" w:lineRule="auto"/>
      </w:pPr>
    </w:p>
    <w:p w14:paraId="3C3DB8BD" w14:textId="77777777" w:rsidR="00B87364" w:rsidRDefault="00752F78">
      <w:pPr>
        <w:spacing w:after="120" w:line="240" w:lineRule="auto"/>
        <w:ind w:right="-471"/>
        <w:jc w:val="both"/>
      </w:pPr>
      <w:r>
        <w:rPr>
          <w:rFonts w:ascii="Calibri" w:eastAsia="Calibri" w:hAnsi="Calibri" w:cs="Calibri"/>
          <w:sz w:val="24"/>
          <w:szCs w:val="24"/>
        </w:rPr>
        <w:tab/>
      </w:r>
      <w:r>
        <w:rPr>
          <w:rFonts w:ascii="Calibri" w:eastAsia="Calibri" w:hAnsi="Calibri" w:cs="Calibri"/>
          <w:sz w:val="24"/>
          <w:szCs w:val="24"/>
        </w:rPr>
        <w:tab/>
      </w:r>
    </w:p>
    <w:sectPr w:rsidR="00B87364" w:rsidSect="00FF1471">
      <w:headerReference w:type="default" r:id="rId7"/>
      <w:footerReference w:type="default" r:id="rId8"/>
      <w:pgSz w:w="11907" w:h="16840"/>
      <w:pgMar w:top="1417" w:right="992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9B48B" w14:textId="77777777" w:rsidR="007F0139" w:rsidRDefault="007F0139">
      <w:pPr>
        <w:spacing w:line="240" w:lineRule="auto"/>
      </w:pPr>
      <w:r>
        <w:separator/>
      </w:r>
    </w:p>
  </w:endnote>
  <w:endnote w:type="continuationSeparator" w:id="0">
    <w:p w14:paraId="19724520" w14:textId="77777777" w:rsidR="007F0139" w:rsidRDefault="007F01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7BAB" w14:textId="77777777" w:rsidR="00B87364" w:rsidRDefault="009F771C">
    <w:pPr>
      <w:tabs>
        <w:tab w:val="center" w:pos="4536"/>
        <w:tab w:val="right" w:pos="9072"/>
      </w:tabs>
      <w:spacing w:line="240" w:lineRule="auto"/>
      <w:jc w:val="right"/>
    </w:pPr>
    <w:r>
      <w:fldChar w:fldCharType="begin"/>
    </w:r>
    <w:r w:rsidR="00752F78">
      <w:instrText>PAGE</w:instrText>
    </w:r>
    <w:r>
      <w:fldChar w:fldCharType="separate"/>
    </w:r>
    <w:r w:rsidR="00310231">
      <w:rPr>
        <w:noProof/>
      </w:rPr>
      <w:t>6</w:t>
    </w:r>
    <w:r>
      <w:fldChar w:fldCharType="end"/>
    </w:r>
  </w:p>
  <w:p w14:paraId="2D88FEA1" w14:textId="77777777" w:rsidR="00B87364" w:rsidRDefault="00B87364">
    <w:pPr>
      <w:tabs>
        <w:tab w:val="center" w:pos="4536"/>
        <w:tab w:val="right" w:pos="9072"/>
      </w:tabs>
      <w:spacing w:after="567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052B8" w14:textId="77777777" w:rsidR="007F0139" w:rsidRDefault="007F0139">
      <w:pPr>
        <w:spacing w:line="240" w:lineRule="auto"/>
      </w:pPr>
      <w:r>
        <w:separator/>
      </w:r>
    </w:p>
  </w:footnote>
  <w:footnote w:type="continuationSeparator" w:id="0">
    <w:p w14:paraId="50907CB5" w14:textId="77777777" w:rsidR="007F0139" w:rsidRDefault="007F013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6C948" w14:textId="77777777" w:rsidR="00B87364" w:rsidRDefault="00752F78">
    <w:pPr>
      <w:widowControl w:val="0"/>
      <w:tabs>
        <w:tab w:val="left" w:pos="2990"/>
        <w:tab w:val="left" w:pos="6348"/>
      </w:tabs>
      <w:spacing w:before="567" w:line="240" w:lineRule="auto"/>
      <w:ind w:left="-397"/>
      <w:jc w:val="center"/>
    </w:pPr>
    <w:r>
      <w:t xml:space="preserve"> Poznámky Úč POD 3 – 01          </w:t>
    </w:r>
    <w:r>
      <w:rPr>
        <w:color w:val="707070"/>
        <w:sz w:val="18"/>
        <w:szCs w:val="18"/>
        <w:highlight w:val="white"/>
      </w:rPr>
      <w:tab/>
    </w:r>
    <w:r>
      <w:t xml:space="preserve">                 IČO: </w:t>
    </w:r>
    <w:r w:rsidR="001C3389">
      <w:t>47580593         DIČ: 2023981905</w:t>
    </w:r>
  </w:p>
  <w:p w14:paraId="6D2490B7" w14:textId="77777777" w:rsidR="00B87364" w:rsidRDefault="00B87364">
    <w:pPr>
      <w:tabs>
        <w:tab w:val="center" w:pos="4703"/>
        <w:tab w:val="right" w:pos="9406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64C91"/>
    <w:multiLevelType w:val="multilevel"/>
    <w:tmpl w:val="1EECCF62"/>
    <w:lvl w:ilvl="0"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286D243E"/>
    <w:multiLevelType w:val="multilevel"/>
    <w:tmpl w:val="5072A10A"/>
    <w:lvl w:ilvl="0">
      <w:start w:val="6"/>
      <w:numFmt w:val="bullet"/>
      <w:lvlText w:val="-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4CAE6D9F"/>
    <w:multiLevelType w:val="multilevel"/>
    <w:tmpl w:val="6D68A1C2"/>
    <w:lvl w:ilvl="0">
      <w:start w:val="1"/>
      <w:numFmt w:val="bullet"/>
      <w:lvlText w:val="➢"/>
      <w:lvlJc w:val="left"/>
      <w:pPr>
        <w:ind w:left="360" w:firstLine="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</w:abstractNum>
  <w:num w:numId="1" w16cid:durableId="1208372314">
    <w:abstractNumId w:val="1"/>
  </w:num>
  <w:num w:numId="2" w16cid:durableId="1527907328">
    <w:abstractNumId w:val="2"/>
  </w:num>
  <w:num w:numId="3" w16cid:durableId="147064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64"/>
    <w:rsid w:val="00023FC4"/>
    <w:rsid w:val="000B4AB3"/>
    <w:rsid w:val="000F7B2F"/>
    <w:rsid w:val="001024C4"/>
    <w:rsid w:val="001044E0"/>
    <w:rsid w:val="00182DC8"/>
    <w:rsid w:val="001C3389"/>
    <w:rsid w:val="001E1E59"/>
    <w:rsid w:val="00220ADC"/>
    <w:rsid w:val="00270825"/>
    <w:rsid w:val="00310231"/>
    <w:rsid w:val="003138EA"/>
    <w:rsid w:val="00324025"/>
    <w:rsid w:val="003459F0"/>
    <w:rsid w:val="003472EF"/>
    <w:rsid w:val="00450E83"/>
    <w:rsid w:val="004C3B25"/>
    <w:rsid w:val="004D343B"/>
    <w:rsid w:val="00630293"/>
    <w:rsid w:val="006357DB"/>
    <w:rsid w:val="00690DEC"/>
    <w:rsid w:val="007058F8"/>
    <w:rsid w:val="00752F78"/>
    <w:rsid w:val="007B23BD"/>
    <w:rsid w:val="007F0139"/>
    <w:rsid w:val="007F4DAB"/>
    <w:rsid w:val="008303B2"/>
    <w:rsid w:val="008A730C"/>
    <w:rsid w:val="008C5947"/>
    <w:rsid w:val="00943809"/>
    <w:rsid w:val="0097737C"/>
    <w:rsid w:val="009F771C"/>
    <w:rsid w:val="00A67C67"/>
    <w:rsid w:val="00B87364"/>
    <w:rsid w:val="00C36EB0"/>
    <w:rsid w:val="00CF2930"/>
    <w:rsid w:val="00D107DB"/>
    <w:rsid w:val="00D93A46"/>
    <w:rsid w:val="00DE22B4"/>
    <w:rsid w:val="00EB41F8"/>
    <w:rsid w:val="00EC2695"/>
    <w:rsid w:val="00FF1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E660E"/>
  <w15:docId w15:val="{5FE9542B-3C12-4968-8773-6BB6C3820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sk-SK" w:eastAsia="sk-SK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459F0"/>
  </w:style>
  <w:style w:type="paragraph" w:styleId="Pta">
    <w:name w:val="footer"/>
    <w:basedOn w:val="Normlny"/>
    <w:link w:val="PtaChar"/>
    <w:uiPriority w:val="99"/>
    <w:unhideWhenUsed/>
    <w:rsid w:val="003459F0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459F0"/>
  </w:style>
  <w:style w:type="character" w:customStyle="1" w:styleId="apple-converted-space">
    <w:name w:val="apple-converted-space"/>
    <w:basedOn w:val="Predvolenpsmoodseku"/>
    <w:rsid w:val="009773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1205</Words>
  <Characters>6875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Lenovo</cp:lastModifiedBy>
  <cp:revision>3</cp:revision>
  <dcterms:created xsi:type="dcterms:W3CDTF">2025-03-29T13:09:00Z</dcterms:created>
  <dcterms:modified xsi:type="dcterms:W3CDTF">2025-03-29T13:10:00Z</dcterms:modified>
</cp:coreProperties>
</file>