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glossary/_rels/document.xml.rels" ContentType="application/vnd.openxmlformats-package.relationships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settings.xml" ContentType="application/vnd.openxmlformats-officedocument.wordprocessingml.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b/>
          <w:b/>
          <w:sz w:val="36"/>
          <w:szCs w:val="24"/>
          <w:u w:val="single"/>
        </w:rPr>
      </w:pPr>
      <w:r>
        <w:rPr>
          <w:b/>
          <w:sz w:val="36"/>
          <w:szCs w:val="24"/>
          <w:u w:val="single"/>
        </w:rPr>
        <w:t>Poznámky k 31.12.2024</w:t>
      </w:r>
    </w:p>
    <w:p>
      <w:pPr>
        <w:pStyle w:val="Normal"/>
        <w:jc w:val="center"/>
        <w:rPr>
          <w:b/>
          <w:b/>
          <w:sz w:val="36"/>
          <w:szCs w:val="24"/>
          <w:u w:val="single"/>
        </w:rPr>
      </w:pPr>
      <w:r>
        <w:rPr>
          <w:b/>
          <w:sz w:val="36"/>
          <w:szCs w:val="24"/>
          <w:u w:val="single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"/>
        </w:numPr>
        <w:tabs>
          <w:tab w:val="left" w:pos="284" w:leader="none"/>
        </w:tabs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9498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4781"/>
        <w:gridCol w:w="4716"/>
      </w:tblGrid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4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rPr/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4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Nižná Boca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left"/>
              <w:rPr/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4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>
                <w:sz w:val="24"/>
                <w:szCs w:val="24"/>
              </w:rPr>
              <w:t>Nižná Boca č. 3, 032 34 Malužiná</w:t>
            </w:r>
            <w:r>
              <w:rPr>
                <w:b/>
                <w:sz w:val="36"/>
              </w:rPr>
              <w:t xml:space="preserve">  </w:t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4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00315648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4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č.369/1990 Zb. o obecnom zriadení.</w:t>
            </w:r>
            <w:r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4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- zo zákona č.369/1990 Zb. 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b) Právny dôvod na zostavenie účtovnej závierk</w:t>
            </w:r>
            <w:bookmarkStart w:id="0" w:name="__DdeLink__2686_1639708795"/>
            <w:r>
              <w:rPr>
                <w:sz w:val="24"/>
                <w:szCs w:val="24"/>
              </w:rPr>
              <w:t>y</w:t>
            </w:r>
            <w:bookmarkEnd w:id="0"/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4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sz w:val="24"/>
                <w:szCs w:val="24"/>
              </w:rPr>
              <w:t>riadna za účtovné obodobie od 1.1. 2024 do 31.12.2024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4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"/>
              <w:rPr>
                <w:rFonts w:cs="Tahoma"/>
                <w:b/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nie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4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"/>
        </w:numPr>
        <w:tabs>
          <w:tab w:val="left" w:pos="284" w:leader="none"/>
        </w:tabs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9498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4781"/>
        <w:gridCol w:w="4716"/>
      </w:tblGrid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4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  <w:highlight w:val="white"/>
              </w:rPr>
            </w:pPr>
            <w:r>
              <w:rPr>
                <w:sz w:val="24"/>
                <w:szCs w:val="24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fill="FFFFFF" w:val="clear"/>
              </w:rPr>
              <w:t>pri výkone samosprávy starostlivosť o všestranný rozvoj jej územia a o potreby jej obyvateľov</w:t>
            </w:r>
          </w:p>
        </w:tc>
      </w:tr>
    </w:tbl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"/>
        </w:numPr>
        <w:tabs>
          <w:tab w:val="left" w:pos="284" w:leader="none"/>
        </w:tabs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9498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4781"/>
        <w:gridCol w:w="4716"/>
      </w:tblGrid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4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Silvia Skusilová</w:t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4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Milan Hromádka, zástupca starostky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>
            <w:pPr>
              <w:pStyle w:val="Normal"/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4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4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 nie je delený na útvary</w:t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/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/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/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/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/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2"/>
        </w:numPr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</w:t>
        <w:tab/>
        <w:tab/>
        <w:tab/>
        <w:tab/>
        <w:t xml:space="preserve">- áno     </w:t>
      </w:r>
    </w:p>
    <w:p>
      <w:pPr>
        <w:pStyle w:val="Normal"/>
        <w:ind w:left="284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</w:t>
      </w:r>
    </w:p>
    <w:p>
      <w:pPr>
        <w:pStyle w:val="Normal"/>
        <w:spacing w:lineRule="auto" w:line="36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2"/>
        </w:numPr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>
      <w:pPr>
        <w:pStyle w:val="Normal"/>
        <w:ind w:left="284" w:hanging="0"/>
        <w:jc w:val="both"/>
        <w:rPr>
          <w:rFonts w:cs="Tahoma"/>
          <w:b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nezmenila účtovné metódy, účtovné zásady oproti predchádzajúcemu účtovnému obdobiu                                                                                       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2"/>
        </w:numPr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9498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6378"/>
        <w:gridCol w:w="3119"/>
      </w:tblGrid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ind w:left="1" w:hanging="0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>
            <w:pPr>
              <w:pStyle w:val="Normal"/>
              <w:ind w:left="284" w:hanging="0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ind w:left="1" w:hanging="0"/>
              <w:jc w:val="left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>
            <w:pPr>
              <w:pStyle w:val="Telotextu"/>
              <w:ind w:left="0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pasím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ind w:left="34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>
      <w:pPr>
        <w:pStyle w:val="Normal"/>
        <w:ind w:left="284" w:hanging="0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</w:r>
    </w:p>
    <w:p>
      <w:pPr>
        <w:pStyle w:val="Normal"/>
        <w:numPr>
          <w:ilvl w:val="0"/>
          <w:numId w:val="2"/>
        </w:numPr>
        <w:tabs>
          <w:tab w:val="left" w:pos="284" w:leader="none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>
      <w:pPr>
        <w:pStyle w:val="Normal"/>
        <w:ind w:left="284" w:hanging="0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</w:r>
    </w:p>
    <w:p>
      <w:pPr>
        <w:pStyle w:val="Normal"/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 prvým dňom mesiaca nasledujúceho po uvedení dlhodobého majetku do používania.</w:t>
      </w:r>
      <w:r>
        <w:rPr>
          <w:color w:val="FF0000"/>
          <w:sz w:val="24"/>
          <w:szCs w:val="24"/>
        </w:rPr>
        <w:t xml:space="preserve"> 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Spôsob zostavenia odpisového plánu – programové vybavenie v programe Topset Solutions s.r.o., Stupava.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Účtovná jednotka zaraďuje majetok do odpisových skupín 1-6 v zmysle zákona č.595/2003 Z.z. o dani z príjmov v z.n.p. Predpokladaná doba používania a odpisové sadzby sú stanovené vnútorným predpisom.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>Účtovné odpisy sa zaokrúhľujú na najbližší eurocent matematicky.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>V roku 2021 sa neupravovala doba odpisovania.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9072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2962"/>
        <w:gridCol w:w="3069"/>
        <w:gridCol w:w="3041"/>
      </w:tblGrid>
      <w:tr>
        <w:trPr/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Predpokladaná doba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Ročná odpisová sadzba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v %</w:t>
            </w:r>
          </w:p>
        </w:tc>
      </w:tr>
      <w:tr>
        <w:trPr/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6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16,66</w:t>
            </w:r>
          </w:p>
        </w:tc>
      </w:tr>
      <w:tr>
        <w:trPr/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2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10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10,00</w:t>
            </w:r>
          </w:p>
        </w:tc>
      </w:tr>
      <w:tr>
        <w:trPr/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3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20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5,00</w:t>
            </w:r>
          </w:p>
        </w:tc>
      </w:tr>
      <w:tr>
        <w:trPr/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4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20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5,00</w:t>
            </w:r>
          </w:p>
        </w:tc>
      </w:tr>
      <w:tr>
        <w:trPr/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5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50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2,00</w:t>
            </w:r>
          </w:p>
        </w:tc>
      </w:tr>
      <w:tr>
        <w:trPr/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6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50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2,00</w:t>
            </w:r>
          </w:p>
        </w:tc>
      </w:tr>
      <w:tr>
        <w:trPr/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7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2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50,00</w:t>
            </w:r>
          </w:p>
        </w:tc>
      </w:tr>
    </w:tbl>
    <w:p>
      <w:pPr>
        <w:pStyle w:val="Normal"/>
        <w:jc w:val="both"/>
        <w:rPr>
          <w:sz w:val="24"/>
        </w:rPr>
      </w:pPr>
      <w:r>
        <w:rPr>
          <w:sz w:val="24"/>
        </w:rPr>
      </w:r>
    </w:p>
    <w:p>
      <w:pPr>
        <w:pStyle w:val="Normal"/>
        <w:jc w:val="both"/>
        <w:rPr>
          <w:sz w:val="24"/>
        </w:rPr>
      </w:pPr>
      <w:r>
        <w:rPr>
          <w:sz w:val="24"/>
        </w:rPr>
        <w:t>Drobný dlhodobý nehmotný a hmotný majetok – skupina 7 sa odpisuje 2 roky.</w:t>
      </w:r>
    </w:p>
    <w:p>
      <w:pPr>
        <w:pStyle w:val="Normal"/>
        <w:jc w:val="both"/>
        <w:rPr>
          <w:sz w:val="24"/>
        </w:rPr>
      </w:pPr>
      <w:r>
        <w:rPr>
          <w:sz w:val="24"/>
        </w:rPr>
        <w:t>Drobný nehmotný majetok od 0,01 Eur do 2 400,00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>
      <w:pPr>
        <w:pStyle w:val="Normal"/>
        <w:jc w:val="both"/>
        <w:rPr/>
      </w:pPr>
      <w:r>
        <w:rPr>
          <w:sz w:val="24"/>
        </w:rPr>
        <w:t xml:space="preserve">Drobný hmotný majetok od 0,01 Eur do 1 700,00 Eur, ktorý podľa vnútorného predpisu účtovnej jednotky nie je dlhodobým hmotným majetkom sa účtuje priamo do nákladov na účet 501. Podľa predpokladanej doby používania sa zaeviduje do </w:t>
      </w:r>
      <w:r>
        <w:rPr>
          <w:sz w:val="24"/>
        </w:rPr>
        <w:t>operatívno technickej</w:t>
      </w:r>
      <w:r>
        <w:rPr>
          <w:sz w:val="24"/>
        </w:rPr>
        <w:t xml:space="preserve"> evidencie.</w:t>
      </w:r>
    </w:p>
    <w:p>
      <w:pPr>
        <w:pStyle w:val="Pismenka"/>
        <w:tabs>
          <w:tab w:val="clear" w:pos="426"/>
        </w:tabs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numPr>
          <w:ilvl w:val="0"/>
          <w:numId w:val="2"/>
        </w:numPr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>
      <w:pPr>
        <w:pStyle w:val="Normal"/>
        <w:ind w:left="284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opravnou položkou.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>
      <w:pPr>
        <w:pStyle w:val="Normal"/>
        <w:numPr>
          <w:ilvl w:val="0"/>
          <w:numId w:val="18"/>
        </w:numPr>
        <w:rPr/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/>
        <w:instrText> FORMCHECKBOX </w:instrText>
      </w:r>
      <w:r>
        <w:rPr/>
        <w:fldChar w:fldCharType="separate"/>
      </w:r>
      <w:bookmarkStart w:id="1" w:name="__Fieldmark__313_3722177511"/>
      <w:bookmarkStart w:id="2" w:name="__Fieldmark__315_1463304535"/>
      <w:bookmarkStart w:id="3" w:name="__Fieldmark__387_1639708795"/>
      <w:bookmarkStart w:id="4" w:name="__Fieldmark__313_3722177511"/>
      <w:bookmarkStart w:id="5" w:name="__Fieldmark__313_3722177511"/>
      <w:bookmarkEnd w:id="2"/>
      <w:bookmarkEnd w:id="3"/>
      <w:bookmarkEnd w:id="5"/>
      <w:r>
        <w:rPr/>
      </w:r>
      <w:r>
        <w:rPr/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>
      <w:pPr>
        <w:pStyle w:val="Normal"/>
        <w:numPr>
          <w:ilvl w:val="0"/>
          <w:numId w:val="18"/>
        </w:numPr>
        <w:rPr/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</w:t>
        <w:tab/>
        <w:tab/>
        <w:t xml:space="preserve">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/>
        <w:instrText> FORMCHECKBOX </w:instrText>
      </w:r>
      <w:r>
        <w:rPr/>
        <w:fldChar w:fldCharType="separate"/>
      </w:r>
      <w:bookmarkStart w:id="6" w:name="__Fieldmark__330_3722177511"/>
      <w:bookmarkStart w:id="7" w:name="__Fieldmark__329_1463304535"/>
      <w:bookmarkStart w:id="8" w:name="__Fieldmark__404_1639708795"/>
      <w:bookmarkStart w:id="9" w:name="__Fieldmark__330_3722177511"/>
      <w:bookmarkStart w:id="10" w:name="__Fieldmark__330_3722177511"/>
      <w:bookmarkEnd w:id="7"/>
      <w:bookmarkEnd w:id="8"/>
      <w:bookmarkEnd w:id="10"/>
      <w:r>
        <w:rPr/>
      </w:r>
      <w:r>
        <w:rPr/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>
      <w:pPr>
        <w:pStyle w:val="Normal"/>
        <w:numPr>
          <w:ilvl w:val="0"/>
          <w:numId w:val="18"/>
        </w:numPr>
        <w:rPr/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  <w:tab/>
        <w:tab/>
        <w:tab/>
        <w:tab/>
        <w:t xml:space="preserve">                      x</w:t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/>
        <w:instrText> FORMCHECKBOX </w:instrText>
      </w:r>
      <w:r>
        <w:rPr/>
        <w:fldChar w:fldCharType="separate"/>
      </w:r>
      <w:bookmarkStart w:id="11" w:name="__Fieldmark__350_3722177511"/>
      <w:bookmarkStart w:id="12" w:name="__Fieldmark__346_1463304535"/>
      <w:bookmarkStart w:id="13" w:name="__Fieldmark__418_1639708795"/>
      <w:bookmarkStart w:id="14" w:name="__Fieldmark__350_3722177511"/>
      <w:bookmarkStart w:id="15" w:name="__Fieldmark__350_3722177511"/>
      <w:bookmarkEnd w:id="12"/>
      <w:bookmarkEnd w:id="13"/>
      <w:bookmarkEnd w:id="15"/>
      <w:r>
        <w:rPr/>
      </w:r>
      <w:r>
        <w:rPr/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18"/>
        </w:numPr>
        <w:rPr/>
      </w:pPr>
      <w:r>
        <w:rPr>
          <w:rFonts w:cs="Tahoma"/>
          <w:bCs/>
          <w:sz w:val="24"/>
          <w:szCs w:val="24"/>
        </w:rPr>
        <w:t xml:space="preserve">dlhodobému finančnému majetku   </w:t>
        <w:tab/>
      </w:r>
      <w:r>
        <w:rPr>
          <w:rFonts w:cs="Tahoma"/>
          <w:b/>
          <w:bCs/>
          <w:sz w:val="24"/>
          <w:szCs w:val="24"/>
        </w:rPr>
        <w:tab/>
        <w:tab/>
        <w:t xml:space="preserve">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/>
        <w:instrText> FORMCHECKBOX </w:instrText>
      </w:r>
      <w:r>
        <w:rPr/>
        <w:fldChar w:fldCharType="separate"/>
      </w:r>
      <w:bookmarkStart w:id="16" w:name="__Fieldmark__367_3722177511"/>
      <w:bookmarkStart w:id="17" w:name="__Fieldmark__360_1463304535"/>
      <w:bookmarkStart w:id="18" w:name="__Fieldmark__429_1639708795"/>
      <w:bookmarkStart w:id="19" w:name="__Fieldmark__367_3722177511"/>
      <w:bookmarkStart w:id="20" w:name="__Fieldmark__367_3722177511"/>
      <w:bookmarkEnd w:id="17"/>
      <w:bookmarkEnd w:id="18"/>
      <w:bookmarkEnd w:id="20"/>
      <w:r>
        <w:rPr/>
      </w:r>
      <w:r>
        <w:rPr/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>
      <w:pPr>
        <w:pStyle w:val="Normal"/>
        <w:numPr>
          <w:ilvl w:val="0"/>
          <w:numId w:val="18"/>
        </w:numPr>
        <w:rPr/>
      </w:pPr>
      <w:r>
        <w:rPr>
          <w:rFonts w:cs="Tahoma"/>
          <w:bCs/>
          <w:sz w:val="24"/>
          <w:szCs w:val="24"/>
        </w:rPr>
        <w:t xml:space="preserve">pohľadávkam                                    </w:t>
        <w:tab/>
      </w:r>
      <w:r>
        <w:rPr>
          <w:rFonts w:cs="Tahoma"/>
          <w:b/>
          <w:bCs/>
          <w:sz w:val="24"/>
          <w:szCs w:val="24"/>
        </w:rPr>
        <w:tab/>
        <w:tab/>
        <w:t xml:space="preserve">                      x</w:t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/>
        <w:instrText> FORMCHECKBOX </w:instrText>
      </w:r>
      <w:r>
        <w:rPr/>
        <w:fldChar w:fldCharType="separate"/>
      </w:r>
      <w:bookmarkStart w:id="21" w:name="__Fieldmark__385_3722177511"/>
      <w:bookmarkStart w:id="22" w:name="__Fieldmark__375_1463304535"/>
      <w:bookmarkStart w:id="23" w:name="__Fieldmark__441_1639708795"/>
      <w:bookmarkStart w:id="24" w:name="__Fieldmark__385_3722177511"/>
      <w:bookmarkStart w:id="25" w:name="__Fieldmark__385_3722177511"/>
      <w:bookmarkEnd w:id="22"/>
      <w:bookmarkEnd w:id="23"/>
      <w:bookmarkEnd w:id="25"/>
      <w:r>
        <w:rPr/>
      </w:r>
      <w:r>
        <w:rPr/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Telotextu"/>
        <w:ind w:left="0" w:hanging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</w:r>
    </w:p>
    <w:p>
      <w:pPr>
        <w:pStyle w:val="Telotextu"/>
        <w:ind w:left="0" w:hanging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Účovná jednotka tvorila opravné položky k nedokončeným investíciám podľa vnútorného predpisu do výšky predpokladaných odpisov odpisov, keby bola investícia zaradená.</w:t>
      </w:r>
    </w:p>
    <w:p>
      <w:pPr>
        <w:pStyle w:val="Telotextu"/>
        <w:ind w:left="0" w:hanging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tvorila opravné položky k pohľadávkam v rámci hlavnej činnosti,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>
      <w:pPr>
        <w:pStyle w:val="Telotextu"/>
        <w:ind w:left="0" w:hanging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</w:r>
    </w:p>
    <w:tbl>
      <w:tblPr>
        <w:tblW w:w="9180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1557"/>
        <w:gridCol w:w="7622"/>
      </w:tblGrid>
      <w:tr>
        <w:trPr/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mesiacov</w:t>
            </w:r>
          </w:p>
        </w:tc>
        <w:tc>
          <w:tcPr>
            <w:tcW w:w="7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  25 % menovitej hodnoty pohľadávky bez príslušenstva </w:t>
            </w:r>
          </w:p>
        </w:tc>
      </w:tr>
      <w:tr>
        <w:trPr/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mesiacov</w:t>
            </w:r>
          </w:p>
        </w:tc>
        <w:tc>
          <w:tcPr>
            <w:tcW w:w="7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50 % menovitej hodnoty pohľadávky bez príslušenstva</w:t>
            </w:r>
          </w:p>
        </w:tc>
      </w:tr>
      <w:tr>
        <w:trPr/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mesiacov</w:t>
            </w:r>
          </w:p>
        </w:tc>
        <w:tc>
          <w:tcPr>
            <w:tcW w:w="7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výšky  100 % menovitej hodnoty pohľadávky bez príslušenstva</w:t>
            </w:r>
          </w:p>
        </w:tc>
      </w:tr>
    </w:tbl>
    <w:p>
      <w:pPr>
        <w:pStyle w:val="Telotextu"/>
        <w:ind w:left="0" w:hanging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</w:r>
    </w:p>
    <w:p>
      <w:pPr>
        <w:pStyle w:val="Normal"/>
        <w:numPr>
          <w:ilvl w:val="0"/>
          <w:numId w:val="2"/>
        </w:numPr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>
      <w:pPr>
        <w:pStyle w:val="Normal"/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prijatý od cudzích subjektov - sa  zúčtuje do výnosov  vo vecnej a časovej súvislosti s nákladmi</w:t>
      </w:r>
    </w:p>
    <w:p>
      <w:pPr>
        <w:pStyle w:val="Normal"/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poskytnutý cudzím subjektom - sa  zúčtuje do nákladov po splnení podmienok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>
      <w:pPr>
        <w:pStyle w:val="Normal"/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cudzích subjektov - sa  zúčtuje do výnosov  vo vecnej a časovej súvislosti s nákladmi (napr. s odpismi, s opravnou položkou, so zostatkovou hodnotou vyradeného dlhodobého majetku). 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>
      <w:pPr>
        <w:pStyle w:val="Normal"/>
        <w:numPr>
          <w:ilvl w:val="0"/>
          <w:numId w:val="4"/>
        </w:numPr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>
      <w:pPr>
        <w:pStyle w:val="Pismenka"/>
        <w:numPr>
          <w:ilvl w:val="0"/>
          <w:numId w:val="5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false"/>
          <w:sz w:val="24"/>
          <w:szCs w:val="24"/>
        </w:rPr>
        <w:t>(tabuľka č.1)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/>
      </w:r>
    </w:p>
    <w:tbl>
      <w:tblPr>
        <w:tblW w:w="10096" w:type="dxa"/>
        <w:jc w:val="left"/>
        <w:tblInd w:w="0" w:type="dxa"/>
        <w:tblBorders>
          <w:top w:val="single" w:sz="2" w:space="0" w:color="000000"/>
          <w:left w:val="single" w:sz="2" w:space="0" w:color="000000"/>
          <w:bottom w:val="single" w:sz="2" w:space="0" w:color="000000"/>
          <w:insideH w:val="single" w:sz="2" w:space="0" w:color="000000"/>
        </w:tblBorders>
        <w:tblCellMar>
          <w:top w:w="55" w:type="dxa"/>
          <w:left w:w="54" w:type="dxa"/>
          <w:bottom w:w="55" w:type="dxa"/>
          <w:right w:w="55" w:type="dxa"/>
        </w:tblCellMar>
      </w:tblPr>
      <w:tblGrid>
        <w:gridCol w:w="630"/>
        <w:gridCol w:w="6450"/>
        <w:gridCol w:w="1590"/>
        <w:gridCol w:w="1426"/>
      </w:tblGrid>
      <w:tr>
        <w:trPr/>
        <w:tc>
          <w:tcPr>
            <w:tcW w:w="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Obsahtabuky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Účet</w:t>
            </w:r>
          </w:p>
        </w:tc>
        <w:tc>
          <w:tcPr>
            <w:tcW w:w="6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Obsahtabuky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Opis významnej položky prírastkov a úbytkov dlhodobého majetku</w:t>
            </w:r>
          </w:p>
        </w:tc>
        <w:tc>
          <w:tcPr>
            <w:tcW w:w="15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Prírastok v €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Úbytok v € </w:t>
            </w:r>
          </w:p>
        </w:tc>
      </w:tr>
      <w:tr>
        <w:trPr/>
        <w:tc>
          <w:tcPr>
            <w:tcW w:w="630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021</w:t>
            </w:r>
          </w:p>
        </w:tc>
        <w:tc>
          <w:tcPr>
            <w:tcW w:w="6450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Technické zhodnotenie </w:t>
            </w:r>
            <w:r>
              <w:rPr>
                <w:color w:val="000000"/>
                <w:sz w:val="22"/>
                <w:szCs w:val="22"/>
              </w:rPr>
              <w:t>budovy OCÚ</w:t>
            </w:r>
          </w:p>
        </w:tc>
        <w:tc>
          <w:tcPr>
            <w:tcW w:w="1590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29 310,52 €</w:t>
            </w:r>
          </w:p>
        </w:tc>
        <w:tc>
          <w:tcPr>
            <w:tcW w:w="142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412" w:hRule="atLeast"/>
        </w:trPr>
        <w:tc>
          <w:tcPr>
            <w:tcW w:w="630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02</w:t>
            </w:r>
            <w:r>
              <w:rPr>
                <w:color w:val="000000"/>
                <w:sz w:val="22"/>
                <w:szCs w:val="22"/>
              </w:rPr>
              <w:t>1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6450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Technické zhodnotenie VO – Kičín ihrisko</w:t>
            </w:r>
          </w:p>
        </w:tc>
        <w:tc>
          <w:tcPr>
            <w:tcW w:w="1590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3 520,44 €</w:t>
            </w:r>
          </w:p>
        </w:tc>
        <w:tc>
          <w:tcPr>
            <w:tcW w:w="142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630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  <w:r>
              <w:rPr>
                <w:color w:val="000000"/>
                <w:sz w:val="22"/>
                <w:szCs w:val="22"/>
              </w:rPr>
              <w:t>21</w:t>
            </w:r>
          </w:p>
        </w:tc>
        <w:tc>
          <w:tcPr>
            <w:tcW w:w="6450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Technické zhodnotenie vetvy vodovodu</w:t>
            </w:r>
          </w:p>
        </w:tc>
        <w:tc>
          <w:tcPr>
            <w:tcW w:w="1590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9 999,90 €</w:t>
            </w:r>
          </w:p>
        </w:tc>
        <w:tc>
          <w:tcPr>
            <w:tcW w:w="142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414" w:hRule="atLeast"/>
        </w:trPr>
        <w:tc>
          <w:tcPr>
            <w:tcW w:w="630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snapToGrid w:val="false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021</w:t>
            </w:r>
          </w:p>
        </w:tc>
        <w:tc>
          <w:tcPr>
            <w:tcW w:w="6450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snapToGrid w:val="fals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Rekonštrukcia miestnej komunikácie</w:t>
            </w:r>
          </w:p>
        </w:tc>
        <w:tc>
          <w:tcPr>
            <w:tcW w:w="1590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97 389,80 €</w:t>
            </w:r>
          </w:p>
        </w:tc>
        <w:tc>
          <w:tcPr>
            <w:tcW w:w="142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414" w:hRule="atLeast"/>
        </w:trPr>
        <w:tc>
          <w:tcPr>
            <w:tcW w:w="630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snapToGrid w:val="false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021</w:t>
            </w:r>
          </w:p>
        </w:tc>
        <w:tc>
          <w:tcPr>
            <w:tcW w:w="6450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snapToGrid w:val="fals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Technické zhodnotenie KD - zateplenie</w:t>
            </w:r>
          </w:p>
        </w:tc>
        <w:tc>
          <w:tcPr>
            <w:tcW w:w="1590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6 660,00 €</w:t>
            </w:r>
          </w:p>
        </w:tc>
        <w:tc>
          <w:tcPr>
            <w:tcW w:w="142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414" w:hRule="atLeast"/>
        </w:trPr>
        <w:tc>
          <w:tcPr>
            <w:tcW w:w="630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snapToGrid w:val="false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022</w:t>
            </w:r>
          </w:p>
        </w:tc>
        <w:tc>
          <w:tcPr>
            <w:tcW w:w="6450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snapToGrid w:val="fals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Kúpa rozhlasovej ústredne</w:t>
            </w:r>
          </w:p>
        </w:tc>
        <w:tc>
          <w:tcPr>
            <w:tcW w:w="1590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2 556,60 €</w:t>
            </w:r>
          </w:p>
        </w:tc>
        <w:tc>
          <w:tcPr>
            <w:tcW w:w="142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</w:tbl>
    <w:p>
      <w:pPr>
        <w:pStyle w:val="Normal"/>
        <w:tabs>
          <w:tab w:val="clear" w:pos="708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5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false"/>
          <w:sz w:val="24"/>
          <w:szCs w:val="24"/>
        </w:rPr>
        <w:t xml:space="preserve">dlhodobého nehmotného majetku a dlhodobého hmotného majetku </w:t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9180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043"/>
        <w:gridCol w:w="5136"/>
      </w:tblGrid>
      <w:tr>
        <w:trPr/>
        <w:tc>
          <w:tcPr>
            <w:tcW w:w="4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Výška poistenia</w:t>
            </w:r>
          </w:p>
        </w:tc>
      </w:tr>
      <w:tr>
        <w:trPr/>
        <w:tc>
          <w:tcPr>
            <w:tcW w:w="4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Komunálna poisťovňa, a.s., Bratislava – poistenie majetku a zodpovednosti za škodu PO</w:t>
            </w:r>
          </w:p>
        </w:tc>
        <w:tc>
          <w:tcPr>
            <w:tcW w:w="5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Majetok je poistený do výšky 945 637,88 Eur  - „balík združený živel“ ročné poistné 605,51 Eur</w:t>
            </w:r>
          </w:p>
        </w:tc>
      </w:tr>
      <w:tr>
        <w:trPr/>
        <w:tc>
          <w:tcPr>
            <w:tcW w:w="4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Komunálna poisťovňa, a.s., Bratislava – poistenie majetku a zodpovednosti za škodu PO</w:t>
            </w:r>
          </w:p>
        </w:tc>
        <w:tc>
          <w:tcPr>
            <w:tcW w:w="5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Multifunkčné ihrisko – poistná suma 43 939,67 Eur,</w:t>
            </w:r>
          </w:p>
          <w:p>
            <w:pPr>
              <w:pStyle w:val="Normal"/>
              <w:jc w:val="center"/>
              <w:rPr/>
            </w:pPr>
            <w:r>
              <w:rPr/>
              <w:t xml:space="preserve"> </w:t>
            </w:r>
            <w:r>
              <w:rPr/>
              <w:t>ročné poistné 94,32 Eur</w:t>
            </w:r>
          </w:p>
        </w:tc>
      </w:tr>
      <w:tr>
        <w:trPr/>
        <w:tc>
          <w:tcPr>
            <w:tcW w:w="4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Komunálna poisťovňa, a.s., Bratislava – zákonné pistenie motorového vozidla </w:t>
            </w:r>
          </w:p>
        </w:tc>
        <w:tc>
          <w:tcPr>
            <w:tcW w:w="5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Obecná V3S – ročné poistné 399,20 Eur</w:t>
            </w:r>
          </w:p>
          <w:p>
            <w:pPr>
              <w:pStyle w:val="Normal"/>
              <w:jc w:val="center"/>
              <w:rPr/>
            </w:pPr>
            <w:r>
              <w:rPr/>
            </w:r>
          </w:p>
        </w:tc>
      </w:tr>
    </w:tbl>
    <w:p>
      <w:pPr>
        <w:pStyle w:val="Normal"/>
        <w:ind w:left="426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numPr>
          <w:ilvl w:val="0"/>
          <w:numId w:val="5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false"/>
          <w:sz w:val="24"/>
          <w:szCs w:val="24"/>
        </w:rPr>
        <w:t>na dlhodobý nehmotný majetok a dlhodobý hmotný majetok alebo obmedzenie práva nakladať s dlhodobým majetkom</w:t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  <w:t>Nie je zriadené záložné právo na dlhodobý majetok obce.</w:t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p>
      <w:pPr>
        <w:pStyle w:val="Pismenka"/>
        <w:tabs>
          <w:tab w:val="clear" w:pos="426"/>
        </w:tabs>
        <w:ind w:left="284" w:hanging="0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9214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5219"/>
        <w:gridCol w:w="3994"/>
      </w:tblGrid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Majetok,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/>
              <w:t>ku ktorému</w:t>
            </w:r>
            <w:r>
              <w:rPr>
                <w:b/>
              </w:rPr>
              <w:t xml:space="preserve"> má</w:t>
            </w:r>
            <w:r>
              <w:rPr/>
              <w:t xml:space="preserve"> účtovná jednotka vlastnícke právo</w:t>
            </w:r>
          </w:p>
        </w:tc>
        <w:tc>
          <w:tcPr>
            <w:tcW w:w="3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Pozemky</w:t>
            </w:r>
          </w:p>
        </w:tc>
        <w:tc>
          <w:tcPr>
            <w:tcW w:w="3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76 732,70 €</w:t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Softvér</w:t>
            </w:r>
          </w:p>
        </w:tc>
        <w:tc>
          <w:tcPr>
            <w:tcW w:w="3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637,88 €</w:t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Budovy, stavby</w:t>
            </w:r>
          </w:p>
        </w:tc>
        <w:tc>
          <w:tcPr>
            <w:tcW w:w="3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1 415 393,17 €</w:t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Stroje, prístroje, zariadenia, inventár</w:t>
            </w:r>
          </w:p>
        </w:tc>
        <w:tc>
          <w:tcPr>
            <w:tcW w:w="3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29 980,53 €</w:t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Dopravné prostriedky </w:t>
            </w:r>
          </w:p>
        </w:tc>
        <w:tc>
          <w:tcPr>
            <w:tcW w:w="3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Dlhodobý nehmotný majetok - ÚPD</w:t>
            </w:r>
          </w:p>
        </w:tc>
        <w:tc>
          <w:tcPr>
            <w:tcW w:w="3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16 236,45 €</w:t>
            </w:r>
          </w:p>
        </w:tc>
      </w:tr>
      <w:tr>
        <w:trPr>
          <w:trHeight w:val="290" w:hRule="atLeast"/>
        </w:trPr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Drobný dlhodobý hmotný majetok</w:t>
            </w:r>
          </w:p>
        </w:tc>
        <w:tc>
          <w:tcPr>
            <w:tcW w:w="3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4 304,27 €</w:t>
            </w:r>
          </w:p>
        </w:tc>
      </w:tr>
    </w:tbl>
    <w:p>
      <w:pPr>
        <w:pStyle w:val="Pismenka"/>
        <w:numPr>
          <w:ilvl w:val="0"/>
          <w:numId w:val="5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false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9214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5219"/>
        <w:gridCol w:w="3994"/>
      </w:tblGrid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>
            <w:pPr>
              <w:pStyle w:val="Normal"/>
              <w:jc w:val="center"/>
              <w:rPr/>
            </w:pPr>
            <w:r>
              <w:rPr/>
              <w:t xml:space="preserve">ku ktorému </w:t>
            </w:r>
            <w:r>
              <w:rPr>
                <w:b/>
              </w:rPr>
              <w:t>nemá</w:t>
            </w:r>
            <w:r>
              <w:rPr/>
              <w:t xml:space="preserve"> účtovná jednotka vlastnícke právo</w:t>
            </w:r>
          </w:p>
        </w:tc>
        <w:tc>
          <w:tcPr>
            <w:tcW w:w="3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</w:tbl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Obec nemá v správe majetok, ku ktorému nemá vlastnícke právo.</w:t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5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false"/>
          <w:sz w:val="24"/>
          <w:szCs w:val="24"/>
        </w:rPr>
        <w:t>k dlhodobému nehmotnému majetku a dlhodobému hmotnému majetku.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/>
      </w:pPr>
      <w:r>
        <w:rPr>
          <w:sz w:val="24"/>
          <w:szCs w:val="24"/>
        </w:rPr>
        <w:t>V roku 2024 bola navýšená opravná položka vytvorená v r. 2016 k rozostavanej stavbe ČOV do výšky predpokladaných odpisov od začiatku r. výstavby – 2008.</w:t>
      </w:r>
    </w:p>
    <w:p>
      <w:pPr>
        <w:pStyle w:val="Normal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</w:r>
    </w:p>
    <w:tbl>
      <w:tblPr>
        <w:tblW w:w="9639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2268"/>
        <w:gridCol w:w="1132"/>
        <w:gridCol w:w="994"/>
        <w:gridCol w:w="708"/>
        <w:gridCol w:w="710"/>
        <w:gridCol w:w="1276"/>
        <w:gridCol w:w="2550"/>
      </w:tblGrid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Druh DM, ku ktorému bola tvorená opravná položka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>
            <w:pPr>
              <w:pStyle w:val="Normal"/>
              <w:jc w:val="center"/>
              <w:rPr/>
            </w:pPr>
            <w:r>
              <w:rPr>
                <w:b/>
                <w:sz w:val="16"/>
                <w:szCs w:val="16"/>
              </w:rPr>
              <w:t>OP k 31.12.2023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Eur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Eur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>
            <w:pPr>
              <w:pStyle w:val="Normal"/>
              <w:jc w:val="center"/>
              <w:rPr/>
            </w:pPr>
            <w:r>
              <w:rPr>
                <w:b/>
                <w:sz w:val="16"/>
                <w:szCs w:val="16"/>
              </w:rPr>
              <w:t>k 31.12.2024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Eur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042 - Projektová dokumentácia  - vodovod IV. stavba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 </w:t>
            </w:r>
            <w:r>
              <w:rPr/>
              <w:t xml:space="preserve">4 528,64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 </w:t>
            </w:r>
            <w:r>
              <w:rPr/>
              <w:t xml:space="preserve">4 528,64 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Vytvorenie OP do výšky odpisov od roku nadobudnutia PD</w:t>
            </w:r>
          </w:p>
        </w:tc>
      </w:tr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042 – PD – kanalizácia a začatá výstavba ČOV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110867,74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7092,57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117960,31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Vytvorená OP do výšky odpisov od roku nadobudnutia PD a vybudovania ČOV – nedokončené</w:t>
            </w:r>
          </w:p>
        </w:tc>
      </w:tr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042 – projektová dokumentácia – prístupová komunikácia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 </w:t>
            </w:r>
            <w:r>
              <w:rPr/>
              <w:t>2707,54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4460,65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  </w:t>
            </w:r>
            <w:r>
              <w:rPr/>
              <w:t>7168,19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Vytvorená OP do výšky odpisov od roku nadobudnutia PD</w:t>
            </w:r>
          </w:p>
        </w:tc>
      </w:tr>
      <w:tr>
        <w:trPr/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042 – Vo - modernizácia</w:t>
            </w:r>
          </w:p>
        </w:tc>
        <w:tc>
          <w:tcPr>
            <w:tcW w:w="11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0</w:t>
            </w:r>
          </w:p>
        </w:tc>
        <w:tc>
          <w:tcPr>
            <w:tcW w:w="99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247,5</w:t>
            </w:r>
          </w:p>
        </w:tc>
        <w:tc>
          <w:tcPr>
            <w:tcW w:w="7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247,50</w:t>
            </w:r>
          </w:p>
        </w:tc>
        <w:tc>
          <w:tcPr>
            <w:tcW w:w="25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Vytvorená OP do výšky odpisov od roku nadobudnutia PD</w:t>
            </w:r>
          </w:p>
        </w:tc>
      </w:tr>
      <w:tr>
        <w:trPr/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041 - UPN</w:t>
            </w:r>
          </w:p>
        </w:tc>
        <w:tc>
          <w:tcPr>
            <w:tcW w:w="11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0</w:t>
            </w:r>
          </w:p>
        </w:tc>
        <w:tc>
          <w:tcPr>
            <w:tcW w:w="99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2268,50</w:t>
            </w:r>
          </w:p>
        </w:tc>
        <w:tc>
          <w:tcPr>
            <w:tcW w:w="7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2268,50</w:t>
            </w:r>
          </w:p>
        </w:tc>
        <w:tc>
          <w:tcPr>
            <w:tcW w:w="25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Vytvorená OP do výšky odpisov od roku nadobudnutia PD</w:t>
            </w:r>
          </w:p>
        </w:tc>
      </w:tr>
    </w:tbl>
    <w:p>
      <w:pPr>
        <w:pStyle w:val="Normal"/>
        <w:ind w:left="284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4"/>
        </w:numPr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>
      <w:pPr>
        <w:pStyle w:val="Pismenka"/>
        <w:numPr>
          <w:ilvl w:val="0"/>
          <w:numId w:val="6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false"/>
          <w:sz w:val="24"/>
          <w:szCs w:val="24"/>
        </w:rPr>
        <w:t xml:space="preserve"> - tabuľka č.1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Nie je účtovaná opravná položka k dlhodobému finančnému majetku.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4"/>
        </w:numPr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Obec nemá majetkové podiely v iných spoločnostiach.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numPr>
          <w:ilvl w:val="0"/>
          <w:numId w:val="4"/>
        </w:numPr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>
      <w:pPr>
        <w:pStyle w:val="Normal"/>
        <w:ind w:left="284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Pismenka"/>
        <w:numPr>
          <w:ilvl w:val="0"/>
          <w:numId w:val="7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9781" w:type="dxa"/>
        <w:jc w:val="left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2339"/>
        <w:gridCol w:w="900"/>
        <w:gridCol w:w="1080"/>
        <w:gridCol w:w="925"/>
        <w:gridCol w:w="992"/>
        <w:gridCol w:w="1843"/>
        <w:gridCol w:w="1701"/>
      </w:tblGrid>
      <w:tr>
        <w:trPr/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/>
              <w:t>Názov emitenta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/>
              <w:t>Druh cenného papiera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/>
              <w:t>Mena</w:t>
            </w:r>
          </w:p>
          <w:p>
            <w:pPr>
              <w:pStyle w:val="Normal"/>
              <w:jc w:val="center"/>
              <w:rPr/>
            </w:pPr>
            <w:r>
              <w:rPr/>
              <w:t>cenného papiera</w:t>
            </w: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/>
              <w:t>Podiel v %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/>
              <w:t>Dátum splatnosti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/>
              <w:t xml:space="preserve">Účtovná hodnota vykázaná v súvahe účtovnej jednotky </w:t>
            </w:r>
          </w:p>
          <w:p>
            <w:pPr>
              <w:pStyle w:val="Normal"/>
              <w:jc w:val="center"/>
              <w:rPr/>
            </w:pPr>
            <w:r>
              <w:rPr/>
              <w:t>k 31.12. 2023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/>
              <w:t xml:space="preserve">Účtovná hodnota vykázaná v súvahe účtovnej jednotky </w:t>
            </w:r>
          </w:p>
          <w:p>
            <w:pPr>
              <w:pStyle w:val="Normal"/>
              <w:jc w:val="center"/>
              <w:rPr/>
            </w:pPr>
            <w:r>
              <w:rPr/>
              <w:t>k 31.12. 2024</w:t>
            </w:r>
          </w:p>
        </w:tc>
      </w:tr>
      <w:tr>
        <w:trPr/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Liptovská vodárenská spoločnosť, a.s.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Akcia kmeňová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Eur</w:t>
            </w: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0,228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46 048,40 Eur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46 048,40 Eur</w:t>
            </w:r>
          </w:p>
        </w:tc>
      </w:tr>
    </w:tbl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2520" w:hanging="2520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B/  Obežný majetok </w:t>
      </w:r>
    </w:p>
    <w:p>
      <w:pPr>
        <w:pStyle w:val="Normal"/>
        <w:numPr>
          <w:ilvl w:val="0"/>
          <w:numId w:val="8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>
      <w:pPr>
        <w:pStyle w:val="Normal"/>
        <w:ind w:left="284" w:hanging="0"/>
        <w:jc w:val="both"/>
        <w:rPr/>
      </w:pPr>
      <w:r>
        <w:rPr>
          <w:sz w:val="24"/>
          <w:szCs w:val="24"/>
        </w:rPr>
        <w:t xml:space="preserve">Obec má zaúčtované na účte 112 – Materiál na sklade knihy „ v celkovej sume </w:t>
      </w:r>
      <w:r>
        <w:rPr>
          <w:sz w:val="24"/>
          <w:szCs w:val="24"/>
        </w:rPr>
        <w:t>264</w:t>
      </w:r>
      <w:r>
        <w:rPr>
          <w:sz w:val="24"/>
          <w:szCs w:val="24"/>
        </w:rPr>
        <w:t xml:space="preserve"> Eur.</w:t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  <w:t>Opravná položka k zásobám nebola tvorená.</w:t>
      </w:r>
    </w:p>
    <w:p>
      <w:pPr>
        <w:pStyle w:val="Normal"/>
        <w:ind w:left="284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8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false"/>
          <w:sz w:val="24"/>
          <w:szCs w:val="24"/>
        </w:rPr>
        <w:t xml:space="preserve"> podľa jednotlivých položiek súvahy </w:t>
      </w:r>
    </w:p>
    <w:p>
      <w:pPr>
        <w:pStyle w:val="Pismenka"/>
        <w:tabs>
          <w:tab w:val="clear" w:pos="426"/>
        </w:tabs>
        <w:ind w:left="284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tabs>
          <w:tab w:val="clear" w:pos="426"/>
        </w:tabs>
        <w:ind w:left="0" w:hanging="0"/>
        <w:rPr/>
      </w:pPr>
      <w:r>
        <w:rPr>
          <w:b w:val="false"/>
          <w:sz w:val="24"/>
          <w:szCs w:val="24"/>
        </w:rPr>
        <w:t xml:space="preserve"> </w:t>
      </w:r>
      <w:r>
        <w:rPr>
          <w:b w:val="false"/>
          <w:sz w:val="24"/>
          <w:szCs w:val="24"/>
        </w:rPr>
        <w:t xml:space="preserve">Obec má pohľadávky po lehote splatnosti  – daň z nehnuteľností z r. 2016 – 2024, a za nezaplatený poplatok za odvoz komunálneho odpadu.  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9924" w:type="dxa"/>
        <w:jc w:val="left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2692"/>
        <w:gridCol w:w="849"/>
        <w:gridCol w:w="1559"/>
        <w:gridCol w:w="1560"/>
        <w:gridCol w:w="3264"/>
      </w:tblGrid>
      <w:tr>
        <w:trPr/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Opis</w:t>
            </w:r>
          </w:p>
        </w:tc>
      </w:tr>
      <w:tr>
        <w:trPr/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Daňová pohľadávka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069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3120,11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2437,95</w:t>
            </w:r>
          </w:p>
        </w:tc>
        <w:tc>
          <w:tcPr>
            <w:tcW w:w="3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>Pohľadávka voči FO – DzN z r. 2016-2024</w:t>
            </w:r>
          </w:p>
        </w:tc>
      </w:tr>
      <w:tr>
        <w:trPr/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Nedaňová pohľadávka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068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3236,96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3053,26</w:t>
            </w:r>
          </w:p>
        </w:tc>
        <w:tc>
          <w:tcPr>
            <w:tcW w:w="3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>Pohľadávka voči FO za miestny poplatok 2016-2024</w:t>
            </w:r>
          </w:p>
        </w:tc>
      </w:tr>
      <w:tr>
        <w:trPr/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Ostatné pohľadávky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065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190,26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190,26</w:t>
            </w:r>
          </w:p>
        </w:tc>
        <w:tc>
          <w:tcPr>
            <w:tcW w:w="3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>Ostatná pohľadávka</w:t>
            </w:r>
          </w:p>
        </w:tc>
      </w:tr>
    </w:tbl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false"/>
          <w:sz w:val="24"/>
          <w:szCs w:val="24"/>
        </w:rPr>
        <w:t xml:space="preserve"> k pohľadávkam - tabuľka č.3</w:t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Obec vytvorila opravnú položku k pohľadávkam podľa vnútorného predpisu.</w:t>
      </w:r>
    </w:p>
    <w:p>
      <w:pPr>
        <w:pStyle w:val="Pismenka"/>
        <w:tabs>
          <w:tab w:val="clear" w:pos="426"/>
        </w:tabs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false"/>
          <w:sz w:val="24"/>
          <w:szCs w:val="24"/>
        </w:rPr>
        <w:t xml:space="preserve"> opravných položiek k pohľadávkam</w:t>
      </w:r>
    </w:p>
    <w:p>
      <w:pPr>
        <w:pStyle w:val="Pismenka"/>
        <w:tabs>
          <w:tab w:val="clear" w:pos="426"/>
        </w:tabs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 </w:t>
      </w:r>
    </w:p>
    <w:tbl>
      <w:tblPr>
        <w:tblW w:w="9923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2268"/>
        <w:gridCol w:w="1134"/>
        <w:gridCol w:w="851"/>
        <w:gridCol w:w="852"/>
        <w:gridCol w:w="851"/>
        <w:gridCol w:w="1134"/>
        <w:gridCol w:w="2832"/>
      </w:tblGrid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>
            <w:pPr>
              <w:pStyle w:val="Normal"/>
              <w:jc w:val="center"/>
              <w:rPr/>
            </w:pPr>
            <w:r>
              <w:rPr>
                <w:b/>
                <w:sz w:val="16"/>
                <w:szCs w:val="16"/>
              </w:rPr>
              <w:t>OP k 31.12.2023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>
            <w:pPr>
              <w:pStyle w:val="Normal"/>
              <w:jc w:val="center"/>
              <w:rPr/>
            </w:pPr>
            <w:r>
              <w:rPr>
                <w:b/>
                <w:sz w:val="16"/>
                <w:szCs w:val="16"/>
              </w:rPr>
              <w:t>k 31.12.2024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>Nedaňové – poplatok za komunálny odpad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137,80 €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45,90 €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183,70 €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OP sa zvýšila z dôvodu navýšenia doby splatnosti</w:t>
            </w:r>
          </w:p>
        </w:tc>
      </w:tr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color w:val="FF0000"/>
              </w:rPr>
            </w:pPr>
            <w:r>
              <w:rPr/>
              <w:t>Daňové – daň z nehnut.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486,27 €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195,89 €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682,16 €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OP sa zvýšila z dôvodu navýšenia doby splatnosti</w:t>
            </w:r>
          </w:p>
        </w:tc>
      </w:tr>
    </w:tbl>
    <w:p>
      <w:pPr>
        <w:pStyle w:val="Pismenka"/>
        <w:tabs>
          <w:tab w:val="clear" w:pos="426"/>
        </w:tabs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c) pohľadávky podľa </w:t>
      </w:r>
      <w:r>
        <w:rPr>
          <w:sz w:val="24"/>
          <w:szCs w:val="24"/>
        </w:rPr>
        <w:t>doby splatnosti</w:t>
      </w:r>
      <w:r>
        <w:rPr>
          <w:b w:val="false"/>
          <w:sz w:val="24"/>
          <w:szCs w:val="24"/>
        </w:rPr>
        <w:t xml:space="preserve"> (riadky 048 a 060 súvahy) - tabuľka č.4</w:t>
      </w:r>
    </w:p>
    <w:p>
      <w:pPr>
        <w:pStyle w:val="Pismenka"/>
        <w:tabs>
          <w:tab w:val="clear" w:pos="426"/>
        </w:tabs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Obec eviduje pohľadávky po lehote splatnosti voči FO   - daň z nehnuteľností a miestny poplatok za komunálny odpad, voči PO – daň z nehnuteľností.</w:t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10064" w:type="dxa"/>
        <w:jc w:val="left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394"/>
        <w:gridCol w:w="1278"/>
        <w:gridCol w:w="1418"/>
        <w:gridCol w:w="2973"/>
      </w:tblGrid>
      <w:tr>
        <w:trPr/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Pohľadávky       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Zostatok k 31.12.2023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brutto  Eur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Zostatok k 31.12.2024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brutto  Eur </w:t>
            </w:r>
          </w:p>
        </w:tc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Z toho pohľadávky po lehote splatnosti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suma, popis </w:t>
            </w:r>
          </w:p>
        </w:tc>
      </w:tr>
      <w:tr>
        <w:trPr/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  <w:t xml:space="preserve">Dlhodobé pohľadávky z toho: 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>Obec nemá dlhodobé  pohľadávky</w:t>
            </w:r>
          </w:p>
        </w:tc>
      </w:tr>
      <w:tr>
        <w:trPr/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678" w:hanging="0"/>
              <w:rPr/>
            </w:pPr>
            <w:r>
              <w:rPr/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  <w:t xml:space="preserve">Krátkodobé pohľadávky z toho: 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1.745,520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5793,97</w:t>
            </w:r>
          </w:p>
        </w:tc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9"/>
              </w:numPr>
              <w:tabs>
                <w:tab w:val="clear" w:pos="708"/>
              </w:tabs>
              <w:ind w:left="214" w:hanging="142"/>
              <w:rPr/>
            </w:pPr>
            <w:r>
              <w:rPr/>
              <w:t>pohľadávky na dani z nehnuteľnosti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1.358,47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2437,95</w:t>
            </w:r>
          </w:p>
        </w:tc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9"/>
              </w:numPr>
              <w:tabs>
                <w:tab w:val="clear" w:pos="708"/>
              </w:tabs>
              <w:ind w:left="214" w:hanging="142"/>
              <w:rPr/>
            </w:pPr>
            <w:r>
              <w:rPr/>
              <w:t>pohľadávky za KO a DSO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102,48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3053,26</w:t>
            </w:r>
          </w:p>
        </w:tc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9"/>
              </w:numPr>
              <w:tabs>
                <w:tab w:val="clear" w:pos="708"/>
              </w:tabs>
              <w:ind w:left="214" w:hanging="142"/>
              <w:rPr/>
            </w:pPr>
            <w:r>
              <w:rPr/>
              <w:t xml:space="preserve">pohľadávky – vúčt.el.energie, vodné  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284,57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190,26</w:t>
            </w:r>
          </w:p>
        </w:tc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439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9"/>
              </w:numPr>
              <w:tabs>
                <w:tab w:val="clear" w:pos="708"/>
              </w:tabs>
              <w:ind w:left="214" w:hanging="142"/>
              <w:rPr/>
            </w:pPr>
            <w:r>
              <w:rPr/>
              <w:t>Pohľadávky voči zamestnancom</w:t>
            </w:r>
          </w:p>
        </w:tc>
        <w:tc>
          <w:tcPr>
            <w:tcW w:w="12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112,5</w:t>
            </w:r>
          </w:p>
        </w:tc>
        <w:tc>
          <w:tcPr>
            <w:tcW w:w="29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</w:tbl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  </w:t>
      </w:r>
    </w:p>
    <w:p>
      <w:pPr>
        <w:pStyle w:val="Pismenka"/>
        <w:tabs>
          <w:tab w:val="clear" w:pos="426"/>
        </w:tabs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d) pohľadávky podľa </w:t>
      </w:r>
      <w:r>
        <w:rPr>
          <w:sz w:val="24"/>
          <w:szCs w:val="24"/>
        </w:rPr>
        <w:t>zostatkovej doby splatnosti</w:t>
      </w:r>
      <w:r>
        <w:rPr>
          <w:b w:val="false"/>
          <w:sz w:val="24"/>
          <w:szCs w:val="24"/>
        </w:rPr>
        <w:t xml:space="preserve"> (riadky 048 a 060 súvahy) - tabuľka č.4</w:t>
      </w:r>
    </w:p>
    <w:p>
      <w:pPr>
        <w:pStyle w:val="Pismenka"/>
        <w:tabs>
          <w:tab w:val="clear" w:pos="426"/>
        </w:tabs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ind w:left="36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10064" w:type="dxa"/>
        <w:jc w:val="left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7227"/>
        <w:gridCol w:w="1417"/>
        <w:gridCol w:w="1420"/>
      </w:tblGrid>
      <w:tr>
        <w:trPr/>
        <w:tc>
          <w:tcPr>
            <w:tcW w:w="7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Pohľadávky 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 xml:space="preserve">Zostatok k 31.12.2023 Eur 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 xml:space="preserve">Zostatok k 31.12.2024 Eur   </w:t>
            </w:r>
          </w:p>
        </w:tc>
      </w:tr>
      <w:tr>
        <w:trPr/>
        <w:tc>
          <w:tcPr>
            <w:tcW w:w="7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1.745,52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5793,97</w:t>
            </w:r>
          </w:p>
        </w:tc>
      </w:tr>
      <w:tr>
        <w:trPr/>
        <w:tc>
          <w:tcPr>
            <w:tcW w:w="7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20"/>
              </w:numPr>
              <w:ind w:left="356" w:hanging="284"/>
              <w:rPr/>
            </w:pPr>
            <w:r>
              <w:rPr/>
              <w:t xml:space="preserve">so zostatkovou dobou splatnosti do 1 roka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19"/>
              </w:numPr>
              <w:rPr/>
            </w:pPr>
            <w:r>
              <w:rPr/>
              <w:t>daňové pohľadávky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1.358,47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2437,95</w:t>
            </w:r>
          </w:p>
        </w:tc>
      </w:tr>
      <w:tr>
        <w:trPr/>
        <w:tc>
          <w:tcPr>
            <w:tcW w:w="7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19"/>
              </w:numPr>
              <w:rPr/>
            </w:pPr>
            <w:r>
              <w:rPr/>
              <w:t>nedaňové pohľadávky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387,05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3356,02</w:t>
            </w:r>
          </w:p>
        </w:tc>
      </w:tr>
      <w:tr>
        <w:trPr/>
        <w:tc>
          <w:tcPr>
            <w:tcW w:w="7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20"/>
              </w:numPr>
              <w:ind w:left="356" w:hanging="284"/>
              <w:rPr/>
            </w:pPr>
            <w:r>
              <w:rPr/>
              <w:t>so zostatkovou dobou splatnosti od 1 roka do 5 rokov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19"/>
              </w:numPr>
              <w:rPr/>
            </w:pPr>
            <w:r>
              <w:rPr/>
              <w:t>daňové pohľadávky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19"/>
              </w:numPr>
              <w:rPr/>
            </w:pPr>
            <w:r>
              <w:rPr/>
              <w:t>nedaňové pohľadávky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20"/>
              </w:numPr>
              <w:ind w:left="356" w:hanging="284"/>
              <w:rPr/>
            </w:pPr>
            <w:r>
              <w:rPr/>
              <w:t>so zostatkovou dobou splatnosti nad 5 rokov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</w:tbl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numPr>
          <w:ilvl w:val="0"/>
          <w:numId w:val="8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 w:val="false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false"/>
          <w:sz w:val="24"/>
          <w:szCs w:val="24"/>
        </w:rPr>
        <w:t xml:space="preserve"> </w:t>
      </w:r>
    </w:p>
    <w:p>
      <w:pPr>
        <w:pStyle w:val="Pismenka"/>
        <w:tabs>
          <w:tab w:val="clear" w:pos="426"/>
        </w:tabs>
        <w:ind w:left="284" w:hanging="0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10065" w:type="dxa"/>
        <w:jc w:val="left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962"/>
        <w:gridCol w:w="2407"/>
        <w:gridCol w:w="2696"/>
      </w:tblGrid>
      <w:tr>
        <w:trPr/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Zostatok k 31.12.2023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Zostatok k 31.12.2024</w:t>
            </w:r>
          </w:p>
        </w:tc>
      </w:tr>
      <w:tr>
        <w:trPr/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Pokladnica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 xml:space="preserve">    </w:t>
            </w:r>
            <w:r>
              <w:rPr/>
              <w:t>336,27 Eur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926,84 €</w:t>
            </w:r>
          </w:p>
        </w:tc>
      </w:tr>
      <w:tr>
        <w:trPr/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Ceniny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 xml:space="preserve">      </w:t>
            </w:r>
            <w:r>
              <w:rPr/>
              <w:t>0,00 Eur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Bankové účty -  bežný účet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 xml:space="preserve"> </w:t>
            </w:r>
            <w:r>
              <w:rPr/>
              <w:t>75.914,64 Eur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128 394,36 €</w:t>
            </w:r>
          </w:p>
        </w:tc>
      </w:tr>
    </w:tbl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Krátkodobým finančným majetkom môže obec voľne disponovať.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8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10206" w:type="dxa"/>
        <w:jc w:val="left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5668"/>
        <w:gridCol w:w="2410"/>
        <w:gridCol w:w="2128"/>
      </w:tblGrid>
      <w:tr>
        <w:trPr/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Zostatok k 31.12.2023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Zostatok k 31.12.2024</w:t>
            </w:r>
          </w:p>
        </w:tc>
      </w:tr>
      <w:tr>
        <w:trPr/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2 877,90 €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1 157,31 €</w:t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9781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1699"/>
        <w:gridCol w:w="1279"/>
        <w:gridCol w:w="1132"/>
        <w:gridCol w:w="1134"/>
        <w:gridCol w:w="1134"/>
        <w:gridCol w:w="1132"/>
        <w:gridCol w:w="2270"/>
      </w:tblGrid>
      <w:tr>
        <w:trPr/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>
            <w:pPr>
              <w:pStyle w:val="Normal"/>
              <w:jc w:val="center"/>
              <w:rPr/>
            </w:pPr>
            <w:r>
              <w:rPr>
                <w:b/>
                <w:sz w:val="16"/>
                <w:szCs w:val="16"/>
              </w:rPr>
              <w:t>k 31.12.202</w:t>
            </w:r>
            <w:r>
              <w:rPr>
                <w:b/>
                <w:sz w:val="16"/>
                <w:szCs w:val="16"/>
              </w:rPr>
              <w:t>3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Eur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Eur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Eur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Eur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>
            <w:pPr>
              <w:pStyle w:val="Normal"/>
              <w:jc w:val="center"/>
              <w:rPr/>
            </w:pPr>
            <w:r>
              <w:rPr>
                <w:b/>
                <w:sz w:val="16"/>
                <w:szCs w:val="16"/>
              </w:rPr>
              <w:t>k 31.12.202</w:t>
            </w:r>
            <w:r>
              <w:rPr>
                <w:b/>
                <w:sz w:val="16"/>
                <w:szCs w:val="16"/>
              </w:rPr>
              <w:t>4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Eur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>
        <w:trPr/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428 - Nevysporiadaný výsledok hosp. minulých rokov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3620292,20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1902,07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+38785,62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402779,89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431 - Výsledok hospodárenia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38785,62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38785,62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+29199,65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29199,65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Presun  preúčtovanie HV za rok 202</w:t>
            </w:r>
            <w:r>
              <w:rPr/>
              <w:t>3</w:t>
            </w:r>
          </w:p>
        </w:tc>
      </w:tr>
    </w:tbl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1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>- tabuľka č.6-7</w:t>
      </w:r>
    </w:p>
    <w:p>
      <w:pPr>
        <w:pStyle w:val="Pismenka"/>
        <w:tabs>
          <w:tab w:val="clear" w:pos="426"/>
        </w:tabs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Predpokladaný rok použitia rezerv a opis významných položiek rezerv</w:t>
      </w:r>
    </w:p>
    <w:p>
      <w:pPr>
        <w:pStyle w:val="Pismenka"/>
        <w:tabs>
          <w:tab w:val="clear" w:pos="426"/>
        </w:tabs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9781" w:type="dxa"/>
        <w:jc w:val="left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7232"/>
        <w:gridCol w:w="2548"/>
      </w:tblGrid>
      <w:tr>
        <w:trPr>
          <w:trHeight w:val="260" w:hRule="atLeast"/>
        </w:trPr>
        <w:tc>
          <w:tcPr>
            <w:tcW w:w="7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Názov položky / Eur            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>
        <w:trPr/>
        <w:tc>
          <w:tcPr>
            <w:tcW w:w="7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Obec vykazuje rezervu na  vykonanie auditu účtovnej závierky za r. 2024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202</w:t>
            </w:r>
            <w:r>
              <w:rPr/>
              <w:t>5</w:t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1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Pismenka"/>
        <w:numPr>
          <w:ilvl w:val="0"/>
          <w:numId w:val="12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false"/>
          <w:sz w:val="24"/>
          <w:szCs w:val="24"/>
        </w:rPr>
        <w:t xml:space="preserve"> (riadky 140 a 151 súvahy) - tabuľka č.8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Obec má záväzky v lehote splatnosti voči zamestnancom, sociálnej poisťovni, zdravotným poisťovniam, daňovému úradu, dodávateľom.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9758" w:type="dxa"/>
        <w:jc w:val="left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5385"/>
        <w:gridCol w:w="2551"/>
        <w:gridCol w:w="1822"/>
      </w:tblGrid>
      <w:tr>
        <w:trPr/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Zostatok</w:t>
            </w:r>
          </w:p>
          <w:p>
            <w:pPr>
              <w:pStyle w:val="Normal"/>
              <w:jc w:val="center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 xml:space="preserve">k 31.12.2023 v €  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jc w:val="center"/>
              <w:rPr/>
            </w:pPr>
            <w:r>
              <w:rPr>
                <w:b/>
              </w:rPr>
              <w:t xml:space="preserve">Zostatok k 31.12.2024 v €  </w:t>
            </w:r>
          </w:p>
        </w:tc>
      </w:tr>
      <w:tr>
        <w:trPr/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  <w:t xml:space="preserve">Dlhodobé záväzky z toho: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356,64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375,74</w:t>
            </w:r>
          </w:p>
        </w:tc>
      </w:tr>
      <w:tr>
        <w:trPr/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9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záväzky zo sociálne ho fondu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305,14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375,14</w:t>
            </w:r>
          </w:p>
        </w:tc>
      </w:tr>
      <w:tr>
        <w:trPr/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19"/>
              </w:numPr>
              <w:rPr/>
            </w:pPr>
            <w:r>
              <w:rPr/>
              <w:t>ostatné záväzky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51,50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  <w:t xml:space="preserve">Krátkodobé záväzky z toho: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12981,19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7120,43</w:t>
            </w:r>
          </w:p>
        </w:tc>
      </w:tr>
    </w:tbl>
    <w:p>
      <w:pPr>
        <w:pStyle w:val="Pismenka"/>
        <w:numPr>
          <w:ilvl w:val="0"/>
          <w:numId w:val="12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false"/>
          <w:sz w:val="24"/>
          <w:szCs w:val="24"/>
        </w:rPr>
        <w:t xml:space="preserve"> (riadky 140 a 151 súvahy) - tabuľka č.8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Všetky krátkodobé záväzky obce sú v lehote splatnosti do jedného roka.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>
      <w:pPr>
        <w:pStyle w:val="Pismenka"/>
        <w:tabs>
          <w:tab w:val="clear" w:pos="426"/>
        </w:tabs>
        <w:ind w:left="284" w:hanging="0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9781" w:type="dxa"/>
        <w:jc w:val="left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119"/>
        <w:gridCol w:w="1701"/>
        <w:gridCol w:w="1984"/>
        <w:gridCol w:w="2976"/>
      </w:tblGrid>
      <w:tr>
        <w:trPr/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Hodnota záväzku k 31.12.2023 v €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Hodnota záväzku k 31.12.2024 v €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Opis</w:t>
            </w:r>
          </w:p>
        </w:tc>
      </w:tr>
      <w:tr>
        <w:trPr/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Záväzok voči zamestnancovm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3.217,56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3159,78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Mzdy za  12/2</w:t>
            </w:r>
            <w:r>
              <w:rPr/>
              <w:t>4</w:t>
            </w:r>
          </w:p>
        </w:tc>
      </w:tr>
      <w:tr>
        <w:trPr/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Záväzok voči SP a ZP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1.812,62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1812,62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Odvod y do poisťovní za 12/2</w:t>
            </w:r>
            <w:r>
              <w:rPr/>
              <w:t>4</w:t>
            </w:r>
          </w:p>
        </w:tc>
      </w:tr>
    </w:tbl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1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>
      <w:pPr>
        <w:pStyle w:val="Pismenka"/>
        <w:numPr>
          <w:ilvl w:val="0"/>
          <w:numId w:val="13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dlhodobé bankové úvery a krátkodobé bankové úvery - tabuľka č.9</w:t>
      </w:r>
    </w:p>
    <w:p>
      <w:pPr>
        <w:pStyle w:val="Pismenka"/>
        <w:tabs>
          <w:tab w:val="clear" w:pos="426"/>
        </w:tabs>
        <w:ind w:left="0" w:hanging="0"/>
        <w:rPr/>
      </w:pPr>
      <w:r>
        <w:rPr>
          <w:b w:val="false"/>
          <w:sz w:val="24"/>
          <w:szCs w:val="24"/>
        </w:rPr>
        <w:t xml:space="preserve">    </w:t>
      </w:r>
      <w:r>
        <w:rPr>
          <w:b w:val="false"/>
          <w:sz w:val="24"/>
          <w:szCs w:val="24"/>
        </w:rPr>
        <w:t>Obec v roku 202</w:t>
      </w:r>
      <w:r>
        <w:rPr>
          <w:b w:val="false"/>
          <w:sz w:val="24"/>
          <w:szCs w:val="24"/>
        </w:rPr>
        <w:t>4</w:t>
      </w:r>
      <w:r>
        <w:rPr>
          <w:b w:val="false"/>
          <w:sz w:val="24"/>
          <w:szCs w:val="24"/>
        </w:rPr>
        <w:t xml:space="preserve"> uzavrela  s  Prima bankou Slovensko, a.s., Źilina </w:t>
      </w:r>
      <w:r>
        <w:rPr>
          <w:rFonts w:ascii="Times New Roman" w:hAnsi="Times New Roman"/>
          <w:b w:val="false"/>
          <w:i w:val="false"/>
          <w:caps w:val="false"/>
          <w:smallCaps w:val="false"/>
          <w:color w:val="111111"/>
          <w:spacing w:val="0"/>
          <w:sz w:val="24"/>
          <w:szCs w:val="24"/>
        </w:rPr>
        <w:t>Zmluv</w:t>
      </w:r>
      <w:r>
        <w:rPr>
          <w:rFonts w:ascii="Times New Roman" w:hAnsi="Times New Roman"/>
          <w:b w:val="false"/>
          <w:i w:val="false"/>
          <w:caps w:val="false"/>
          <w:smallCaps w:val="false"/>
          <w:color w:val="111111"/>
          <w:spacing w:val="0"/>
          <w:sz w:val="24"/>
          <w:szCs w:val="24"/>
        </w:rPr>
        <w:t>u</w:t>
      </w:r>
      <w:r>
        <w:rPr>
          <w:rFonts w:ascii="Times New Roman" w:hAnsi="Times New Roman"/>
          <w:b w:val="false"/>
          <w:i w:val="false"/>
          <w:caps w:val="false"/>
          <w:smallCaps w:val="false"/>
          <w:color w:val="111111"/>
          <w:spacing w:val="0"/>
          <w:sz w:val="24"/>
          <w:szCs w:val="24"/>
        </w:rPr>
        <w:t xml:space="preserve"> o Municipálnom úvere -Eurofondy č.09/001/24</w:t>
      </w:r>
      <w:r>
        <w:rPr>
          <w:rFonts w:ascii="Times New Roman" w:hAnsi="Times New Roman"/>
          <w:b w:val="false"/>
          <w:sz w:val="24"/>
          <w:szCs w:val="24"/>
        </w:rPr>
        <w:t xml:space="preserve"> na Predfinancovanie NFP </w:t>
      </w:r>
      <w:r>
        <w:rPr>
          <w:b w:val="false"/>
          <w:sz w:val="24"/>
          <w:szCs w:val="24"/>
        </w:rPr>
        <w:t xml:space="preserve">– účel – </w:t>
      </w:r>
      <w:r>
        <w:rPr>
          <w:b w:val="false"/>
          <w:sz w:val="24"/>
          <w:szCs w:val="24"/>
        </w:rPr>
        <w:t>rekonštrukcia miestnej komunikácie</w:t>
      </w:r>
    </w:p>
    <w:p>
      <w:pPr>
        <w:pStyle w:val="Pismenka"/>
        <w:widowControl/>
        <w:tabs>
          <w:tab w:val="clear" w:pos="426"/>
        </w:tabs>
        <w:bidi w:val="0"/>
        <w:spacing w:lineRule="auto" w:line="240" w:before="0" w:after="0"/>
        <w:ind w:left="0" w:right="0" w:hanging="0"/>
        <w:jc w:val="both"/>
        <w:rPr/>
      </w:pPr>
      <w:r>
        <w:rPr>
          <w:b/>
          <w:bCs/>
          <w:sz w:val="24"/>
          <w:szCs w:val="24"/>
        </w:rPr>
        <w:t xml:space="preserve">K 31.122024 bola nesplatená hodnota úveru vo výške </w:t>
      </w:r>
      <w:r>
        <w:rPr>
          <w:b/>
          <w:bCs/>
          <w:sz w:val="24"/>
          <w:szCs w:val="24"/>
        </w:rPr>
        <w:t>77 264,15</w:t>
      </w:r>
      <w:r>
        <w:rPr>
          <w:b/>
          <w:bCs/>
          <w:sz w:val="24"/>
          <w:szCs w:val="24"/>
        </w:rPr>
        <w:t xml:space="preserve"> Eur.</w:t>
      </w:r>
    </w:p>
    <w:p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false"/>
          <w:sz w:val="24"/>
          <w:szCs w:val="24"/>
        </w:rPr>
        <w:t>dlhodobého bankového úveru alebo krátkodobého bankového úveru – nebolo dohodnuté žiadne zabezpečenie</w:t>
      </w:r>
    </w:p>
    <w:p>
      <w:pPr>
        <w:pStyle w:val="Pismenka"/>
        <w:numPr>
          <w:ilvl w:val="0"/>
          <w:numId w:val="0"/>
        </w:numPr>
        <w:ind w:left="720" w:hanging="0"/>
        <w:rPr>
          <w:b/>
          <w:b/>
          <w:bCs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numPr>
          <w:ilvl w:val="0"/>
          <w:numId w:val="11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>
      <w:pPr>
        <w:pStyle w:val="Pismenka"/>
        <w:numPr>
          <w:ilvl w:val="0"/>
          <w:numId w:val="14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popis významných položiek časového rozlíšenia výdavkov budúcich období a výnosov budúcich  období v Eur</w:t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9498" w:type="dxa"/>
        <w:jc w:val="left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5526"/>
        <w:gridCol w:w="2126"/>
        <w:gridCol w:w="1846"/>
      </w:tblGrid>
      <w:tr>
        <w:trPr/>
        <w:tc>
          <w:tcPr>
            <w:tcW w:w="5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Zostatok  </w:t>
            </w:r>
          </w:p>
          <w:p>
            <w:pPr>
              <w:pStyle w:val="Normal"/>
              <w:jc w:val="center"/>
              <w:rPr/>
            </w:pPr>
            <w:r>
              <w:rPr>
                <w:b/>
              </w:rPr>
              <w:t>k 31.12.2023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Zostatok  k 31.12.2024</w:t>
            </w:r>
          </w:p>
        </w:tc>
      </w:tr>
      <w:tr>
        <w:trPr/>
        <w:tc>
          <w:tcPr>
            <w:tcW w:w="5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Výdavky budúcich období spolu z toho: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b/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b/>
                <w:b/>
              </w:rPr>
            </w:pPr>
            <w:r>
              <w:rPr>
                <w:b/>
              </w:rPr>
              <w:t>0</w:t>
            </w:r>
          </w:p>
        </w:tc>
      </w:tr>
      <w:tr>
        <w:trPr/>
        <w:tc>
          <w:tcPr>
            <w:tcW w:w="5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Výnosy budúcich období spolu z toho: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b/>
              </w:rPr>
              <w:t>735380,01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b/>
              </w:rPr>
              <w:t>702879,75</w:t>
            </w:r>
            <w:r>
              <w:rPr>
                <w:b/>
              </w:rPr>
              <w:t xml:space="preserve">    </w:t>
            </w:r>
          </w:p>
        </w:tc>
      </w:tr>
      <w:tr>
        <w:trPr/>
        <w:tc>
          <w:tcPr>
            <w:tcW w:w="5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</w:tbl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14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false"/>
          <w:sz w:val="24"/>
          <w:szCs w:val="24"/>
        </w:rPr>
        <w:t xml:space="preserve"> zaúčtovaných na účte 384 v Eur</w:t>
      </w:r>
    </w:p>
    <w:tbl>
      <w:tblPr>
        <w:tblW w:w="9522" w:type="dxa"/>
        <w:jc w:val="left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5528"/>
        <w:gridCol w:w="2126"/>
        <w:gridCol w:w="1868"/>
      </w:tblGrid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Stav k 31.12.202</w:t>
            </w:r>
            <w:r>
              <w:rPr>
                <w:b/>
              </w:rPr>
              <w:t>3</w:t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Stav k 31.12.202</w:t>
            </w:r>
            <w:r>
              <w:rPr>
                <w:b/>
              </w:rPr>
              <w:t>4</w:t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Dar VO ihrisko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3160,44</w:t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2370,36</w:t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Dar ihrisko - Špánik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4272</w:t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3984</w:t>
            </w:r>
          </w:p>
        </w:tc>
      </w:tr>
      <w:tr>
        <w:trPr/>
        <w:tc>
          <w:tcPr>
            <w:tcW w:w="55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BO vodovod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394119,68</w:t>
            </w:r>
          </w:p>
        </w:tc>
        <w:tc>
          <w:tcPr>
            <w:tcW w:w="18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378141,92</w:t>
            </w:r>
          </w:p>
        </w:tc>
      </w:tr>
      <w:tr>
        <w:trPr/>
        <w:tc>
          <w:tcPr>
            <w:tcW w:w="55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ČOV a kanalizácia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36264,39</w:t>
            </w:r>
          </w:p>
        </w:tc>
        <w:tc>
          <w:tcPr>
            <w:tcW w:w="18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29957,55</w:t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Rekonštrukcia strechy KD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37943,13</w:t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35919,45</w:t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Odberný objekt na vodu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1122,78</w:t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956,58</w:t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Dar Drevuliak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659,84</w:t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243,2</w:t>
            </w:r>
          </w:p>
        </w:tc>
      </w:tr>
      <w:tr>
        <w:trPr/>
        <w:tc>
          <w:tcPr>
            <w:tcW w:w="55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Rekonštrukcia DS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3000</w:t>
            </w:r>
          </w:p>
        </w:tc>
        <w:tc>
          <w:tcPr>
            <w:tcW w:w="18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55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Rekonštrukcia MK s vyznačením cyklotrasy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39667,72</w:t>
            </w:r>
          </w:p>
        </w:tc>
        <w:tc>
          <w:tcPr>
            <w:tcW w:w="18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38669,80</w:t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Stavebné úpravy OCÚ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3691,06</w:t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3584,38</w:t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Viacúčelové ihrisko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15986,35</w:t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14487,55</w:t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Stavebné úpravy budovy obecného úradu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3691,06</w:t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3584,38</w:t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Autobusová zastávka 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1901,43</w:t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1478,91</w:t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Autobusová zastávka 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1901,43</w:t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1478,91</w:t>
            </w:r>
          </w:p>
        </w:tc>
      </w:tr>
      <w:tr>
        <w:trPr/>
        <w:tc>
          <w:tcPr>
            <w:tcW w:w="55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Zmeny a doplnok UPD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9074</w:t>
            </w:r>
          </w:p>
        </w:tc>
        <w:tc>
          <w:tcPr>
            <w:tcW w:w="18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6805,50</w:t>
            </w:r>
          </w:p>
        </w:tc>
      </w:tr>
      <w:tr>
        <w:trPr/>
        <w:tc>
          <w:tcPr>
            <w:tcW w:w="55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Zateplenie KD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100478,50</w:t>
            </w:r>
          </w:p>
        </w:tc>
        <w:tc>
          <w:tcPr>
            <w:tcW w:w="18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94541,02</w:t>
            </w:r>
          </w:p>
        </w:tc>
      </w:tr>
      <w:tr>
        <w:trPr/>
        <w:tc>
          <w:tcPr>
            <w:tcW w:w="55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Vykurovanie KD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82137,26</w:t>
            </w:r>
          </w:p>
        </w:tc>
        <w:tc>
          <w:tcPr>
            <w:tcW w:w="18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77305,70</w:t>
            </w:r>
          </w:p>
        </w:tc>
      </w:tr>
      <w:tr>
        <w:trPr/>
        <w:tc>
          <w:tcPr>
            <w:tcW w:w="55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Wifi pre teba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</w:t>
            </w:r>
          </w:p>
        </w:tc>
        <w:tc>
          <w:tcPr>
            <w:tcW w:w="18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12954,92</w:t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b/>
              </w:rPr>
              <w:t>735380,01</w:t>
            </w:r>
            <w:r>
              <w:rPr>
                <w:b/>
              </w:rPr>
              <w:t>2</w:t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b/>
              </w:rPr>
              <w:t>702879,75</w:t>
            </w:r>
            <w:r>
              <w:rPr>
                <w:b/>
              </w:rPr>
              <w:t xml:space="preserve">1    </w:t>
            </w:r>
          </w:p>
        </w:tc>
      </w:tr>
    </w:tbl>
    <w:p>
      <w:pPr>
        <w:pStyle w:val="Pismenka"/>
        <w:tabs>
          <w:tab w:val="clear" w:pos="426"/>
        </w:tabs>
        <w:ind w:left="36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>
      <w:pPr>
        <w:pStyle w:val="Pismenka"/>
        <w:tabs>
          <w:tab w:val="clear" w:pos="426"/>
        </w:tabs>
        <w:ind w:left="36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15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 v Eur</w:t>
      </w:r>
    </w:p>
    <w:p>
      <w:pPr>
        <w:pStyle w:val="Normal"/>
        <w:ind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035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65" w:type="dxa"/>
          <w:bottom w:w="0" w:type="dxa"/>
          <w:right w:w="70" w:type="dxa"/>
        </w:tblCellMar>
      </w:tblPr>
      <w:tblGrid>
        <w:gridCol w:w="5835"/>
        <w:gridCol w:w="2040"/>
        <w:gridCol w:w="2160"/>
      </w:tblGrid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F2F2F2" w:val="clear"/>
          </w:tcPr>
          <w:p>
            <w:pPr>
              <w:pStyle w:val="Normal"/>
              <w:jc w:val="center"/>
              <w:rPr>
                <w:b/>
                <w:b/>
                <w:sz w:val="22"/>
              </w:rPr>
            </w:pPr>
            <w:r>
              <w:rPr>
                <w:b/>
                <w:sz w:val="22"/>
              </w:rPr>
              <w:t xml:space="preserve">Opis /číslo účtu a názov/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Suma k 31.12.2023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Suma k 31.12.2024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F2F2F2" w:val="clear"/>
          </w:tcPr>
          <w:p>
            <w:pPr>
              <w:pStyle w:val="Normal"/>
              <w:numPr>
                <w:ilvl w:val="0"/>
                <w:numId w:val="21"/>
              </w:numPr>
              <w:ind w:left="185" w:right="0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 xml:space="preserve">tržby za vlastné výkony  a tovar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b/>
                <w:b/>
                <w:bCs/>
              </w:rPr>
            </w:pPr>
            <w:r>
              <w:rPr>
                <w:b/>
                <w:bCs/>
              </w:rPr>
              <w:t>35,00 €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b/>
                <w:b/>
                <w:bCs/>
              </w:rPr>
            </w:pPr>
            <w:r>
              <w:rPr>
                <w:b/>
                <w:bCs/>
              </w:rPr>
              <w:t>4 180,59 €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602 - Tržby z predaja služieb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35,00 €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4 180,59 €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604 - Tržby za tovar :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F2F2F2" w:val="clear"/>
          </w:tcPr>
          <w:p>
            <w:pPr>
              <w:pStyle w:val="Normal"/>
              <w:numPr>
                <w:ilvl w:val="0"/>
                <w:numId w:val="21"/>
              </w:numPr>
              <w:ind w:left="185" w:right="0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zmena stavu vnútroorganizačných zásob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b/>
                <w:b/>
                <w:bCs/>
              </w:rPr>
            </w:pPr>
            <w:r>
              <w:rPr>
                <w:b/>
                <w:bCs/>
              </w:rPr>
              <w:t>0,00 €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b/>
                <w:b/>
                <w:bCs/>
              </w:rPr>
            </w:pPr>
            <w:r>
              <w:rPr>
                <w:b/>
                <w:bCs/>
              </w:rPr>
              <w:t>0,00 €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F2F2F2" w:val="clear"/>
          </w:tcPr>
          <w:p>
            <w:pPr>
              <w:pStyle w:val="Normal"/>
              <w:numPr>
                <w:ilvl w:val="0"/>
                <w:numId w:val="21"/>
              </w:numPr>
              <w:ind w:left="185" w:right="0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aktivácia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b/>
                <w:b/>
                <w:bCs/>
              </w:rPr>
            </w:pPr>
            <w:r>
              <w:rPr>
                <w:b/>
                <w:bCs/>
              </w:rPr>
              <w:t>0,00 €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b/>
                <w:b/>
                <w:bCs/>
              </w:rPr>
            </w:pPr>
            <w:r>
              <w:rPr>
                <w:b/>
                <w:bCs/>
              </w:rPr>
              <w:t>0,00 €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622 - Aktivácia vnútroorganizačných služieb z toho: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624 - Aktivácia DHM z toho: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F2F2F2" w:val="clear"/>
          </w:tcPr>
          <w:p>
            <w:pPr>
              <w:pStyle w:val="Normal"/>
              <w:numPr>
                <w:ilvl w:val="0"/>
                <w:numId w:val="21"/>
              </w:numPr>
              <w:ind w:left="185" w:right="0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daňové a colné výnosy a výnosy z poplatkov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b/>
                <w:b/>
                <w:bCs/>
              </w:rPr>
            </w:pPr>
            <w:r>
              <w:rPr>
                <w:b/>
                <w:bCs/>
              </w:rPr>
              <w:t>135 646,93 €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b/>
                <w:b/>
                <w:bCs/>
              </w:rPr>
            </w:pPr>
            <w:r>
              <w:rPr>
                <w:b/>
                <w:bCs/>
              </w:rPr>
              <w:t>139 602,79 €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632 - Daňové výnosy samosprávy z toho:</w:t>
            </w:r>
          </w:p>
          <w:p>
            <w:pPr>
              <w:pStyle w:val="Normal"/>
              <w:numPr>
                <w:ilvl w:val="0"/>
                <w:numId w:val="22"/>
              </w:numPr>
              <w:ind w:left="318" w:right="0" w:hanging="142"/>
              <w:rPr/>
            </w:pPr>
            <w:r>
              <w:rPr/>
              <w:t xml:space="preserve">podielové dane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124 461,54 €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126 381,07 €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633 - Výnosy z poplatkov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11 185,39 €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13 221,72 €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F2F2F2" w:val="clear"/>
          </w:tcPr>
          <w:p>
            <w:pPr>
              <w:pStyle w:val="Normal"/>
              <w:numPr>
                <w:ilvl w:val="0"/>
                <w:numId w:val="21"/>
              </w:numPr>
              <w:ind w:left="185" w:right="0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finančné výnosy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b/>
                <w:b/>
                <w:bCs/>
              </w:rPr>
            </w:pPr>
            <w:r>
              <w:rPr>
                <w:b/>
                <w:bCs/>
              </w:rPr>
              <w:t>0,00 €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b/>
                <w:b/>
                <w:bCs/>
              </w:rPr>
            </w:pPr>
            <w:r>
              <w:rPr>
                <w:b/>
                <w:bCs/>
              </w:rPr>
              <w:t>0,00 €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661 - Tržby z predaja CP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662 - Úroky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668 - Ostatné finančné výnosy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F2F2F2" w:val="clear"/>
          </w:tcPr>
          <w:p>
            <w:pPr>
              <w:pStyle w:val="Normal"/>
              <w:numPr>
                <w:ilvl w:val="0"/>
                <w:numId w:val="21"/>
              </w:numPr>
              <w:ind w:left="185" w:right="0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 xml:space="preserve">výnosy z transferov a rozpočtových príjmov v obciach, VÚC   a v RO a PO zriadených obcou alebo VÚC                    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b/>
                <w:b/>
                <w:bCs/>
              </w:rPr>
            </w:pPr>
            <w:r>
              <w:rPr>
                <w:b/>
                <w:bCs/>
              </w:rPr>
              <w:t>42 820,69 €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b/>
                <w:b/>
                <w:bCs/>
              </w:rPr>
            </w:pPr>
            <w:r>
              <w:rPr>
                <w:b/>
                <w:bCs/>
              </w:rPr>
              <w:t>50 623,66 €</w:t>
            </w:r>
          </w:p>
        </w:tc>
      </w:tr>
      <w:tr>
        <w:trPr>
          <w:trHeight w:val="129" w:hRule="atLeast"/>
        </w:trPr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693 - Výnosy samosprávy z bežných transferov zo ŠR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4 773,45 €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3 739,84 €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694 - Výnosy samosprávy z kapitálových transferov zo ŠR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35 997,56 €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44 401,00 €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696 - Výnosy samosprávy z kapitálových transferov od EÚ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697 - Výnosy samosprávy z bežných transferov od ostatných subjektov VS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500,00 €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933,13 €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698 - Výnosy samosprávy z kapitálových transferov od ostatných subjektov mimo verejnej správy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1 549,68 €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F2F2F2" w:val="clear"/>
          </w:tcPr>
          <w:p>
            <w:pPr>
              <w:pStyle w:val="Normal"/>
              <w:numPr>
                <w:ilvl w:val="0"/>
                <w:numId w:val="21"/>
              </w:numPr>
              <w:ind w:left="185" w:right="0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ostatné výnosy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b/>
                <w:b/>
                <w:bCs/>
              </w:rPr>
            </w:pPr>
            <w:r>
              <w:rPr>
                <w:b/>
                <w:bCs/>
              </w:rPr>
              <w:t>16 607,70 €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b/>
                <w:b/>
              </w:rPr>
            </w:pPr>
            <w:r>
              <w:rPr>
                <w:b/>
              </w:rPr>
              <w:t>1 506,00 €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641 - Tržby z predaja DNM a DHM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8 500,00 €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642 - Tržby z predaja materiálu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644 - Zmluvné pokuty, penále a úroky z omeškania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645 - Ostatné pokuty, penále a úroky z omeškania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2,50 €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216,00 €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646 - Výnosy z odpísaných pohľadávok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648 - Ostatné výnosy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8 105,20 €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1 290,00 €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F2F2F2" w:val="clear"/>
          </w:tcPr>
          <w:p>
            <w:pPr>
              <w:pStyle w:val="Normal"/>
              <w:numPr>
                <w:ilvl w:val="0"/>
                <w:numId w:val="21"/>
              </w:numPr>
              <w:ind w:left="185" w:right="0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zúčtovanie rezerv, opravných položiek, časového rozlíšenia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b/>
                <w:b/>
                <w:bCs/>
              </w:rPr>
            </w:pPr>
            <w:r>
              <w:rPr>
                <w:b/>
                <w:bCs/>
              </w:rPr>
              <w:t>0,00 €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b/>
                <w:b/>
                <w:bCs/>
              </w:rPr>
            </w:pPr>
            <w:r>
              <w:rPr>
                <w:b/>
                <w:bCs/>
              </w:rPr>
              <w:t>800,00 €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653 - Zúčtovanie ostatných rezerv z prevádzkovej činnosti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800,00 €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658 - Zúčtovanie ostatných opravných položiek z prevádzkovej činnosti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0,00 €</w:t>
            </w:r>
          </w:p>
        </w:tc>
      </w:tr>
    </w:tbl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15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 v Eur</w:t>
      </w:r>
    </w:p>
    <w:p>
      <w:pPr>
        <w:pStyle w:val="Normal"/>
        <w:ind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041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65" w:type="dxa"/>
          <w:bottom w:w="0" w:type="dxa"/>
          <w:right w:w="70" w:type="dxa"/>
        </w:tblCellMar>
      </w:tblPr>
      <w:tblGrid>
        <w:gridCol w:w="5835"/>
        <w:gridCol w:w="2040"/>
        <w:gridCol w:w="2166"/>
      </w:tblGrid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Zostatok k  31.12.2023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Zostatok k  31.12.2024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F2F2F2" w:val="clear"/>
          </w:tcPr>
          <w:p>
            <w:pPr>
              <w:pStyle w:val="Normal"/>
              <w:numPr>
                <w:ilvl w:val="0"/>
                <w:numId w:val="23"/>
              </w:numPr>
              <w:ind w:left="185" w:right="0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spotrebované nákupy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b/>
                <w:b/>
                <w:bCs/>
              </w:rPr>
            </w:pPr>
            <w:r>
              <w:rPr>
                <w:b/>
                <w:bCs/>
              </w:rPr>
              <w:t>17 020,03 €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b/>
                <w:b/>
                <w:bCs/>
              </w:rPr>
            </w:pPr>
            <w:r>
              <w:rPr>
                <w:b/>
                <w:bCs/>
              </w:rPr>
              <w:t>13 644,33 €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501 - Spotreba materiálu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8 527,60 €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6 123,40 €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502 - Spotreba energie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8 492,43 €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7 520,93 €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F2F2F2" w:val="clear"/>
          </w:tcPr>
          <w:p>
            <w:pPr>
              <w:pStyle w:val="Normal"/>
              <w:numPr>
                <w:ilvl w:val="0"/>
                <w:numId w:val="23"/>
              </w:numPr>
              <w:ind w:left="185" w:right="0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služby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b/>
                <w:b/>
                <w:bCs/>
              </w:rPr>
            </w:pPr>
            <w:r>
              <w:rPr>
                <w:b/>
                <w:bCs/>
              </w:rPr>
              <w:t>23 939,91 €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b/>
                <w:b/>
                <w:bCs/>
              </w:rPr>
            </w:pPr>
            <w:r>
              <w:rPr>
                <w:b/>
                <w:bCs/>
              </w:rPr>
              <w:t>25 162,15 €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511 - Opravy a udržiavanie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498,00 €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354,40 €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512 - Cestovné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1 201,34 €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407,42 €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513 - Náklady na reprezentáciu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208,51 €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1 399,74 €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518 - Ostatné služby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22 032,06 €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23 000,59 €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F2F2F2" w:val="clear"/>
          </w:tcPr>
          <w:p>
            <w:pPr>
              <w:pStyle w:val="Normal"/>
              <w:numPr>
                <w:ilvl w:val="0"/>
                <w:numId w:val="23"/>
              </w:numPr>
              <w:ind w:left="185" w:right="0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osobné náklady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b/>
                <w:b/>
                <w:bCs/>
              </w:rPr>
            </w:pPr>
            <w:r>
              <w:rPr>
                <w:b/>
                <w:bCs/>
              </w:rPr>
              <w:t>58 158,08 €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b/>
                <w:b/>
                <w:bCs/>
              </w:rPr>
            </w:pPr>
            <w:r>
              <w:rPr>
                <w:b/>
                <w:bCs/>
              </w:rPr>
              <w:t>59 265,62 €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521 - Mzdové náklady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41 806,61 €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42 502,97 €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524 - Zákonné sociálne náklady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14 349,54 €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14 587,59 €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527 - Zákonné sociálne náklady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2 001,93 €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2 175,06 €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F2F2F2" w:val="clear"/>
          </w:tcPr>
          <w:p>
            <w:pPr>
              <w:pStyle w:val="Normal"/>
              <w:numPr>
                <w:ilvl w:val="0"/>
                <w:numId w:val="23"/>
              </w:numPr>
              <w:ind w:left="185" w:right="0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dane a poplatky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b/>
                <w:b/>
                <w:bCs/>
              </w:rPr>
            </w:pPr>
            <w:r>
              <w:rPr>
                <w:b/>
                <w:bCs/>
              </w:rPr>
              <w:t>1 474,10 €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b/>
                <w:b/>
                <w:bCs/>
              </w:rPr>
            </w:pPr>
            <w:r>
              <w:rPr>
                <w:b/>
                <w:bCs/>
              </w:rPr>
              <w:t>1 360,00 €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532 - Daň z nehnuteľností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538 - Ostatné dane a poplatky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1 474,10 €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1 360,00 €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F2F2F2" w:val="clear"/>
          </w:tcPr>
          <w:p>
            <w:pPr>
              <w:pStyle w:val="Normal"/>
              <w:numPr>
                <w:ilvl w:val="0"/>
                <w:numId w:val="23"/>
              </w:numPr>
              <w:ind w:left="185" w:right="0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 xml:space="preserve">odpisy, rezervy a opravné položky 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b/>
                <w:b/>
                <w:bCs/>
              </w:rPr>
            </w:pPr>
            <w:r>
              <w:rPr>
                <w:b/>
                <w:bCs/>
              </w:rPr>
              <w:t>41 171,85 €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b/>
                <w:b/>
                <w:bCs/>
              </w:rPr>
            </w:pPr>
            <w:r>
              <w:rPr>
                <w:b/>
                <w:bCs/>
              </w:rPr>
              <w:t>64 290,64 €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551 - Odpisy  DNM a DHM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34 102,98 €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45 595,63 €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553 - Tvorba ostatných rezerv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800,00 €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558 - Tvorba ostatných opravných položiek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17 895,01 €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F2F2F2" w:val="clear"/>
          </w:tcPr>
          <w:p>
            <w:pPr>
              <w:pStyle w:val="Normal"/>
              <w:numPr>
                <w:ilvl w:val="0"/>
                <w:numId w:val="23"/>
              </w:numPr>
              <w:ind w:left="185" w:right="0" w:hanging="185"/>
              <w:rPr>
                <w:b/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b/>
                <w:b/>
                <w:bCs/>
              </w:rPr>
            </w:pPr>
            <w:r>
              <w:rPr>
                <w:b/>
                <w:bCs/>
              </w:rPr>
              <w:t>7 142,05 €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b/>
                <w:b/>
                <w:bCs/>
              </w:rPr>
            </w:pPr>
            <w:r>
              <w:rPr>
                <w:b/>
                <w:bCs/>
              </w:rPr>
              <w:t>737,14 €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561 - Predané CP a podiely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562 - Úroky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6 479,45 €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423,20 €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568 - Ostatné finančné náklady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662,60 €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313,94 €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F2F2F2" w:val="clear"/>
          </w:tcPr>
          <w:p>
            <w:pPr>
              <w:pStyle w:val="Normal"/>
              <w:numPr>
                <w:ilvl w:val="0"/>
                <w:numId w:val="23"/>
              </w:numPr>
              <w:ind w:left="185" w:right="0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náklady na transfery a náklady z odvodov príjmov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b/>
                <w:b/>
                <w:bCs/>
              </w:rPr>
            </w:pPr>
            <w:r>
              <w:rPr>
                <w:b/>
                <w:bCs/>
              </w:rPr>
              <w:t>2 670,43 €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b/>
                <w:b/>
                <w:bCs/>
              </w:rPr>
            </w:pPr>
            <w:r>
              <w:rPr>
                <w:b/>
                <w:bCs/>
              </w:rPr>
              <w:t>1 880,26 €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584 - Náklady na transfery z rozpočtu obce, VÚC do RO, PO zriadených obcou alebo VUC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585 - Náklady na transfery z rozpočtu obce, VÚC ostatným subjektov verejnej správy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142,70 €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586 - Náklady na transfery z rozpočtu obce, VÚC subjektov mimo verejnej správy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2 110,43 €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1 630,50 €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587 - Náklady na ostatné transfery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107,06 €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588 - Náklady z odvodu príjmov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589 - Náklady z budúceho odvodu príjmov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ind w:left="720" w:right="0" w:hanging="0"/>
              <w:rPr>
                <w:b/>
                <w:b/>
              </w:rPr>
            </w:pPr>
            <w:r>
              <w:rPr>
                <w:b/>
              </w:rPr>
              <w:t>h) ostatné náklady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b/>
                <w:b/>
                <w:bCs/>
              </w:rPr>
            </w:pPr>
            <w:r>
              <w:rPr>
                <w:b/>
                <w:bCs/>
              </w:rPr>
              <w:t>4 748,25 €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b/>
                <w:b/>
                <w:bCs/>
              </w:rPr>
            </w:pPr>
            <w:r>
              <w:rPr>
                <w:b/>
                <w:bCs/>
              </w:rPr>
              <w:t>1 173,24 €</w:t>
            </w:r>
          </w:p>
        </w:tc>
      </w:tr>
      <w:tr>
        <w:trPr/>
        <w:tc>
          <w:tcPr>
            <w:tcW w:w="5835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541 - ZC predaného DNM a DHM </w:t>
            </w:r>
          </w:p>
        </w:tc>
        <w:tc>
          <w:tcPr>
            <w:tcW w:w="204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  <w:tc>
          <w:tcPr>
            <w:tcW w:w="216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5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542 - Predaný materiál </w:t>
            </w:r>
          </w:p>
        </w:tc>
        <w:tc>
          <w:tcPr>
            <w:tcW w:w="204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  <w:tc>
          <w:tcPr>
            <w:tcW w:w="216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5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544 - Zmluvné pokuty, penále a úroky z omeškania </w:t>
            </w:r>
          </w:p>
        </w:tc>
        <w:tc>
          <w:tcPr>
            <w:tcW w:w="204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  <w:tc>
          <w:tcPr>
            <w:tcW w:w="216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5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545 - Ostatné pokuty, penále a úroky z omeškania </w:t>
            </w:r>
          </w:p>
        </w:tc>
        <w:tc>
          <w:tcPr>
            <w:tcW w:w="204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  <w:tc>
          <w:tcPr>
            <w:tcW w:w="216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5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546 - Odpis pohľadávky </w:t>
            </w:r>
          </w:p>
        </w:tc>
        <w:tc>
          <w:tcPr>
            <w:tcW w:w="204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  <w:tc>
          <w:tcPr>
            <w:tcW w:w="216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5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548 - Ostatné náklady na prevádzkovú činnosť </w:t>
            </w:r>
          </w:p>
        </w:tc>
        <w:tc>
          <w:tcPr>
            <w:tcW w:w="204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4 748,25 €</w:t>
            </w:r>
          </w:p>
        </w:tc>
        <w:tc>
          <w:tcPr>
            <w:tcW w:w="216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1 173,24 €</w:t>
            </w:r>
          </w:p>
        </w:tc>
      </w:tr>
      <w:tr>
        <w:trPr/>
        <w:tc>
          <w:tcPr>
            <w:tcW w:w="5835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549 - Manká a škody </w:t>
            </w:r>
          </w:p>
        </w:tc>
        <w:tc>
          <w:tcPr>
            <w:tcW w:w="204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  <w:tc>
          <w:tcPr>
            <w:tcW w:w="216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</w:tr>
      <w:tr>
        <w:trPr/>
        <w:tc>
          <w:tcPr>
            <w:tcW w:w="5835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ind w:left="185" w:right="0" w:hanging="185"/>
              <w:rPr/>
            </w:pPr>
            <w:r>
              <w:rPr>
                <w:b/>
              </w:rPr>
              <w:t>i) dane z príjmov -</w:t>
            </w:r>
            <w:r>
              <w:rPr/>
              <w:t xml:space="preserve">591 - Splatná daň z príjmov </w:t>
            </w:r>
          </w:p>
        </w:tc>
        <w:tc>
          <w:tcPr>
            <w:tcW w:w="204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  <w:tc>
          <w:tcPr>
            <w:tcW w:w="216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/>
            </w:pPr>
            <w:r>
              <w:rPr/>
              <w:t>0,00 €</w:t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ListParagraph"/>
        <w:ind w:left="678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6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9498" w:type="dxa"/>
        <w:jc w:val="left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108"/>
        <w:gridCol w:w="3119"/>
        <w:gridCol w:w="2271"/>
      </w:tblGrid>
      <w:tr>
        <w:trPr/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v Eur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>
        <w:trPr/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majetok - OTE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sz w:val="18"/>
                <w:szCs w:val="18"/>
              </w:rPr>
              <w:t>10666,43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  <w:tr>
        <w:trPr/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Kontajnery čierne plastnové  1000 l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2 332,80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  <w:tr>
        <w:trPr/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sz w:val="18"/>
                <w:szCs w:val="18"/>
              </w:rPr>
              <w:t>P</w:t>
            </w:r>
            <w:r>
              <w:rPr>
                <w:sz w:val="18"/>
                <w:szCs w:val="18"/>
              </w:rPr>
              <w:t>odpis pohľadávky TKO 2013-2015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sz w:val="18"/>
                <w:szCs w:val="18"/>
              </w:rPr>
              <w:t>83,95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  <w:tr>
        <w:trPr/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Známky pre psov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sz w:val="18"/>
                <w:szCs w:val="18"/>
              </w:rPr>
              <w:t>87,12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>
      <w:pPr>
        <w:pStyle w:val="Pismenka"/>
        <w:tabs>
          <w:tab w:val="clear" w:pos="426"/>
        </w:tabs>
        <w:ind w:left="36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17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Obec je v súdnych sporoch: </w:t>
      </w:r>
    </w:p>
    <w:p>
      <w:pPr>
        <w:pStyle w:val="ListParagraph"/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vyvlastňovacie konanie pre stavbu „Miestna komunikácia Nižná Boca“, kde bolo vydané rozhodnutie Okresným úradom v Źiline v prospech obce, ale proti rozhodnutiu bolo prehratou stranou podané odvolanie, Ministerstvom dopravy a výstavby SR bolo vydané rozhodnutie v prospech obce, bol podaný protest prokurátora, ktorému  minister Dopravy a výstavby vyhovel a zrušil rozhodnutie Ministerstva DaV SR, čím sa rozhodnutie o vyvlastnení zrušuje a bude nové konanie od úrovne Okresného úradu v Žiline, odbor výstavby a bytovej politiky. </w:t>
      </w:r>
    </w:p>
    <w:p>
      <w:pPr>
        <w:pStyle w:val="Normal"/>
        <w:ind w:left="284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č.12-14:</w:t>
      </w:r>
    </w:p>
    <w:p>
      <w:pPr>
        <w:pStyle w:val="Normal"/>
        <w:jc w:val="both"/>
        <w:rPr/>
      </w:pPr>
      <w:r>
        <w:rPr>
          <w:sz w:val="24"/>
          <w:szCs w:val="24"/>
        </w:rPr>
        <w:t>Rozpočet obce bol schválený obecným zastupiteľstvom dňa</w:t>
      </w:r>
      <w:r>
        <w:rPr>
          <w:color w:val="auto"/>
          <w:sz w:val="24"/>
          <w:szCs w:val="24"/>
        </w:rPr>
        <w:t xml:space="preserve"> 1</w:t>
      </w:r>
      <w:r>
        <w:rPr>
          <w:color w:val="auto"/>
          <w:sz w:val="24"/>
          <w:szCs w:val="24"/>
        </w:rPr>
        <w:t>5</w:t>
      </w:r>
      <w:r>
        <w:rPr>
          <w:color w:val="auto"/>
          <w:sz w:val="24"/>
          <w:szCs w:val="24"/>
        </w:rPr>
        <w:t>.12.2023  uz</w:t>
      </w:r>
      <w:r>
        <w:rPr>
          <w:sz w:val="24"/>
          <w:szCs w:val="24"/>
        </w:rPr>
        <w:t xml:space="preserve">nesením OZ </w:t>
      </w:r>
      <w:r>
        <w:rPr>
          <w:sz w:val="24"/>
          <w:szCs w:val="24"/>
        </w:rPr>
        <w:t>č.57/2023</w:t>
      </w:r>
      <w:r>
        <w:rPr>
          <w:sz w:val="24"/>
          <w:szCs w:val="24"/>
        </w:rPr>
        <w:t>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7 - 8 zákona č.583/2004 Z.z. o rozpočtových pravidlách územnej samosprávy a o zmene a doplnení niektorých zákonov v z.n.p. za bežné účtovné obdobie a bezprostredne predchádzajúce účtovné obdobie - tabuľka č.15.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>
      <w:pPr>
        <w:pStyle w:val="Normal"/>
        <w:jc w:val="center"/>
        <w:rPr>
          <w:b/>
          <w:b/>
          <w:sz w:val="28"/>
        </w:rPr>
      </w:pPr>
      <w:r>
        <w:rPr>
          <w:b/>
          <w:sz w:val="28"/>
        </w:rPr>
      </w:r>
    </w:p>
    <w:p>
      <w:pPr>
        <w:pStyle w:val="Normal"/>
        <w:jc w:val="both"/>
        <w:rPr/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2024</w:t>
      </w:r>
      <w:r>
        <w:rPr>
          <w:sz w:val="24"/>
          <w:szCs w:val="24"/>
        </w:rPr>
        <w:t xml:space="preserve"> nenastali také udalosti, ktoré by si vyžadovali zverejnenie alebo vykázanie v účtovnej závierke za rok 2024.</w:t>
      </w:r>
    </w:p>
    <w:p>
      <w:pPr>
        <w:pStyle w:val="Normal"/>
        <w:spacing w:lineRule="auto" w:line="360"/>
        <w:rPr>
          <w:b/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8" w:top="1417" w:footer="708" w:bottom="1417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419429949"/>
    </w:sdtPr>
    <w:sdtContent>
      <w:p>
        <w:pPr>
          <w:pStyle w:val="Pta"/>
          <w:jc w:val="right"/>
          <w:rPr/>
        </w:pPr>
        <w:r>
          <w:rPr/>
          <w:fldChar w:fldCharType="begin"/>
        </w:r>
        <w:r>
          <w:rPr/>
          <w:instrText> PAGE </w:instrText>
        </w:r>
        <w:r>
          <w:rPr/>
          <w:fldChar w:fldCharType="separate"/>
        </w:r>
        <w:r>
          <w:rPr/>
          <w:t>1</w:t>
        </w:r>
        <w:r>
          <w:rPr/>
          <w:fldChar w:fldCharType="end"/>
        </w:r>
      </w:p>
    </w:sdtContent>
  </w:sdt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708" w:leader="none"/>
        <w:tab w:val="center" w:pos="4536" w:leader="none"/>
        <w:tab w:val="right" w:pos="9072" w:leader="none"/>
      </w:tabs>
      <w:ind w:left="0" w:right="-82" w:hanging="0"/>
      <w:jc w:val="center"/>
      <w:rPr>
        <w:sz w:val="24"/>
        <w:szCs w:val="24"/>
      </w:rPr>
    </w:pPr>
    <w:r>
      <w:rPr>
        <w:sz w:val="24"/>
        <w:szCs w:val="24"/>
      </w:rPr>
      <w:t xml:space="preserve">Obec </w:t>
    </w:r>
    <w:r>
      <w:rPr>
        <w:sz w:val="24"/>
        <w:szCs w:val="24"/>
      </w:rPr>
      <w:t>Nižná Boca</w:t>
    </w:r>
    <w:r>
      <w:rPr>
        <w:sz w:val="24"/>
        <w:szCs w:val="24"/>
      </w:rPr>
      <w:t xml:space="preserve">, IČO: </w:t>
    </w:r>
    <w:r>
      <w:rPr>
        <w:sz w:val="24"/>
        <w:szCs w:val="24"/>
      </w:rPr>
      <w:t>00315648</w:t>
    </w:r>
  </w:p>
  <w:sdt>
    <w:sdtPr>
      <w:text/>
      <w:id w:val="1805070194"/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alias w:val="Nadpis"/>
    </w:sdtPr>
    <w:sdtContent>
      <w:p>
        <w:pPr>
          <w:pStyle w:val="Hlavika"/>
          <w:pBdr>
            <w:bottom w:val="single" w:sz="4" w:space="1" w:color="000000"/>
          </w:pBdr>
          <w:jc w:val="center"/>
          <w:rPr>
            <w:rFonts w:ascii="Times New Roman" w:hAnsi="Times New Roman"/>
            <w:b w:val="false"/>
            <w:b w:val="false"/>
            <w:bCs w:val="false"/>
            <w:i w:val="false"/>
            <w:i w:val="false"/>
            <w:iCs w:val="false"/>
            <w:sz w:val="24"/>
            <w:szCs w:val="24"/>
          </w:rPr>
        </w:pPr>
        <w:r>
          <w:rPr>
            <w:rFonts w:eastAsia="" w:cs="" w:ascii="Times New Roman" w:hAnsi="Times New Roman" w:cstheme="majorBidi" w:eastAsiaTheme="majorEastAsia"/>
            <w:b w:val="false"/>
            <w:bCs w:val="false"/>
            <w:i w:val="false"/>
            <w:iCs w:val="false"/>
            <w:sz w:val="24"/>
            <w:szCs w:val="24"/>
          </w:rPr>
          <w:t>Poznámky  individuálnej účtovnej závierky  zostavenej k 31. decembru 2024</w:t>
        </w:r>
      </w:p>
    </w:sdtContent>
  </w:sdt>
  <w:p>
    <w:pPr>
      <w:pStyle w:val="Hlavika"/>
      <w:rPr>
        <w:i/>
        <w:i/>
        <w:sz w:val="24"/>
        <w:szCs w:val="24"/>
      </w:rPr>
    </w:pPr>
    <w:r>
      <w:rPr>
        <w:i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b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1"/>
      <w:numFmt w:val="decimal"/>
      <w:lvlText w:val="%1."/>
      <w:lvlJc w:val="left"/>
      <w:pPr>
        <w:ind w:left="720" w:hanging="360"/>
      </w:pPr>
      <w:rPr>
        <w:sz w:val="24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lvl w:ilvl="0">
      <w:start w:val="1"/>
      <w:numFmt w:val="decimal"/>
      <w:lvlText w:val="%1."/>
      <w:lvlJc w:val="left"/>
      <w:pPr>
        <w:ind w:left="720" w:hanging="360"/>
      </w:pPr>
      <w:rPr>
        <w:sz w:val="24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lvl w:ilvl="0">
      <w:start w:val="1"/>
      <w:numFmt w:val="decimal"/>
      <w:lvlText w:val="%1."/>
      <w:lvlJc w:val="left"/>
      <w:pPr>
        <w:ind w:left="720" w:hanging="360"/>
      </w:pPr>
      <w:rPr>
        <w:sz w:val="24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lvl w:ilvl="0">
      <w:start w:val="1"/>
      <w:numFmt w:val="decimal"/>
      <w:lvlText w:val="%1."/>
      <w:lvlJc w:val="left"/>
      <w:pPr>
        <w:ind w:left="720" w:hanging="360"/>
      </w:pPr>
      <w:rPr>
        <w:sz w:val="24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lvl w:ilvl="0">
      <w:start w:val="1"/>
      <w:numFmt w:val="bullet"/>
      <w:lvlText w:val="-"/>
      <w:lvlJc w:val="left"/>
      <w:pPr>
        <w:ind w:left="678" w:hanging="360"/>
      </w:pPr>
      <w:rPr>
        <w:rFonts w:ascii="Times New Roman" w:hAnsi="Times New Roman" w:cs="Times New Roman" w:hint="default"/>
        <w:sz w:val="24"/>
        <w:b/>
        <w:rFonts w:cs="Times New Roman"/>
      </w:rPr>
    </w:lvl>
    <w:lvl w:ilvl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18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838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278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998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38" w:hanging="360"/>
      </w:pPr>
      <w:rPr>
        <w:rFonts w:ascii="Wingdings" w:hAnsi="Wingdings" w:cs="Wingdings" w:hint="default"/>
        <w:rFonts w:cs="Wingdings"/>
      </w:rPr>
    </w:lvl>
  </w:abstractNum>
  <w:abstractNum w:abstractNumId="19"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rFonts w:cs="Times New Roman"/>
        <w:color w:val="FF000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rFonts w:cs="Wingdings"/>
      </w:rPr>
    </w:lvl>
  </w:abstractNum>
  <w:abstractNum w:abstractNumId="20">
    <w:lvl w:ilvl="0">
      <w:start w:val="1"/>
      <w:numFmt w:val="lowerLetter"/>
      <w:lvlText w:val="%1)"/>
      <w:lvlJc w:val="left"/>
      <w:pPr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lvl w:ilvl="0">
      <w:start w:val="1"/>
      <w:numFmt w:val="lowerLetter"/>
      <w:lvlText w:val="%1)"/>
      <w:lvlJc w:val="left"/>
      <w:pPr>
        <w:ind w:left="72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2"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3"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2.%3."/>
      <w:lvlJc w:val="right"/>
      <w:pPr>
        <w:ind w:left="2160" w:hanging="180"/>
      </w:pPr>
      <w:rPr/>
    </w:lvl>
    <w:lvl w:ilvl="3">
      <w:start w:val="1"/>
      <w:numFmt w:val="decimal"/>
      <w:lvlText w:val="%2.%3.%4."/>
      <w:lvlJc w:val="left"/>
      <w:pPr>
        <w:ind w:left="2880" w:hanging="360"/>
      </w:pPr>
      <w:rPr/>
    </w:lvl>
    <w:lvl w:ilvl="4">
      <w:start w:val="1"/>
      <w:numFmt w:val="lowerLetter"/>
      <w:lvlText w:val="%2.%3.%4.%5."/>
      <w:lvlJc w:val="left"/>
      <w:pPr>
        <w:ind w:left="3600" w:hanging="360"/>
      </w:pPr>
      <w:rPr/>
    </w:lvl>
    <w:lvl w:ilvl="5">
      <w:start w:val="1"/>
      <w:numFmt w:val="lowerRoman"/>
      <w:lvlText w:val="%2.%3.%4.%5.%6."/>
      <w:lvlJc w:val="right"/>
      <w:pPr>
        <w:ind w:left="4320" w:hanging="180"/>
      </w:pPr>
      <w:rPr/>
    </w:lvl>
    <w:lvl w:ilvl="6">
      <w:start w:val="1"/>
      <w:numFmt w:val="decimal"/>
      <w:lvlText w:val="%2.%3.%4.%5.%6.%7."/>
      <w:lvlJc w:val="left"/>
      <w:pPr>
        <w:ind w:left="5040" w:hanging="360"/>
      </w:pPr>
      <w:rPr/>
    </w:lvl>
    <w:lvl w:ilvl="7">
      <w:start w:val="1"/>
      <w:numFmt w:val="lowerLetter"/>
      <w:lvlText w:val="%2.%3.%4.%5.%6.%7.%8."/>
      <w:lvlJc w:val="left"/>
      <w:pPr>
        <w:ind w:left="5760" w:hanging="360"/>
      </w:pPr>
      <w:rPr/>
    </w:lvl>
    <w:lvl w:ilvl="8">
      <w:start w:val="1"/>
      <w:numFmt w:val="lowerRoman"/>
      <w:lvlText w:val="%2.%3.%4.%5.%6.%7.%8.%9."/>
      <w:lvlJc w:val="right"/>
      <w:pPr>
        <w:ind w:left="6480" w:hanging="180"/>
      </w:pPr>
      <w:rPr/>
    </w:lvl>
  </w:abstractNum>
  <w:abstractNum w:abstractNumId="24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</w:numbering>
</file>

<file path=word/settings.xml><?xml version="1.0" encoding="utf-8"?>
<w:settings xmlns:w="http://schemas.openxmlformats.org/wordprocessingml/2006/main">
  <w:zoom w:percent="89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uiPriority="10" w:semiHidden="0" w:unhideWhenUsed="0" w:qFormat="1"/>
    <w:lsdException w:name="Default Paragraph Font" w:uiPriority="1"/>
    <w:lsdException w:name="Body Text" w:uiPriority="0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Balloon Text" w:uiPriority="0"/>
    <w:lsdException w:name="Table Grid" w:uiPriority="0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f3761a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taChar" w:customStyle="1">
    <w:name w:val="Päta Char"/>
    <w:basedOn w:val="DefaultParagraphFont"/>
    <w:link w:val="Pta"/>
    <w:uiPriority w:val="99"/>
    <w:qFormat/>
    <w:rsid w:val="00f3761a"/>
    <w:rPr>
      <w:rFonts w:ascii="Times New Roman" w:hAnsi="Times New Roman" w:eastAsia="Times New Roman" w:cs="Times New Roman"/>
      <w:sz w:val="20"/>
      <w:szCs w:val="20"/>
      <w:lang w:eastAsia="sk-SK"/>
    </w:rPr>
  </w:style>
  <w:style w:type="character" w:styleId="TextbublinyChar" w:customStyle="1">
    <w:name w:val="Text bubliny Char"/>
    <w:basedOn w:val="DefaultParagraphFont"/>
    <w:link w:val="Textbubliny"/>
    <w:semiHidden/>
    <w:qFormat/>
    <w:rsid w:val="00f3761a"/>
    <w:rPr>
      <w:rFonts w:ascii="Tahoma" w:hAnsi="Tahoma" w:eastAsia="Times New Roman" w:cs="Tahoma"/>
      <w:sz w:val="16"/>
      <w:szCs w:val="16"/>
      <w:lang w:eastAsia="sk-SK"/>
    </w:rPr>
  </w:style>
  <w:style w:type="character" w:styleId="Pagenumber">
    <w:name w:val="page number"/>
    <w:basedOn w:val="DefaultParagraphFont"/>
    <w:qFormat/>
    <w:rsid w:val="00f3761a"/>
    <w:rPr/>
  </w:style>
  <w:style w:type="character" w:styleId="ZkladntextChar" w:customStyle="1">
    <w:name w:val="Základný text Char"/>
    <w:basedOn w:val="DefaultParagraphFont"/>
    <w:link w:val="Zkladntext"/>
    <w:qFormat/>
    <w:rsid w:val="00f3761a"/>
    <w:rPr>
      <w:rFonts w:ascii="Times New Roman" w:hAnsi="Times New Roman" w:eastAsia="Times New Roman" w:cs="Times New Roman"/>
      <w:sz w:val="18"/>
      <w:szCs w:val="20"/>
      <w:lang w:eastAsia="sk-SK"/>
    </w:rPr>
  </w:style>
  <w:style w:type="character" w:styleId="HlavikaChar" w:customStyle="1">
    <w:name w:val="Hlavička Char"/>
    <w:basedOn w:val="DefaultParagraphFont"/>
    <w:link w:val="Hlavika"/>
    <w:uiPriority w:val="99"/>
    <w:qFormat/>
    <w:rsid w:val="00f3761a"/>
    <w:rPr>
      <w:rFonts w:ascii="Times New Roman" w:hAnsi="Times New Roman" w:eastAsia="Times New Roman" w:cs="Times New Roman"/>
      <w:sz w:val="20"/>
      <w:szCs w:val="20"/>
      <w:lang w:eastAsia="sk-SK"/>
    </w:rPr>
  </w:style>
  <w:style w:type="character" w:styleId="ListLabel1">
    <w:name w:val="ListLabel 1"/>
    <w:qFormat/>
    <w:rPr>
      <w:rFonts w:eastAsia="Times New Roman" w:cs="Times New Roman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Courier New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b/>
      <w:sz w:val="24"/>
      <w:szCs w:val="24"/>
    </w:rPr>
  </w:style>
  <w:style w:type="character" w:styleId="ListLabel6">
    <w:name w:val="ListLabel 6"/>
    <w:qFormat/>
    <w:rPr>
      <w:b w:val="false"/>
      <w:sz w:val="24"/>
    </w:rPr>
  </w:style>
  <w:style w:type="character" w:styleId="ListLabel7">
    <w:name w:val="ListLabel 7"/>
    <w:qFormat/>
    <w:rPr>
      <w:b w:val="false"/>
      <w:sz w:val="24"/>
    </w:rPr>
  </w:style>
  <w:style w:type="character" w:styleId="ListLabel8">
    <w:name w:val="ListLabel 8"/>
    <w:qFormat/>
    <w:rPr>
      <w:b w:val="false"/>
      <w:sz w:val="24"/>
    </w:rPr>
  </w:style>
  <w:style w:type="character" w:styleId="ListLabel9">
    <w:name w:val="ListLabel 9"/>
    <w:qFormat/>
    <w:rPr>
      <w:b w:val="false"/>
      <w:sz w:val="24"/>
    </w:rPr>
  </w:style>
  <w:style w:type="character" w:styleId="ListLabel10">
    <w:name w:val="ListLabel 10"/>
    <w:qFormat/>
    <w:rPr>
      <w:b w:val="false"/>
    </w:rPr>
  </w:style>
  <w:style w:type="character" w:styleId="ListLabel11">
    <w:name w:val="ListLabel 11"/>
    <w:qFormat/>
    <w:rPr>
      <w:b w:val="false"/>
      <w:sz w:val="24"/>
    </w:rPr>
  </w:style>
  <w:style w:type="character" w:styleId="ListLabel12">
    <w:name w:val="ListLabel 12"/>
    <w:qFormat/>
    <w:rPr>
      <w:b w:val="false"/>
      <w:sz w:val="24"/>
    </w:rPr>
  </w:style>
  <w:style w:type="character" w:styleId="ListLabel13">
    <w:name w:val="ListLabel 13"/>
    <w:qFormat/>
    <w:rPr>
      <w:b/>
      <w:sz w:val="24"/>
    </w:rPr>
  </w:style>
  <w:style w:type="character" w:styleId="ListLabel14">
    <w:name w:val="ListLabel 14"/>
    <w:qFormat/>
    <w:rPr>
      <w:b w:val="false"/>
      <w:sz w:val="24"/>
    </w:rPr>
  </w:style>
  <w:style w:type="character" w:styleId="ListLabel15">
    <w:name w:val="ListLabel 15"/>
    <w:qFormat/>
    <w:rPr>
      <w:b w:val="false"/>
      <w:sz w:val="24"/>
    </w:rPr>
  </w:style>
  <w:style w:type="character" w:styleId="ListLabel16">
    <w:name w:val="ListLabel 16"/>
    <w:qFormat/>
    <w:rPr>
      <w:b w:val="false"/>
      <w:sz w:val="24"/>
    </w:rPr>
  </w:style>
  <w:style w:type="character" w:styleId="ListLabel17">
    <w:name w:val="ListLabel 17"/>
    <w:qFormat/>
    <w:rPr>
      <w:b/>
      <w:sz w:val="24"/>
    </w:rPr>
  </w:style>
  <w:style w:type="character" w:styleId="ListLabel18">
    <w:name w:val="ListLabel 18"/>
    <w:qFormat/>
    <w:rPr>
      <w:rFonts w:eastAsia="Times New Roman" w:cs="Times New Roman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character" w:styleId="ListLabel21">
    <w:name w:val="ListLabel 21"/>
    <w:qFormat/>
    <w:rPr>
      <w:rFonts w:cs="Courier New"/>
    </w:rPr>
  </w:style>
  <w:style w:type="character" w:styleId="ListLabel22">
    <w:name w:val="ListLabel 22"/>
    <w:qFormat/>
    <w:rPr>
      <w:b/>
      <w:sz w:val="24"/>
    </w:rPr>
  </w:style>
  <w:style w:type="character" w:styleId="ListLabel23">
    <w:name w:val="ListLabel 23"/>
    <w:qFormat/>
    <w:rPr>
      <w:b/>
      <w:sz w:val="24"/>
    </w:rPr>
  </w:style>
  <w:style w:type="character" w:styleId="ListLabel24">
    <w:name w:val="ListLabel 24"/>
    <w:qFormat/>
    <w:rPr>
      <w:b w:val="false"/>
    </w:rPr>
  </w:style>
  <w:style w:type="character" w:styleId="ListLabel25">
    <w:name w:val="ListLabel 25"/>
    <w:qFormat/>
    <w:rPr>
      <w:b w:val="false"/>
    </w:rPr>
  </w:style>
  <w:style w:type="character" w:styleId="ListLabel26">
    <w:name w:val="ListLabel 26"/>
    <w:qFormat/>
    <w:rPr>
      <w:b/>
    </w:rPr>
  </w:style>
  <w:style w:type="character" w:styleId="ListLabel27">
    <w:name w:val="ListLabel 27"/>
    <w:qFormat/>
    <w:rPr>
      <w:b w:val="false"/>
    </w:rPr>
  </w:style>
  <w:style w:type="character" w:styleId="ListLabel28">
    <w:name w:val="ListLabel 28"/>
    <w:qFormat/>
    <w:rPr>
      <w:b w:val="false"/>
    </w:rPr>
  </w:style>
  <w:style w:type="character" w:styleId="ListLabel29">
    <w:name w:val="ListLabel 29"/>
    <w:qFormat/>
    <w:rPr>
      <w:rFonts w:eastAsia="Times New Roman" w:cs="Times New Roman"/>
      <w:b/>
      <w:sz w:val="24"/>
    </w:rPr>
  </w:style>
  <w:style w:type="character" w:styleId="ListLabel30">
    <w:name w:val="ListLabel 30"/>
    <w:qFormat/>
    <w:rPr>
      <w:rFonts w:cs="Courier New"/>
    </w:rPr>
  </w:style>
  <w:style w:type="character" w:styleId="ListLabel31">
    <w:name w:val="ListLabel 31"/>
    <w:qFormat/>
    <w:rPr>
      <w:rFonts w:cs="Courier New"/>
    </w:rPr>
  </w:style>
  <w:style w:type="character" w:styleId="ListLabel32">
    <w:name w:val="ListLabel 32"/>
    <w:qFormat/>
    <w:rPr>
      <w:rFonts w:cs="Courier New"/>
    </w:rPr>
  </w:style>
  <w:style w:type="character" w:styleId="ListLabel33">
    <w:name w:val="ListLabel 33"/>
    <w:qFormat/>
    <w:rPr>
      <w:b/>
    </w:rPr>
  </w:style>
  <w:style w:type="character" w:styleId="ListLabel34">
    <w:name w:val="ListLabel 34"/>
    <w:qFormat/>
    <w:rPr>
      <w:color w:val="000000"/>
    </w:rPr>
  </w:style>
  <w:style w:type="character" w:styleId="ListLabel35">
    <w:name w:val="ListLabel 35"/>
    <w:qFormat/>
    <w:rPr>
      <w:b w:val="false"/>
      <w:color w:val="auto"/>
    </w:rPr>
  </w:style>
  <w:style w:type="character" w:styleId="ListLabel36">
    <w:name w:val="ListLabel 36"/>
    <w:qFormat/>
    <w:rPr>
      <w:color w:val="000000"/>
    </w:rPr>
  </w:style>
  <w:style w:type="character" w:styleId="ListLabel37">
    <w:name w:val="ListLabel 37"/>
    <w:qFormat/>
    <w:rPr>
      <w:b w:val="false"/>
    </w:rPr>
  </w:style>
  <w:style w:type="character" w:styleId="ListLabel38">
    <w:name w:val="ListLabel 38"/>
    <w:qFormat/>
    <w:rPr>
      <w:b w:val="false"/>
    </w:rPr>
  </w:style>
  <w:style w:type="character" w:styleId="ListLabel39">
    <w:name w:val="ListLabel 39"/>
    <w:qFormat/>
    <w:rPr>
      <w:rFonts w:eastAsia="Times New Roman" w:cs="Times New Roman"/>
      <w:color w:val="FF0000"/>
    </w:rPr>
  </w:style>
  <w:style w:type="character" w:styleId="ListLabel40">
    <w:name w:val="ListLabel 40"/>
    <w:qFormat/>
    <w:rPr>
      <w:rFonts w:cs="Courier New"/>
    </w:rPr>
  </w:style>
  <w:style w:type="character" w:styleId="ListLabel41">
    <w:name w:val="ListLabel 41"/>
    <w:qFormat/>
    <w:rPr>
      <w:rFonts w:cs="Courier New"/>
    </w:rPr>
  </w:style>
  <w:style w:type="character" w:styleId="ListLabel42">
    <w:name w:val="ListLabel 42"/>
    <w:qFormat/>
    <w:rPr>
      <w:rFonts w:cs="Courier New"/>
    </w:rPr>
  </w:style>
  <w:style w:type="character" w:styleId="ListLabel43">
    <w:name w:val="ListLabel 43"/>
    <w:qFormat/>
    <w:rPr>
      <w:b w:val="false"/>
    </w:rPr>
  </w:style>
  <w:style w:type="character" w:styleId="ListLabel44">
    <w:name w:val="ListLabel 44"/>
    <w:qFormat/>
    <w:rPr>
      <w:b/>
      <w:sz w:val="24"/>
      <w:szCs w:val="24"/>
    </w:rPr>
  </w:style>
  <w:style w:type="character" w:styleId="ListLabel45">
    <w:name w:val="ListLabel 45"/>
    <w:qFormat/>
    <w:rPr>
      <w:b w:val="false"/>
      <w:sz w:val="24"/>
    </w:rPr>
  </w:style>
  <w:style w:type="character" w:styleId="ListLabel46">
    <w:name w:val="ListLabel 46"/>
    <w:qFormat/>
    <w:rPr>
      <w:b w:val="false"/>
      <w:sz w:val="24"/>
    </w:rPr>
  </w:style>
  <w:style w:type="character" w:styleId="ListLabel47">
    <w:name w:val="ListLabel 47"/>
    <w:qFormat/>
    <w:rPr>
      <w:b w:val="false"/>
      <w:sz w:val="24"/>
    </w:rPr>
  </w:style>
  <w:style w:type="character" w:styleId="ListLabel48">
    <w:name w:val="ListLabel 48"/>
    <w:qFormat/>
    <w:rPr>
      <w:b w:val="false"/>
      <w:sz w:val="24"/>
    </w:rPr>
  </w:style>
  <w:style w:type="character" w:styleId="ListLabel49">
    <w:name w:val="ListLabel 49"/>
    <w:qFormat/>
    <w:rPr>
      <w:b w:val="false"/>
      <w:sz w:val="24"/>
    </w:rPr>
  </w:style>
  <w:style w:type="character" w:styleId="ListLabel50">
    <w:name w:val="ListLabel 50"/>
    <w:qFormat/>
    <w:rPr>
      <w:b w:val="false"/>
      <w:sz w:val="24"/>
    </w:rPr>
  </w:style>
  <w:style w:type="character" w:styleId="ListLabel51">
    <w:name w:val="ListLabel 51"/>
    <w:qFormat/>
    <w:rPr>
      <w:b/>
      <w:sz w:val="24"/>
    </w:rPr>
  </w:style>
  <w:style w:type="character" w:styleId="ListLabel52">
    <w:name w:val="ListLabel 52"/>
    <w:qFormat/>
    <w:rPr>
      <w:b w:val="false"/>
      <w:sz w:val="24"/>
    </w:rPr>
  </w:style>
  <w:style w:type="character" w:styleId="ListLabel53">
    <w:name w:val="ListLabel 53"/>
    <w:qFormat/>
    <w:rPr>
      <w:b w:val="false"/>
      <w:sz w:val="24"/>
    </w:rPr>
  </w:style>
  <w:style w:type="character" w:styleId="ListLabel54">
    <w:name w:val="ListLabel 54"/>
    <w:qFormat/>
    <w:rPr>
      <w:b w:val="false"/>
      <w:sz w:val="24"/>
    </w:rPr>
  </w:style>
  <w:style w:type="character" w:styleId="ListLabel55">
    <w:name w:val="ListLabel 55"/>
    <w:qFormat/>
    <w:rPr>
      <w:b/>
      <w:sz w:val="24"/>
    </w:rPr>
  </w:style>
  <w:style w:type="character" w:styleId="ListLabel56">
    <w:name w:val="ListLabel 56"/>
    <w:qFormat/>
    <w:rPr>
      <w:b/>
      <w:sz w:val="24"/>
    </w:rPr>
  </w:style>
  <w:style w:type="character" w:styleId="ListLabel57">
    <w:name w:val="ListLabel 57"/>
    <w:qFormat/>
    <w:rPr>
      <w:b/>
      <w:sz w:val="24"/>
    </w:rPr>
  </w:style>
  <w:style w:type="character" w:styleId="ListLabel58">
    <w:name w:val="ListLabel 58"/>
    <w:qFormat/>
    <w:rPr>
      <w:rFonts w:cs="Times New Roman"/>
      <w:b/>
      <w:sz w:val="24"/>
    </w:rPr>
  </w:style>
  <w:style w:type="character" w:styleId="ListLabel59">
    <w:name w:val="ListLabel 59"/>
    <w:qFormat/>
    <w:rPr>
      <w:rFonts w:cs="Courier New"/>
    </w:rPr>
  </w:style>
  <w:style w:type="character" w:styleId="ListLabel60">
    <w:name w:val="ListLabel 60"/>
    <w:qFormat/>
    <w:rPr>
      <w:rFonts w:cs="Wingdings"/>
    </w:rPr>
  </w:style>
  <w:style w:type="character" w:styleId="ListLabel61">
    <w:name w:val="ListLabel 61"/>
    <w:qFormat/>
    <w:rPr>
      <w:rFonts w:cs="Symbol"/>
    </w:rPr>
  </w:style>
  <w:style w:type="character" w:styleId="ListLabel62">
    <w:name w:val="ListLabel 62"/>
    <w:qFormat/>
    <w:rPr>
      <w:rFonts w:cs="Courier New"/>
    </w:rPr>
  </w:style>
  <w:style w:type="character" w:styleId="ListLabel63">
    <w:name w:val="ListLabel 63"/>
    <w:qFormat/>
    <w:rPr>
      <w:rFonts w:cs="Wingdings"/>
    </w:rPr>
  </w:style>
  <w:style w:type="character" w:styleId="ListLabel64">
    <w:name w:val="ListLabel 64"/>
    <w:qFormat/>
    <w:rPr>
      <w:rFonts w:cs="Symbol"/>
    </w:rPr>
  </w:style>
  <w:style w:type="character" w:styleId="ListLabel65">
    <w:name w:val="ListLabel 65"/>
    <w:qFormat/>
    <w:rPr>
      <w:rFonts w:cs="Courier New"/>
    </w:rPr>
  </w:style>
  <w:style w:type="character" w:styleId="ListLabel66">
    <w:name w:val="ListLabel 66"/>
    <w:qFormat/>
    <w:rPr>
      <w:rFonts w:cs="Wingdings"/>
    </w:rPr>
  </w:style>
  <w:style w:type="character" w:styleId="ListLabel67">
    <w:name w:val="ListLabel 67"/>
    <w:qFormat/>
    <w:rPr>
      <w:b/>
    </w:rPr>
  </w:style>
  <w:style w:type="character" w:styleId="ListLabel68">
    <w:name w:val="ListLabel 68"/>
    <w:qFormat/>
    <w:rPr>
      <w:rFonts w:cs="Times New Roman"/>
      <w:color w:val="FF0000"/>
    </w:rPr>
  </w:style>
  <w:style w:type="character" w:styleId="ListLabel69">
    <w:name w:val="ListLabel 69"/>
    <w:qFormat/>
    <w:rPr>
      <w:rFonts w:cs="Courier New"/>
    </w:rPr>
  </w:style>
  <w:style w:type="character" w:styleId="ListLabel70">
    <w:name w:val="ListLabel 70"/>
    <w:qFormat/>
    <w:rPr>
      <w:rFonts w:cs="Wingdings"/>
    </w:rPr>
  </w:style>
  <w:style w:type="character" w:styleId="ListLabel71">
    <w:name w:val="ListLabel 71"/>
    <w:qFormat/>
    <w:rPr>
      <w:rFonts w:cs="Symbol"/>
    </w:rPr>
  </w:style>
  <w:style w:type="character" w:styleId="ListLabel72">
    <w:name w:val="ListLabel 72"/>
    <w:qFormat/>
    <w:rPr>
      <w:rFonts w:cs="Courier New"/>
    </w:rPr>
  </w:style>
  <w:style w:type="character" w:styleId="ListLabel73">
    <w:name w:val="ListLabel 73"/>
    <w:qFormat/>
    <w:rPr>
      <w:rFonts w:cs="Wingdings"/>
    </w:rPr>
  </w:style>
  <w:style w:type="character" w:styleId="ListLabel74">
    <w:name w:val="ListLabel 74"/>
    <w:qFormat/>
    <w:rPr>
      <w:rFonts w:cs="Symbol"/>
    </w:rPr>
  </w:style>
  <w:style w:type="character" w:styleId="ListLabel75">
    <w:name w:val="ListLabel 75"/>
    <w:qFormat/>
    <w:rPr>
      <w:rFonts w:cs="Courier New"/>
    </w:rPr>
  </w:style>
  <w:style w:type="character" w:styleId="ListLabel76">
    <w:name w:val="ListLabel 76"/>
    <w:qFormat/>
    <w:rPr>
      <w:rFonts w:cs="Wingdings"/>
    </w:rPr>
  </w:style>
  <w:style w:type="character" w:styleId="ListLabel77">
    <w:name w:val="ListLabel 77"/>
    <w:qFormat/>
    <w:rPr>
      <w:b w:val="false"/>
    </w:rPr>
  </w:style>
  <w:style w:type="character" w:styleId="ListLabel78">
    <w:name w:val="ListLabel 78"/>
    <w:qFormat/>
    <w:rPr>
      <w:b/>
      <w:sz w:val="24"/>
      <w:szCs w:val="24"/>
    </w:rPr>
  </w:style>
  <w:style w:type="character" w:styleId="ListLabel79">
    <w:name w:val="ListLabel 79"/>
    <w:qFormat/>
    <w:rPr>
      <w:b w:val="false"/>
      <w:sz w:val="24"/>
    </w:rPr>
  </w:style>
  <w:style w:type="character" w:styleId="ListLabel80">
    <w:name w:val="ListLabel 80"/>
    <w:qFormat/>
    <w:rPr>
      <w:b w:val="false"/>
      <w:sz w:val="24"/>
    </w:rPr>
  </w:style>
  <w:style w:type="character" w:styleId="ListLabel81">
    <w:name w:val="ListLabel 81"/>
    <w:qFormat/>
    <w:rPr>
      <w:b w:val="false"/>
      <w:sz w:val="24"/>
    </w:rPr>
  </w:style>
  <w:style w:type="character" w:styleId="ListLabel82">
    <w:name w:val="ListLabel 82"/>
    <w:qFormat/>
    <w:rPr>
      <w:b w:val="false"/>
      <w:sz w:val="24"/>
    </w:rPr>
  </w:style>
  <w:style w:type="character" w:styleId="ListLabel83">
    <w:name w:val="ListLabel 83"/>
    <w:qFormat/>
    <w:rPr>
      <w:b w:val="false"/>
      <w:sz w:val="24"/>
    </w:rPr>
  </w:style>
  <w:style w:type="character" w:styleId="ListLabel84">
    <w:name w:val="ListLabel 84"/>
    <w:qFormat/>
    <w:rPr>
      <w:b w:val="false"/>
      <w:sz w:val="24"/>
    </w:rPr>
  </w:style>
  <w:style w:type="character" w:styleId="ListLabel85">
    <w:name w:val="ListLabel 85"/>
    <w:qFormat/>
    <w:rPr>
      <w:b/>
      <w:sz w:val="24"/>
    </w:rPr>
  </w:style>
  <w:style w:type="character" w:styleId="ListLabel86">
    <w:name w:val="ListLabel 86"/>
    <w:qFormat/>
    <w:rPr>
      <w:b w:val="false"/>
      <w:sz w:val="24"/>
    </w:rPr>
  </w:style>
  <w:style w:type="character" w:styleId="ListLabel87">
    <w:name w:val="ListLabel 87"/>
    <w:qFormat/>
    <w:rPr>
      <w:b w:val="false"/>
      <w:sz w:val="24"/>
    </w:rPr>
  </w:style>
  <w:style w:type="character" w:styleId="ListLabel88">
    <w:name w:val="ListLabel 88"/>
    <w:qFormat/>
    <w:rPr>
      <w:b w:val="false"/>
      <w:sz w:val="24"/>
    </w:rPr>
  </w:style>
  <w:style w:type="character" w:styleId="ListLabel89">
    <w:name w:val="ListLabel 89"/>
    <w:qFormat/>
    <w:rPr>
      <w:b/>
      <w:sz w:val="24"/>
    </w:rPr>
  </w:style>
  <w:style w:type="character" w:styleId="ListLabel90">
    <w:name w:val="ListLabel 90"/>
    <w:qFormat/>
    <w:rPr>
      <w:b/>
      <w:sz w:val="24"/>
    </w:rPr>
  </w:style>
  <w:style w:type="character" w:styleId="ListLabel91">
    <w:name w:val="ListLabel 91"/>
    <w:qFormat/>
    <w:rPr>
      <w:b/>
      <w:sz w:val="24"/>
    </w:rPr>
  </w:style>
  <w:style w:type="character" w:styleId="ListLabel92">
    <w:name w:val="ListLabel 92"/>
    <w:qFormat/>
    <w:rPr>
      <w:rFonts w:cs="Times New Roman"/>
      <w:b/>
      <w:sz w:val="24"/>
    </w:rPr>
  </w:style>
  <w:style w:type="character" w:styleId="ListLabel93">
    <w:name w:val="ListLabel 93"/>
    <w:qFormat/>
    <w:rPr>
      <w:rFonts w:cs="Courier New"/>
    </w:rPr>
  </w:style>
  <w:style w:type="character" w:styleId="ListLabel94">
    <w:name w:val="ListLabel 94"/>
    <w:qFormat/>
    <w:rPr>
      <w:rFonts w:cs="Wingdings"/>
    </w:rPr>
  </w:style>
  <w:style w:type="character" w:styleId="ListLabel95">
    <w:name w:val="ListLabel 95"/>
    <w:qFormat/>
    <w:rPr>
      <w:rFonts w:cs="Symbol"/>
    </w:rPr>
  </w:style>
  <w:style w:type="character" w:styleId="ListLabel96">
    <w:name w:val="ListLabel 96"/>
    <w:qFormat/>
    <w:rPr>
      <w:rFonts w:cs="Courier New"/>
    </w:rPr>
  </w:style>
  <w:style w:type="character" w:styleId="ListLabel97">
    <w:name w:val="ListLabel 97"/>
    <w:qFormat/>
    <w:rPr>
      <w:rFonts w:cs="Wingdings"/>
    </w:rPr>
  </w:style>
  <w:style w:type="character" w:styleId="ListLabel98">
    <w:name w:val="ListLabel 98"/>
    <w:qFormat/>
    <w:rPr>
      <w:rFonts w:cs="Symbol"/>
    </w:rPr>
  </w:style>
  <w:style w:type="character" w:styleId="ListLabel99">
    <w:name w:val="ListLabel 99"/>
    <w:qFormat/>
    <w:rPr>
      <w:rFonts w:cs="Courier New"/>
    </w:rPr>
  </w:style>
  <w:style w:type="character" w:styleId="ListLabel100">
    <w:name w:val="ListLabel 100"/>
    <w:qFormat/>
    <w:rPr>
      <w:rFonts w:cs="Wingdings"/>
    </w:rPr>
  </w:style>
  <w:style w:type="character" w:styleId="ListLabel101">
    <w:name w:val="ListLabel 101"/>
    <w:qFormat/>
    <w:rPr>
      <w:b/>
    </w:rPr>
  </w:style>
  <w:style w:type="character" w:styleId="ListLabel102">
    <w:name w:val="ListLabel 102"/>
    <w:qFormat/>
    <w:rPr>
      <w:rFonts w:cs="Times New Roman"/>
      <w:color w:val="FF0000"/>
    </w:rPr>
  </w:style>
  <w:style w:type="character" w:styleId="ListLabel103">
    <w:name w:val="ListLabel 103"/>
    <w:qFormat/>
    <w:rPr>
      <w:rFonts w:cs="Courier New"/>
    </w:rPr>
  </w:style>
  <w:style w:type="character" w:styleId="ListLabel104">
    <w:name w:val="ListLabel 104"/>
    <w:qFormat/>
    <w:rPr>
      <w:rFonts w:cs="Wingdings"/>
    </w:rPr>
  </w:style>
  <w:style w:type="character" w:styleId="ListLabel105">
    <w:name w:val="ListLabel 105"/>
    <w:qFormat/>
    <w:rPr>
      <w:rFonts w:cs="Symbol"/>
    </w:rPr>
  </w:style>
  <w:style w:type="character" w:styleId="ListLabel106">
    <w:name w:val="ListLabel 106"/>
    <w:qFormat/>
    <w:rPr>
      <w:rFonts w:cs="Courier New"/>
    </w:rPr>
  </w:style>
  <w:style w:type="character" w:styleId="ListLabel107">
    <w:name w:val="ListLabel 107"/>
    <w:qFormat/>
    <w:rPr>
      <w:rFonts w:cs="Wingdings"/>
    </w:rPr>
  </w:style>
  <w:style w:type="character" w:styleId="ListLabel108">
    <w:name w:val="ListLabel 108"/>
    <w:qFormat/>
    <w:rPr>
      <w:rFonts w:cs="Symbol"/>
    </w:rPr>
  </w:style>
  <w:style w:type="character" w:styleId="ListLabel109">
    <w:name w:val="ListLabel 109"/>
    <w:qFormat/>
    <w:rPr>
      <w:rFonts w:cs="Courier New"/>
    </w:rPr>
  </w:style>
  <w:style w:type="character" w:styleId="ListLabel110">
    <w:name w:val="ListLabel 110"/>
    <w:qFormat/>
    <w:rPr>
      <w:rFonts w:cs="Wingdings"/>
    </w:rPr>
  </w:style>
  <w:style w:type="character" w:styleId="ListLabel111">
    <w:name w:val="ListLabel 111"/>
    <w:qFormat/>
    <w:rPr>
      <w:b w:val="false"/>
    </w:rPr>
  </w:style>
  <w:style w:type="character" w:styleId="WW8Num24z0">
    <w:name w:val="WW8Num24z0"/>
    <w:qFormat/>
    <w:rPr/>
  </w:style>
  <w:style w:type="character" w:styleId="WW8Num24z1">
    <w:name w:val="WW8Num24z1"/>
    <w:qFormat/>
    <w:rPr/>
  </w:style>
  <w:style w:type="character" w:styleId="WW8Num24z2">
    <w:name w:val="WW8Num24z2"/>
    <w:qFormat/>
    <w:rPr/>
  </w:style>
  <w:style w:type="character" w:styleId="WW8Num24z3">
    <w:name w:val="WW8Num24z3"/>
    <w:qFormat/>
    <w:rPr/>
  </w:style>
  <w:style w:type="character" w:styleId="WW8Num24z4">
    <w:name w:val="WW8Num24z4"/>
    <w:qFormat/>
    <w:rPr/>
  </w:style>
  <w:style w:type="character" w:styleId="WW8Num24z5">
    <w:name w:val="WW8Num24z5"/>
    <w:qFormat/>
    <w:rPr/>
  </w:style>
  <w:style w:type="character" w:styleId="WW8Num24z6">
    <w:name w:val="WW8Num24z6"/>
    <w:qFormat/>
    <w:rPr/>
  </w:style>
  <w:style w:type="character" w:styleId="WW8Num24z7">
    <w:name w:val="WW8Num24z7"/>
    <w:qFormat/>
    <w:rPr/>
  </w:style>
  <w:style w:type="character" w:styleId="WW8Num24z8">
    <w:name w:val="WW8Num24z8"/>
    <w:qFormat/>
    <w:rPr/>
  </w:style>
  <w:style w:type="character" w:styleId="WW8Num25z0">
    <w:name w:val="WW8Num25z0"/>
    <w:qFormat/>
    <w:rPr>
      <w:rFonts w:ascii="Times New Roman" w:hAnsi="Times New Roman" w:cs="Times New Roman"/>
    </w:rPr>
  </w:style>
  <w:style w:type="character" w:styleId="WW8Num25z1">
    <w:name w:val="WW8Num25z1"/>
    <w:qFormat/>
    <w:rPr/>
  </w:style>
  <w:style w:type="character" w:styleId="WW8Num25z2">
    <w:name w:val="WW8Num25z2"/>
    <w:qFormat/>
    <w:rPr/>
  </w:style>
  <w:style w:type="character" w:styleId="WW8Num25z3">
    <w:name w:val="WW8Num25z3"/>
    <w:qFormat/>
    <w:rPr/>
  </w:style>
  <w:style w:type="character" w:styleId="WW8Num25z4">
    <w:name w:val="WW8Num25z4"/>
    <w:qFormat/>
    <w:rPr/>
  </w:style>
  <w:style w:type="character" w:styleId="WW8Num25z5">
    <w:name w:val="WW8Num25z5"/>
    <w:qFormat/>
    <w:rPr/>
  </w:style>
  <w:style w:type="character" w:styleId="WW8Num25z6">
    <w:name w:val="WW8Num25z6"/>
    <w:qFormat/>
    <w:rPr/>
  </w:style>
  <w:style w:type="character" w:styleId="WW8Num25z7">
    <w:name w:val="WW8Num25z7"/>
    <w:qFormat/>
    <w:rPr/>
  </w:style>
  <w:style w:type="character" w:styleId="WW8Num25z8">
    <w:name w:val="WW8Num25z8"/>
    <w:qFormat/>
    <w:rPr/>
  </w:style>
  <w:style w:type="character" w:styleId="WW8Num21z0">
    <w:name w:val="WW8Num21z0"/>
    <w:qFormat/>
    <w:rPr>
      <w:b/>
    </w:rPr>
  </w:style>
  <w:style w:type="character" w:styleId="WW8Num21z1">
    <w:name w:val="WW8Num21z1"/>
    <w:qFormat/>
    <w:rPr/>
  </w:style>
  <w:style w:type="character" w:styleId="WW8Num21z2">
    <w:name w:val="WW8Num21z2"/>
    <w:qFormat/>
    <w:rPr/>
  </w:style>
  <w:style w:type="character" w:styleId="WW8Num21z3">
    <w:name w:val="WW8Num21z3"/>
    <w:qFormat/>
    <w:rPr/>
  </w:style>
  <w:style w:type="character" w:styleId="WW8Num21z4">
    <w:name w:val="WW8Num21z4"/>
    <w:qFormat/>
    <w:rPr/>
  </w:style>
  <w:style w:type="character" w:styleId="WW8Num21z5">
    <w:name w:val="WW8Num21z5"/>
    <w:qFormat/>
    <w:rPr/>
  </w:style>
  <w:style w:type="character" w:styleId="WW8Num21z6">
    <w:name w:val="WW8Num21z6"/>
    <w:qFormat/>
    <w:rPr/>
  </w:style>
  <w:style w:type="character" w:styleId="WW8Num21z7">
    <w:name w:val="WW8Num21z7"/>
    <w:qFormat/>
    <w:rPr/>
  </w:style>
  <w:style w:type="character" w:styleId="WW8Num21z8">
    <w:name w:val="WW8Num21z8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rsid w:val="00f3761a"/>
    <w:pPr>
      <w:ind w:left="426" w:hanging="0"/>
      <w:jc w:val="both"/>
    </w:pPr>
    <w:rPr>
      <w:sz w:val="18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Pta">
    <w:name w:val="Footer"/>
    <w:basedOn w:val="Normal"/>
    <w:link w:val="PtaChar"/>
    <w:uiPriority w:val="99"/>
    <w:rsid w:val="00f3761a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semiHidden/>
    <w:qFormat/>
    <w:rsid w:val="00f3761a"/>
    <w:pPr/>
    <w:rPr>
      <w:rFonts w:ascii="Tahoma" w:hAnsi="Tahoma" w:cs="Tahoma"/>
      <w:sz w:val="16"/>
      <w:szCs w:val="16"/>
    </w:rPr>
  </w:style>
  <w:style w:type="paragraph" w:styleId="Zkladntext1" w:customStyle="1">
    <w:name w:val="Základní text1"/>
    <w:qFormat/>
    <w:rsid w:val="00f3761a"/>
    <w:pPr>
      <w:widowControl/>
      <w:bidi w:val="0"/>
      <w:spacing w:lineRule="auto" w:line="240" w:before="144" w:after="144"/>
      <w:ind w:firstLine="709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sk-SK" w:bidi="ar-SA"/>
    </w:rPr>
  </w:style>
  <w:style w:type="paragraph" w:styleId="Pismenka" w:customStyle="1">
    <w:name w:val="Pismenka"/>
    <w:basedOn w:val="Telotextu"/>
    <w:qFormat/>
    <w:rsid w:val="00f3761a"/>
    <w:pPr>
      <w:tabs>
        <w:tab w:val="left" w:pos="426" w:leader="none"/>
      </w:tabs>
      <w:ind w:left="426" w:hanging="426"/>
    </w:pPr>
    <w:rPr>
      <w:b/>
    </w:rPr>
  </w:style>
  <w:style w:type="paragraph" w:styleId="Hlavika">
    <w:name w:val="Header"/>
    <w:basedOn w:val="Normal"/>
    <w:link w:val="HlavikaChar"/>
    <w:uiPriority w:val="99"/>
    <w:rsid w:val="00f3761a"/>
    <w:pPr>
      <w:tabs>
        <w:tab w:val="center" w:pos="4536" w:leader="none"/>
        <w:tab w:val="right" w:pos="9072" w:leader="none"/>
      </w:tabs>
    </w:pPr>
    <w:rPr/>
  </w:style>
  <w:style w:type="paragraph" w:styleId="TltlTextopatreniaArialNarrow11ptZa0pt" w:customStyle="1">
    <w:name w:val="Štýl Štýl Text opatrenia + Arial Narrow 11 pt + Za:  0 pt"/>
    <w:basedOn w:val="Normal"/>
    <w:qFormat/>
    <w:rsid w:val="00f3761a"/>
    <w:pPr>
      <w:spacing w:before="240" w:after="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styleId="Odstavec" w:customStyle="1">
    <w:name w:val="odstavec"/>
    <w:basedOn w:val="Normal"/>
    <w:autoRedefine/>
    <w:qFormat/>
    <w:rsid w:val="00f3761a"/>
    <w:pPr>
      <w:ind w:right="-79" w:hanging="0"/>
      <w:jc w:val="both"/>
    </w:pPr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f3761a"/>
    <w:pPr>
      <w:spacing w:before="0" w:after="0"/>
      <w:ind w:left="720" w:hanging="0"/>
      <w:contextualSpacing/>
    </w:pPr>
    <w:rPr/>
  </w:style>
  <w:style w:type="paragraph" w:styleId="NoSpacing">
    <w:name w:val="No Spacing"/>
    <w:uiPriority w:val="1"/>
    <w:qFormat/>
    <w:rsid w:val="00f3761a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sk-SK" w:bidi="ar-SA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numbering" w:styleId="WW8Num24">
    <w:name w:val="WW8Num24"/>
    <w:qFormat/>
  </w:style>
  <w:style w:type="numbering" w:styleId="WW8Num25">
    <w:name w:val="WW8Num25"/>
    <w:qFormat/>
  </w:style>
  <w:style w:type="numbering" w:styleId="WW8Num21">
    <w:name w:val="WW8Num21"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rsid w:val="00f3761a"/>
    <w:pPr>
      <w:spacing w:after="0" w:line="240" w:lineRule="auto"/>
    </w:pPr>
    <w:rPr>
      <w:lang w:eastAsia="sk-SK"/>
      <w:sz w:val="20"/>
      <w:szCs w:val="20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glossaryDocument" Target="glossary/document.xml"/>
</Relationships>
</file>

<file path=word/glossary/_rels/document.xml.rels><?xml version="1.0" encoding="UTF-8"?>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
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49E1FBCE87004281A892236CC55C35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3E7239-EB9E-4D71-846F-0CE82425A590}"/>
      </w:docPartPr>
      <w:docPartBody>
        <w:p w:rsidR="00000000" w:rsidRDefault="009B01F4" w:rsidP="009B01F4">
          <w:pPr>
            <w:pStyle w:val="49E1FBCE87004281A892236CC55C35DB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[Zadajte nadpis dokumentu]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20B05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9B01F4"/>
    <w:rsid w:val="009B01F4"/>
    <w:rsid w:val="00D20F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49E1FBCE87004281A892236CC55C35DB">
    <w:name w:val="49E1FBCE87004281A892236CC55C35DB"/>
    <w:rsid w:val="009B01F4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126</TotalTime>
  <Application>LibreOffice/6.0.4.2$Windows_x86 LibreOffice_project/9b0d9b32d5dcda91d2f1a96dc04c645c450872bf</Application>
  <Pages>11</Pages>
  <Words>3469</Words>
  <Characters>18430</Characters>
  <CharactersWithSpaces>21747</CharactersWithSpaces>
  <Paragraphs>790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2023-02-26T17:04:00Z</dcterms:created>
  <dc:creator>Lenovo</dc:creator>
  <dc:description/>
  <dc:language>sk-SK</dc:language>
  <cp:lastModifiedBy/>
  <cp:lastPrinted>2025-03-20T11:33:36Z</cp:lastPrinted>
  <dcterms:modified xsi:type="dcterms:W3CDTF">2025-03-20T13:22:14Z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