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4E62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0" w:name="_gjdgxs" w:colFirst="0" w:colLast="0"/>
      <w:bookmarkEnd w:id="0"/>
    </w:p>
    <w:p w14:paraId="1A97A232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účtovnej jednotke</w:t>
      </w:r>
    </w:p>
    <w:p w14:paraId="24579D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4BB0794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Založenie spoločnosti</w:t>
      </w:r>
    </w:p>
    <w:p w14:paraId="085662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Spoločnosť: </w:t>
      </w:r>
      <w:r>
        <w:rPr>
          <w:rFonts w:hint="default"/>
          <w:color w:val="000000"/>
          <w:sz w:val="22"/>
          <w:szCs w:val="22"/>
          <w:lang w:val="sk-SK"/>
        </w:rPr>
        <w:t>KOMI GROUP</w:t>
      </w:r>
      <w:r>
        <w:rPr>
          <w:color w:val="000000"/>
          <w:sz w:val="22"/>
          <w:szCs w:val="22"/>
        </w:rPr>
        <w:t>, s.r.o. (ďalej len Spoločnosť)</w:t>
      </w:r>
    </w:p>
    <w:p w14:paraId="46A0269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Sídlo: Chotčanská 2, 091 01  Stropkov</w:t>
      </w:r>
    </w:p>
    <w:p w14:paraId="06F17D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>Založená dňa:  2</w:t>
      </w:r>
      <w:r>
        <w:rPr>
          <w:rFonts w:hint="default"/>
          <w:color w:val="000000"/>
          <w:sz w:val="22"/>
          <w:szCs w:val="22"/>
          <w:lang w:val="sk-SK"/>
        </w:rPr>
        <w:t>2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10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2001</w:t>
      </w:r>
    </w:p>
    <w:p w14:paraId="784FAD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 obchodného registra bola zapísaná dňa: 2</w:t>
      </w:r>
      <w:r>
        <w:rPr>
          <w:rFonts w:hint="default"/>
          <w:color w:val="000000"/>
          <w:sz w:val="22"/>
          <w:szCs w:val="22"/>
          <w:lang w:val="sk-SK"/>
        </w:rPr>
        <w:t>2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10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2001</w:t>
      </w:r>
      <w:r>
        <w:rPr>
          <w:color w:val="000000"/>
          <w:sz w:val="22"/>
          <w:szCs w:val="22"/>
        </w:rPr>
        <w:t xml:space="preserve"> </w:t>
      </w:r>
    </w:p>
    <w:p w14:paraId="46ACE9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(Obchodný register Okresného súdu Prešov, oddiel s.r.o., vložka </w:t>
      </w:r>
      <w:r>
        <w:rPr>
          <w:rFonts w:hint="default"/>
          <w:color w:val="000000"/>
          <w:sz w:val="22"/>
          <w:szCs w:val="22"/>
          <w:lang w:val="sk-SK"/>
        </w:rPr>
        <w:t>1</w:t>
      </w:r>
      <w:r>
        <w:rPr>
          <w:color w:val="000000"/>
          <w:sz w:val="22"/>
          <w:szCs w:val="22"/>
        </w:rPr>
        <w:t>3</w:t>
      </w:r>
      <w:r>
        <w:rPr>
          <w:rFonts w:hint="default"/>
          <w:color w:val="000000"/>
          <w:sz w:val="22"/>
          <w:szCs w:val="22"/>
          <w:lang w:val="sk-SK"/>
        </w:rPr>
        <w:t>1</w:t>
      </w:r>
      <w:r>
        <w:rPr>
          <w:color w:val="000000"/>
          <w:sz w:val="22"/>
          <w:szCs w:val="22"/>
        </w:rPr>
        <w:t xml:space="preserve">14/P). </w:t>
      </w:r>
    </w:p>
    <w:p w14:paraId="737D681E">
      <w:pPr>
        <w:pStyle w:val="3"/>
        <w:rPr>
          <w:sz w:val="22"/>
          <w:szCs w:val="22"/>
        </w:rPr>
      </w:pPr>
    </w:p>
    <w:p w14:paraId="17FBA69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rFonts w:hint="default"/>
          <w:b w:val="0"/>
          <w:bCs/>
          <w:color w:val="000000"/>
          <w:sz w:val="22"/>
          <w:szCs w:val="22"/>
          <w:lang w:val="sk-SK"/>
        </w:rPr>
      </w:pPr>
      <w:bookmarkStart w:id="1" w:name="_30j0zll" w:colFirst="0" w:colLast="0"/>
      <w:bookmarkEnd w:id="1"/>
      <w:r>
        <w:rPr>
          <w:b/>
          <w:color w:val="000000"/>
          <w:sz w:val="22"/>
          <w:szCs w:val="22"/>
        </w:rPr>
        <w:t xml:space="preserve">Hlavnými činnosťami Spoločnosti sú: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Pripravné práce k realizácií stavby, uskutočňovanie stavieb a ich zmien, prenájom hnuteľných vecí a nehnuteľností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ab/>
      </w:r>
    </w:p>
    <w:p w14:paraId="2BB1BD0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E0B111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Údaje o neobmedzenom ručení</w:t>
      </w:r>
    </w:p>
    <w:p w14:paraId="27E42047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1DE4DA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8036D3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Právny dôvod na zostavenie účtovnej závierky</w:t>
      </w:r>
    </w:p>
    <w:p w14:paraId="08DEFD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Účtovná závierka Spoločnosti k 31. decembru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 xml:space="preserve"> do 31. decembra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>.</w:t>
      </w:r>
    </w:p>
    <w:p w14:paraId="28324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DA226AE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 w:firstLine="330" w:firstLineChars="150"/>
        <w:rPr>
          <w:rFonts w:hint="default"/>
          <w:b/>
          <w:color w:val="000000"/>
          <w:sz w:val="22"/>
          <w:szCs w:val="22"/>
          <w:lang w:val="sk-SK"/>
        </w:rPr>
      </w:pPr>
      <w:r>
        <w:rPr>
          <w:b/>
          <w:color w:val="000000"/>
          <w:sz w:val="22"/>
          <w:szCs w:val="22"/>
        </w:rPr>
        <w:t>Dátum schválenia účtovnej závierky za predchádzajúce účtovné obdobie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. </w:t>
      </w:r>
    </w:p>
    <w:p w14:paraId="5F9C1DA6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40" w:leftChars="220" w:firstLine="0" w:firstLineChars="0"/>
        <w:rPr>
          <w:rFonts w:hint="default"/>
          <w:b w:val="0"/>
          <w:bCs/>
          <w:color w:val="000000"/>
          <w:sz w:val="22"/>
          <w:szCs w:val="22"/>
          <w:lang w:val="sk-SK"/>
        </w:rPr>
      </w:pPr>
      <w:r>
        <w:rPr>
          <w:rFonts w:hint="default"/>
          <w:b w:val="0"/>
          <w:bCs/>
          <w:color w:val="000000"/>
          <w:sz w:val="22"/>
          <w:szCs w:val="22"/>
          <w:lang w:val="sk-SK"/>
        </w:rPr>
        <w:t>Účtovná závierka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za rok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2023 bola schválená 26.3.2024. Zisk za rok 2023 vo výške 212 345,32 Eur bol schválený ako nerozdelený zisk.</w:t>
      </w:r>
    </w:p>
    <w:p w14:paraId="7F66463B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rFonts w:hint="default"/>
          <w:b/>
          <w:color w:val="000000"/>
          <w:sz w:val="22"/>
          <w:szCs w:val="22"/>
          <w:lang w:val="sk-SK"/>
        </w:rPr>
      </w:pPr>
    </w:p>
    <w:p w14:paraId="1F74B6B8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Počet zamestnancov </w:t>
      </w:r>
    </w:p>
    <w:p w14:paraId="27AB21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BD9A4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FDE5B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Údaje o počte zamestnancov za bežné účtovné obdobie sú uvedené v nasledujúcom prehľade:</w:t>
      </w:r>
    </w:p>
    <w:p w14:paraId="35586C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DA07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 </w:t>
      </w:r>
    </w:p>
    <w:p w14:paraId="4E4B83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 w14:paraId="6A272DA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749134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694730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31937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068FC17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 w14:paraId="338D56E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0</w:t>
            </w:r>
          </w:p>
          <w:p w14:paraId="356210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0AD875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0C6D694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orgánoch účtovnej jednotky</w:t>
      </w:r>
    </w:p>
    <w:p w14:paraId="2B4162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5B6175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Výška jednotlivých druhov záruk alebo iných zabezpečení poskytnutých pre členov štatutárneho orgánu, dozorného orgánu a iného orgánu ÚJ:</w:t>
      </w:r>
    </w:p>
    <w:p w14:paraId="590F1A51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Informácia o pôžičkách:</w:t>
      </w:r>
    </w:p>
    <w:p w14:paraId="440AF0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poskytnutých pôžičiek k 31.12. bežného obdobia podľa jednotlivých orgánov:</w:t>
      </w:r>
    </w:p>
    <w:p w14:paraId="2539CE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Konateľ:</w:t>
      </w:r>
    </w:p>
    <w:p w14:paraId="302209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761000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6DA5DB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splatených pôžičiek za posledné účtovné obdobie:</w:t>
      </w:r>
    </w:p>
    <w:p w14:paraId="44C217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Konateľ:</w:t>
      </w:r>
    </w:p>
    <w:p w14:paraId="34E91EC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86C9FA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554FDB8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odpustených pôžičiek a odpísaných pôžičiek k 31.12. bežného obdobia: 0,- €</w:t>
      </w:r>
    </w:p>
    <w:p w14:paraId="33A3D0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aktuálnom účtovnom období neboli odpustené ani odpísané žiadne pôžičky.</w:t>
      </w:r>
    </w:p>
    <w:p w14:paraId="53C133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1F88F37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7D0DE0FD">
      <w:pPr>
        <w:pStyle w:val="3"/>
        <w:rPr>
          <w:sz w:val="22"/>
          <w:szCs w:val="22"/>
        </w:rPr>
      </w:pPr>
    </w:p>
    <w:p w14:paraId="44EBF0F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konsolidovanom celku</w:t>
      </w:r>
    </w:p>
    <w:p w14:paraId="00E044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 xml:space="preserve">        Spoločnosť není súčasťou konsolidovaného celku.</w:t>
      </w:r>
    </w:p>
    <w:p w14:paraId="4B091329">
      <w:pPr>
        <w:pStyle w:val="3"/>
        <w:rPr>
          <w:sz w:val="22"/>
          <w:szCs w:val="22"/>
        </w:rPr>
      </w:pPr>
      <w:bookmarkStart w:id="2" w:name="_1fob9te" w:colFirst="0" w:colLast="0"/>
      <w:bookmarkEnd w:id="2"/>
    </w:p>
    <w:p w14:paraId="35299033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 xml:space="preserve">Informácie o účtovných zásadách a účtovných metódach  </w:t>
      </w:r>
    </w:p>
    <w:p w14:paraId="1FFF8C6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466B7C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Východiská pre zostavenie účtovnej závierky</w:t>
      </w:r>
    </w:p>
    <w:p w14:paraId="0B1194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závierka bola zostavená za predpokladu, že Spoločnosť bude nepretržite pokračovať vo svojej činnosti (goingconcern).</w:t>
      </w:r>
    </w:p>
    <w:p w14:paraId="65DA6C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V účtovnom období 2024 spoločnosť neúčtovala o výzmnamných skutočnostiach nimulých období.</w:t>
      </w:r>
    </w:p>
    <w:p w14:paraId="2BBB5E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23F6F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59B18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12832F12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Počas účtovného obdobia neboli prijaté zmeny účtovných zásad a účtovných metód</w:t>
      </w:r>
    </w:p>
    <w:p w14:paraId="17A5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73DEBD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642831F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Účtovné metódy a všeobecné účtovné zásady pri oceňovaní</w:t>
      </w:r>
    </w:p>
    <w:p w14:paraId="0D34F6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01C10A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Dlhodobý nehmotný majetok a dlhodobý hmotný majetok</w:t>
      </w:r>
    </w:p>
    <w:p w14:paraId="69E33D4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8F974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074512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11021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61B20E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049F32B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F6BE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14F397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6EBFA46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Cenné papiere a podiely</w:t>
      </w:r>
    </w:p>
    <w:p w14:paraId="3C645C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566747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D3BF4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na obchodovanie sa pri ich obstaraní oceňujú reálnou hodnotou. </w:t>
      </w:r>
    </w:p>
    <w:p w14:paraId="19DF25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66CF8D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Zásoby </w:t>
      </w:r>
    </w:p>
    <w:p w14:paraId="479228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Zásoby sa oceňujú obstarávacou cenou.</w:t>
      </w:r>
    </w:p>
    <w:p w14:paraId="0EA096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B3C0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7501EE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2FA66A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29878B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účtuje  zásoby spôsobom B.</w:t>
      </w:r>
    </w:p>
    <w:p w14:paraId="7600A9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4F348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Peňažné prostriedky a ceniny</w:t>
      </w:r>
    </w:p>
    <w:p w14:paraId="244F03A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Peňažné prostriedky a ceniny sa oceňujú ich menovitou hodnotou. Zníženie ich hodnoty sa vyjadruje opravnou položkou.</w:t>
      </w:r>
    </w:p>
    <w:p w14:paraId="1DE3B15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DC69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5F9E5D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17100E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44B70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Cudzia mena</w:t>
      </w:r>
    </w:p>
    <w:p w14:paraId="102D7F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BFB62A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3264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Na ocenenie prírastku cudzej meny nakúpenej za euro sa použije kurz, za ktorý bola táto cudzia mena nakúpená.</w:t>
      </w:r>
    </w:p>
    <w:p w14:paraId="765AF4B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BF43A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326FF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BA648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87BF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982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83B06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AE1F8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5E0095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E0695E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Výnosy</w:t>
      </w:r>
    </w:p>
    <w:p w14:paraId="49AD09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980BE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8A28F55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výroba</w:t>
      </w:r>
    </w:p>
    <w:p w14:paraId="588F9A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Nemáme</w:t>
      </w:r>
    </w:p>
    <w:p w14:paraId="2C87FE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4191DC2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výstavba nehnuteľnosti</w:t>
      </w:r>
    </w:p>
    <w:p w14:paraId="62714D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16E5CB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Nemáme</w:t>
      </w:r>
    </w:p>
    <w:p w14:paraId="2EB084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1D5C100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Pohľadávky</w:t>
      </w:r>
    </w:p>
    <w:p w14:paraId="6F2E2A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D970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23BE46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4233AB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Náklady budúcich období a príjmy budúcich období</w:t>
      </w:r>
    </w:p>
    <w:p w14:paraId="431305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31D5EB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8EB4E3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Rezervy</w:t>
      </w:r>
    </w:p>
    <w:p w14:paraId="32F8BE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84E88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2BF749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1C4A52F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07A00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3F96523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Záväzky</w:t>
      </w:r>
    </w:p>
    <w:p w14:paraId="77690B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3FACA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BDCD0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ADCB92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Výdavky budúcich období a výnosy budúcich období</w:t>
      </w:r>
    </w:p>
    <w:p w14:paraId="42D7D68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D9FF1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62145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E0DFA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Prenájom (lízing)</w:t>
      </w:r>
    </w:p>
    <w:p w14:paraId="2DE63E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Majetok prenajatý na základe operatívneho prenájmu vykazuje ako svoj majetok jeho vlastník, nie nájomca.</w:t>
      </w:r>
    </w:p>
    <w:p w14:paraId="3DC680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91C9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1224E8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C595E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46AB55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60861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53E867C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904AB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074D5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8EC5FF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Odložené dane</w:t>
      </w:r>
    </w:p>
    <w:p w14:paraId="138DB4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14:paraId="5941B733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63A1ECDD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72A432CA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previesť nevyužité daňové odpočty a iné daňové nároky do budúcich období.</w:t>
      </w:r>
    </w:p>
    <w:p w14:paraId="444B1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DA30A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bookmarkStart w:id="3" w:name="_3znysh7" w:colFirst="0" w:colLast="0"/>
      <w:bookmarkEnd w:id="3"/>
      <w:r>
        <w:rPr>
          <w:b/>
          <w:color w:val="000000"/>
          <w:sz w:val="22"/>
          <w:szCs w:val="22"/>
        </w:rPr>
        <w:t>Tvorba odpisovaného plánu</w:t>
      </w:r>
    </w:p>
    <w:p w14:paraId="008A96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4F827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FAA8B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4D6E41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4E6CD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6262F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8AB7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14:paraId="45745B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9D8B15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7E3D6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FF3632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2F69F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A9B376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306BF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Ročná odpisová</w:t>
            </w:r>
          </w:p>
        </w:tc>
      </w:tr>
      <w:tr w14:paraId="50B7BA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2F8AF19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7108DFB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2886EE3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688D070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7D902BB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607CA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4E2A87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sadzba v %</w:t>
            </w:r>
          </w:p>
        </w:tc>
      </w:tr>
      <w:tr w14:paraId="38691A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384DA2B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administratívu, bytové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5C51CB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11AB938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40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4892FE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2CD1A9A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linárna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56095C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01FF24E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2,5</w:t>
            </w:r>
          </w:p>
        </w:tc>
      </w:tr>
      <w:tr w14:paraId="0C3F6A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  <w:tcBorders>
              <w:top w:val="single" w:color="000000" w:sz="4" w:space="0"/>
            </w:tcBorders>
          </w:tcPr>
          <w:p w14:paraId="08C814C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obchod, priemysel</w:t>
            </w:r>
          </w:p>
        </w:tc>
        <w:tc>
          <w:tcPr>
            <w:tcW w:w="1985" w:type="dxa"/>
            <w:tcBorders>
              <w:top w:val="single" w:color="000000" w:sz="4" w:space="0"/>
            </w:tcBorders>
          </w:tcPr>
          <w:p w14:paraId="16C149C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color="000000" w:sz="4" w:space="0"/>
            </w:tcBorders>
          </w:tcPr>
          <w:p w14:paraId="281D9ED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614AD05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color="000000" w:sz="4" w:space="0"/>
            </w:tcBorders>
          </w:tcPr>
          <w:p w14:paraId="541B109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411DE7B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</w:tr>
      <w:tr w14:paraId="58B601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414091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Lode, lietadlá, železničné lokomotívy</w:t>
            </w:r>
          </w:p>
        </w:tc>
        <w:tc>
          <w:tcPr>
            <w:tcW w:w="1985" w:type="dxa"/>
          </w:tcPr>
          <w:p w14:paraId="50179FD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</w:t>
            </w:r>
          </w:p>
        </w:tc>
        <w:tc>
          <w:tcPr>
            <w:tcW w:w="141" w:type="dxa"/>
          </w:tcPr>
          <w:p w14:paraId="62ECD25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6E9D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1829297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6C2FA3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8,3</w:t>
            </w:r>
          </w:p>
        </w:tc>
      </w:tr>
      <w:tr w14:paraId="2132F3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7068D4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Elektrické motory,turbíny, pece,horáky</w:t>
            </w:r>
          </w:p>
        </w:tc>
        <w:tc>
          <w:tcPr>
            <w:tcW w:w="1985" w:type="dxa"/>
          </w:tcPr>
          <w:p w14:paraId="591BAB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</w:t>
            </w:r>
          </w:p>
        </w:tc>
        <w:tc>
          <w:tcPr>
            <w:tcW w:w="141" w:type="dxa"/>
          </w:tcPr>
          <w:p w14:paraId="3F5D5C7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DAD94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3683A3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AE947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</w:tc>
      </w:tr>
      <w:tr w14:paraId="698662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2B98A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Benzinový os. automobil, počítač, projek</w:t>
            </w:r>
          </w:p>
        </w:tc>
        <w:tc>
          <w:tcPr>
            <w:tcW w:w="1985" w:type="dxa"/>
          </w:tcPr>
          <w:p w14:paraId="1103B9F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</w:t>
            </w:r>
          </w:p>
        </w:tc>
        <w:tc>
          <w:tcPr>
            <w:tcW w:w="141" w:type="dxa"/>
          </w:tcPr>
          <w:p w14:paraId="7EEFD4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3E452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4C05C3C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4EE8C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25</w:t>
            </w:r>
          </w:p>
        </w:tc>
      </w:tr>
      <w:tr w14:paraId="59DEA0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3EAF64C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Elektromobil</w:t>
            </w:r>
          </w:p>
        </w:tc>
        <w:tc>
          <w:tcPr>
            <w:tcW w:w="1985" w:type="dxa"/>
          </w:tcPr>
          <w:p w14:paraId="4D5C859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</w:t>
            </w:r>
          </w:p>
        </w:tc>
        <w:tc>
          <w:tcPr>
            <w:tcW w:w="141" w:type="dxa"/>
          </w:tcPr>
          <w:p w14:paraId="7153C8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11D0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7286749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C06ED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50</w:t>
            </w:r>
          </w:p>
        </w:tc>
      </w:tr>
      <w:tr w14:paraId="10CA6E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E0FC8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6D4CA37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1A47517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6A5483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19BB387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D1F49A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</w:t>
            </w:r>
          </w:p>
        </w:tc>
      </w:tr>
      <w:tr w14:paraId="2E478B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877DFC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92F4A2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" w:type="dxa"/>
          </w:tcPr>
          <w:p w14:paraId="5D277B4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8B6FD5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</w:tcPr>
          <w:p w14:paraId="03965B1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EFAB8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1D03E3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5B2C4E6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121CD79D">
      <w:pPr>
        <w:pStyle w:val="3"/>
        <w:bidi w:val="0"/>
        <w:rPr>
          <w:rFonts w:hint="default"/>
          <w:sz w:val="22"/>
          <w:szCs w:val="22"/>
          <w:lang w:val="sk-SK"/>
        </w:rPr>
      </w:pPr>
      <w:r>
        <w:rPr>
          <w:rFonts w:hint="default"/>
          <w:sz w:val="22"/>
          <w:szCs w:val="22"/>
          <w:lang w:val="sk-SK"/>
        </w:rPr>
        <w:t>V roku 2024 bolo odpisovanie majetku prerušené. Výška daňových odpisov bola 270 750.82 EUR.</w:t>
      </w:r>
    </w:p>
    <w:p w14:paraId="16411B2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42D234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0D83C04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Dotácie zo štátneho rozpočtu</w:t>
      </w:r>
    </w:p>
    <w:p w14:paraId="0328A7BE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098F39">
      <w:pPr>
        <w:pStyle w:val="3"/>
        <w:ind w:left="450"/>
        <w:jc w:val="both"/>
        <w:rPr>
          <w:sz w:val="22"/>
          <w:szCs w:val="22"/>
        </w:rPr>
      </w:pPr>
    </w:p>
    <w:p w14:paraId="64DF7EC6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8412C39">
      <w:pPr>
        <w:pStyle w:val="3"/>
        <w:ind w:left="450"/>
        <w:jc w:val="both"/>
        <w:rPr>
          <w:sz w:val="22"/>
          <w:szCs w:val="22"/>
        </w:rPr>
      </w:pPr>
    </w:p>
    <w:p w14:paraId="1A0F7B70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22"/>
          <w:szCs w:val="22"/>
        </w:rPr>
        <w:br w:type="textWrapping"/>
      </w:r>
      <w:r>
        <w:rPr>
          <w:sz w:val="22"/>
          <w:szCs w:val="22"/>
        </w:rPr>
        <w:t xml:space="preserve">z tohto dlhodobého majetku. </w:t>
      </w:r>
    </w:p>
    <w:p w14:paraId="35FAF10F">
      <w:pPr>
        <w:pStyle w:val="3"/>
        <w:ind w:left="450"/>
        <w:jc w:val="both"/>
        <w:rPr>
          <w:sz w:val="22"/>
          <w:szCs w:val="22"/>
        </w:rPr>
      </w:pPr>
    </w:p>
    <w:p w14:paraId="4C4DCA3D">
      <w:pPr>
        <w:pStyle w:val="3"/>
        <w:ind w:left="450"/>
        <w:jc w:val="both"/>
        <w:rPr>
          <w:sz w:val="22"/>
          <w:szCs w:val="22"/>
        </w:rPr>
      </w:pPr>
    </w:p>
    <w:p w14:paraId="402C596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Oprava významných chýb minulých účtovných období</w:t>
      </w:r>
    </w:p>
    <w:p w14:paraId="128FD881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0F9E63FE">
      <w:pPr>
        <w:pStyle w:val="3"/>
        <w:ind w:left="450"/>
        <w:jc w:val="both"/>
        <w:rPr>
          <w:sz w:val="22"/>
          <w:szCs w:val="22"/>
        </w:rPr>
      </w:pPr>
    </w:p>
    <w:p w14:paraId="617DD217">
      <w:pPr>
        <w:pStyle w:val="3"/>
        <w:ind w:left="450"/>
        <w:jc w:val="both"/>
        <w:rPr>
          <w:sz w:val="22"/>
          <w:szCs w:val="22"/>
        </w:rPr>
      </w:pPr>
    </w:p>
    <w:p w14:paraId="1A729DE7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aktív súvahy</w:t>
      </w:r>
    </w:p>
    <w:p w14:paraId="47899A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22"/>
          <w:szCs w:val="22"/>
        </w:rPr>
      </w:pPr>
    </w:p>
    <w:p w14:paraId="6402600F"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4" w:name="_2et92p0" w:colFirst="0" w:colLast="0"/>
      <w:bookmarkEnd w:id="4"/>
      <w:r>
        <w:rPr>
          <w:b/>
          <w:color w:val="000000"/>
          <w:sz w:val="22"/>
          <w:szCs w:val="22"/>
        </w:rPr>
        <w:t>Informácia o goodwille</w:t>
      </w:r>
    </w:p>
    <w:p w14:paraId="273ED7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D59C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Dôvod vzniku goodvilu:</w:t>
      </w:r>
    </w:p>
    <w:p w14:paraId="725425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Spôsob výpočtu:</w:t>
      </w:r>
    </w:p>
    <w:p w14:paraId="2DA5E2F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Odpisovanie:</w:t>
      </w:r>
    </w:p>
    <w:p w14:paraId="66A8938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34A056DE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06F723C6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40E47C3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7C10A07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pasív súvahy</w:t>
      </w:r>
    </w:p>
    <w:p w14:paraId="70E012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DEF2E7A"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 záväzkoch</w:t>
      </w:r>
    </w:p>
    <w:p w14:paraId="329566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0FE568A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Celková suma záväzkov so zostatkovou dobou splatnosti dlhšou ako 5 rokov:  0</w:t>
      </w:r>
    </w:p>
    <w:p w14:paraId="6B2A1727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 w14:paraId="74CC5F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2219768F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 w14:paraId="5F3FBDA7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 w14:paraId="517C5DAA">
            <w:pPr>
              <w:pStyle w:val="3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0</w:t>
            </w:r>
          </w:p>
        </w:tc>
      </w:tr>
    </w:tbl>
    <w:p w14:paraId="765D8D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p w14:paraId="6AEEC68E">
      <w:pPr>
        <w:pStyle w:val="3"/>
        <w:rPr>
          <w:sz w:val="22"/>
          <w:szCs w:val="22"/>
        </w:rPr>
      </w:pPr>
    </w:p>
    <w:p w14:paraId="0F889054">
      <w:pPr>
        <w:pStyle w:val="3"/>
        <w:rPr>
          <w:sz w:val="22"/>
          <w:szCs w:val="22"/>
        </w:rPr>
      </w:pPr>
    </w:p>
    <w:p w14:paraId="09C46E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22"/>
          <w:szCs w:val="22"/>
        </w:rPr>
      </w:pPr>
    </w:p>
    <w:p w14:paraId="3789F655"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14:paraId="49144179">
      <w:pPr>
        <w:pStyle w:val="3"/>
        <w:rPr>
          <w:sz w:val="22"/>
          <w:szCs w:val="22"/>
        </w:rPr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 w14:paraId="1FEE20F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221088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7695BE3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412ADF1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07F78256"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B03319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082B99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 w14:paraId="144B960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5ABF883B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 w14:paraId="09F38323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 w14:paraId="4E825591">
            <w:pPr>
              <w:pStyle w:val="3"/>
              <w:rPr>
                <w:sz w:val="22"/>
                <w:szCs w:val="22"/>
              </w:rPr>
            </w:pPr>
          </w:p>
        </w:tc>
      </w:tr>
      <w:tr w14:paraId="709991E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 w14:paraId="55F9F048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 w14:paraId="4EDF2029">
            <w:pPr>
              <w:pStyle w:val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 w14:paraId="2D471F9C">
            <w:pPr>
              <w:pStyle w:val="3"/>
              <w:rPr>
                <w:sz w:val="22"/>
                <w:szCs w:val="22"/>
              </w:rPr>
            </w:pPr>
          </w:p>
        </w:tc>
      </w:tr>
    </w:tbl>
    <w:p w14:paraId="3679577E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rPr>
          <w:b/>
          <w:smallCaps/>
          <w:color w:val="000000"/>
          <w:sz w:val="22"/>
          <w:szCs w:val="22"/>
        </w:rPr>
      </w:pPr>
    </w:p>
    <w:p w14:paraId="7A40697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</w:t>
      </w:r>
      <w:r>
        <w:rPr>
          <w:b w:val="0"/>
          <w:bCs/>
          <w:smallCaps/>
          <w:color w:val="000000"/>
          <w:sz w:val="22"/>
          <w:szCs w:val="22"/>
        </w:rPr>
        <w:t xml:space="preserve">NÁKLADOCH </w:t>
      </w:r>
      <w:r>
        <w:rPr>
          <w:b/>
          <w:smallCaps/>
          <w:color w:val="000000"/>
          <w:sz w:val="22"/>
          <w:szCs w:val="22"/>
        </w:rPr>
        <w:t>A výnosoch</w:t>
      </w:r>
    </w:p>
    <w:p w14:paraId="131C83A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</w:p>
    <w:p w14:paraId="6C6D1EE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Celkový hospodársky výsledok za rok 2024 po zdanení je 31 084,44 Eur</w:t>
      </w:r>
    </w:p>
    <w:p w14:paraId="7DC0BDE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5" w:name="_tyjcwt" w:colFirst="0" w:colLast="0"/>
      <w:bookmarkEnd w:id="5"/>
    </w:p>
    <w:p w14:paraId="3FEB6963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 nákladoch a výnosoch, ktoré majú výnimočný rozsah alebo výskyt:</w:t>
      </w:r>
    </w:p>
    <w:p w14:paraId="1148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9620E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Nenastali</w:t>
      </w:r>
    </w:p>
    <w:p w14:paraId="422DE01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FC748F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iných aktívach a iných pasívach</w:t>
      </w:r>
    </w:p>
    <w:p w14:paraId="23CA1E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980E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neeviduje iné aktíva a iné pasíva</w:t>
      </w:r>
    </w:p>
    <w:p w14:paraId="46560F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459B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40C9DCF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Významné položky prenajatého majetku</w:t>
      </w:r>
    </w:p>
    <w:p w14:paraId="6588EC5F">
      <w:pPr>
        <w:pStyle w:val="3"/>
        <w:rPr>
          <w:sz w:val="22"/>
          <w:szCs w:val="22"/>
        </w:rPr>
      </w:pPr>
    </w:p>
    <w:p w14:paraId="61FCE6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FA6322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odpísaných pohľadávkach</w:t>
      </w:r>
    </w:p>
    <w:p w14:paraId="31BA2D7C">
      <w:pPr>
        <w:pStyle w:val="3"/>
        <w:rPr>
          <w:sz w:val="22"/>
          <w:szCs w:val="22"/>
        </w:rPr>
      </w:pPr>
    </w:p>
    <w:p w14:paraId="647D38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na podsúvahovej evidencii eviduje odpísané pohľadávky vo hodnote  0,- EUR</w:t>
      </w:r>
    </w:p>
    <w:p w14:paraId="18DDCE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314BF0F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4CE622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poistení majetk</w:t>
      </w:r>
      <w:r>
        <w:rPr>
          <w:color w:val="000000"/>
          <w:sz w:val="22"/>
          <w:szCs w:val="22"/>
        </w:rPr>
        <w:t>u:</w:t>
      </w:r>
    </w:p>
    <w:p w14:paraId="54AA0C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Celý majetok spoločnosti </w:t>
      </w:r>
      <w:r>
        <w:rPr>
          <w:rFonts w:hint="default"/>
          <w:color w:val="000000"/>
          <w:sz w:val="22"/>
          <w:szCs w:val="22"/>
          <w:lang w:val="sk-SK"/>
        </w:rPr>
        <w:t>KOMI GROUP,</w:t>
      </w:r>
      <w:r>
        <w:rPr>
          <w:color w:val="000000"/>
          <w:sz w:val="22"/>
          <w:szCs w:val="22"/>
        </w:rPr>
        <w:t xml:space="preserve"> s.r.o., je poistený v spoločnosti KOOPERATÍVA poisťovňa a.s.</w:t>
      </w:r>
    </w:p>
    <w:p w14:paraId="7CAB0E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F2695DF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6" w:name="_3dy6vkm" w:colFirst="0" w:colLast="0"/>
      <w:bookmarkEnd w:id="6"/>
      <w:r>
        <w:rPr>
          <w:b/>
          <w:smallCaps/>
          <w:color w:val="000000"/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50E8F7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800D2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 31. decembri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bookmarkStart w:id="8" w:name="_GoBack"/>
      <w:bookmarkEnd w:id="8"/>
      <w:r>
        <w:rPr>
          <w:color w:val="000000"/>
          <w:sz w:val="22"/>
          <w:szCs w:val="22"/>
        </w:rPr>
        <w:t xml:space="preserve"> nenastali žiadne zmeny, ktoré by mali významný vplyv na verné zobrazenie skutočnosti, ktoré sú predmetom účtovníctva.</w:t>
      </w:r>
    </w:p>
    <w:p w14:paraId="257327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0EE8A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028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bookmarkStart w:id="7" w:name="_1t3h5sf" w:colFirst="0" w:colLast="0"/>
      <w:bookmarkEnd w:id="7"/>
    </w:p>
    <w:p w14:paraId="0CE90C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53CF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EB6F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3D9A5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2FDC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E0F2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401D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0D541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4E512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A47D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513AD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BCAD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A73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1BF82E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1688C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8283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C73D6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33D70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3A777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0E2E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07D0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616EF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D206B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73A1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3FC2E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D66FD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3B4AD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6FF30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719BCA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BF9B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BD80C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F9E4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66D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C3E92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DF331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3AEBD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D2FA9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16D77C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BBFA3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500FF8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1287A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DFE0F2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657AE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 w14:paraId="4F7E4F7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66C66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F37AD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14:paraId="5CBDDA9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72FD7894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27D71F3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 w14:paraId="043B2883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71A43F3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289AE6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703EF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4C70F0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3A12E7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5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5E40A91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9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57F6E28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985B152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 w14:paraId="7FF8154E"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 w14:paraId="038B839C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88BA1E4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73DBC"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73303D09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CD0DEAC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98AAB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58AC5E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AD0B178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0506C0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6EAED0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8EDBB9">
          <w:pPr>
            <w:pStyle w:val="3"/>
            <w:jc w:val="center"/>
          </w:pPr>
          <w:r>
            <w:t>8</w:t>
          </w:r>
        </w:p>
      </w:tc>
    </w:tr>
  </w:tbl>
  <w:p w14:paraId="33B03A43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 w14:paraId="0C11EE9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8C93B7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14:paraId="2028229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5F63002F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541FC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818D6B1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2FBE5E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994925B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F80205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0D498BE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A2D5C38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5973E88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7205C3D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E0ED0A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15F7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F5D73EE">
          <w:pPr>
            <w:pStyle w:val="3"/>
            <w:jc w:val="center"/>
          </w:pPr>
          <w:r>
            <w:t> </w:t>
          </w:r>
        </w:p>
      </w:tc>
    </w:tr>
  </w:tbl>
  <w:p w14:paraId="29A28FB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27E6C9D"/>
    <w:rsid w:val="28BB6272"/>
    <w:rsid w:val="28FF1D8F"/>
    <w:rsid w:val="2D2506EA"/>
    <w:rsid w:val="34B6466F"/>
    <w:rsid w:val="36190512"/>
    <w:rsid w:val="4AF34671"/>
    <w:rsid w:val="5E336982"/>
    <w:rsid w:val="64AD6003"/>
    <w:rsid w:val="67BD0FD7"/>
    <w:rsid w:val="6C2C3FD5"/>
    <w:rsid w:val="6F1A6C9D"/>
    <w:rsid w:val="714F1030"/>
    <w:rsid w:val="77F677C3"/>
    <w:rsid w:val="7FCC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qFormat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qFormat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qFormat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1801</Words>
  <Characters>10272</Characters>
  <Lines>85</Lines>
  <Paragraphs>24</Paragraphs>
  <TotalTime>15</TotalTime>
  <ScaleCrop>false</ScaleCrop>
  <LinksUpToDate>false</LinksUpToDate>
  <CharactersWithSpaces>12049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2025-03-27T11:25:05Z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16571832BFD548B097B0AE04C53E3D07</vt:lpwstr>
  </property>
</Properties>
</file>