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A6204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0" w:name="_gjdgxs" w:colFirst="0" w:colLast="0"/>
      <w:bookmarkEnd w:id="0"/>
    </w:p>
    <w:p w14:paraId="723BA9B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účtovnej jednotke</w:t>
      </w:r>
    </w:p>
    <w:p w14:paraId="34AB44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F20B415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Založenie spoločnosti</w:t>
      </w:r>
    </w:p>
    <w:p w14:paraId="25EE109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Spoločnosť: COMI, s.r.o. (ďalej len Spoločnosť)</w:t>
      </w:r>
    </w:p>
    <w:p w14:paraId="61906FA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 Chotčanská 2, 091 01  Stropkov</w:t>
      </w:r>
    </w:p>
    <w:p w14:paraId="690393D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Založená dňa:  27.09.1996</w:t>
      </w:r>
    </w:p>
    <w:p w14:paraId="26E63F2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obchodného registra bola zapísaná dňa: 27.09.1996 </w:t>
      </w:r>
    </w:p>
    <w:p w14:paraId="6D7A9F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(Obchodný register Okresného súdu Prešov, oddiel s.r.o., vložka 3314/P). </w:t>
      </w:r>
    </w:p>
    <w:p w14:paraId="74E737E5">
      <w:pPr>
        <w:pStyle w:val="3"/>
        <w:rPr>
          <w:sz w:val="22"/>
          <w:szCs w:val="22"/>
        </w:rPr>
      </w:pPr>
    </w:p>
    <w:p w14:paraId="0F4C4BDE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>Hlavnými činnosťami Spoločnosti sú:  Maloobchod s pohonnými  látkami</w:t>
      </w:r>
      <w:r>
        <w:rPr>
          <w:rFonts w:hint="default"/>
          <w:b/>
          <w:color w:val="000000"/>
          <w:sz w:val="22"/>
          <w:szCs w:val="22"/>
          <w:lang w:val="sk-SK"/>
        </w:rPr>
        <w:t>, montáž stožiarov vysokého napätia</w:t>
      </w:r>
    </w:p>
    <w:p w14:paraId="41A619C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DF2D76D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Údaje o neobmedzenom ručení</w:t>
      </w:r>
    </w:p>
    <w:p w14:paraId="034FD036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4A19729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6564ED5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Právny dôvod na zostavenie účtovnej závierky</w:t>
      </w:r>
    </w:p>
    <w:p w14:paraId="0E05D5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Účtovná závierka Spoločnosti k 31. decembru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 xml:space="preserve"> do 31. decembra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>.</w:t>
      </w:r>
    </w:p>
    <w:p w14:paraId="341FB1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6E22E45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Dátum schválenia účtovnej závierky za predchádzajúce účtovné obdobie</w:t>
      </w:r>
      <w:r>
        <w:rPr>
          <w:rFonts w:hint="default"/>
          <w:b/>
          <w:color w:val="000000"/>
          <w:sz w:val="22"/>
          <w:szCs w:val="22"/>
          <w:lang w:val="sk-SK"/>
        </w:rPr>
        <w:t>:  26.03.2024</w:t>
      </w:r>
    </w:p>
    <w:p w14:paraId="7A717D6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ab/>
      </w:r>
      <w:r>
        <w:rPr>
          <w:rFonts w:hint="default"/>
          <w:color w:val="000000"/>
          <w:sz w:val="22"/>
          <w:szCs w:val="22"/>
          <w:lang w:val="sk-SK"/>
        </w:rPr>
        <w:t>Účtovná závierka za rok 2023 bola schválená  26.03.2024.  Zisk vo výške 343 419,22 Eur bol schválený ako nerozdelený zisk roku 2023.</w:t>
      </w:r>
    </w:p>
    <w:p w14:paraId="057A7F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rFonts w:hint="default"/>
          <w:color w:val="000000"/>
          <w:sz w:val="22"/>
          <w:szCs w:val="22"/>
          <w:lang w:val="sk-SK"/>
        </w:rPr>
      </w:pPr>
    </w:p>
    <w:p w14:paraId="443F7B9C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Počet zamestnancov </w:t>
      </w:r>
    </w:p>
    <w:p w14:paraId="4E4527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870CC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86C907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Údaje o počte zamestnancov za bežné účtovné obdobie sú uvedené v nasledujúcom prehľade:</w:t>
      </w:r>
    </w:p>
    <w:p w14:paraId="492F7A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620EC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</w:p>
    <w:p w14:paraId="05EC2E5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 w14:paraId="142568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520A09C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49C8E07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2EE187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6ADD50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14:paraId="1C0F48B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  <w:p w14:paraId="4A0638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68990E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5621E07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 orgánoch účtovnej jednotky</w:t>
      </w:r>
    </w:p>
    <w:p w14:paraId="7203CC2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851AFA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Výška jednotlivých druhov záruk alebo iných zabezpečení poskytnutých pre členov štatutárneho orgánu, dozorného orgánu a iného orgánu ÚJ:</w:t>
      </w:r>
    </w:p>
    <w:p w14:paraId="75D4E895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Informácia o pôžičkách:</w:t>
      </w:r>
    </w:p>
    <w:p w14:paraId="0690AA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poskytnutých pôžičiek k 31.12. bežného obdobia podľa jednotlivých orgánov:</w:t>
      </w:r>
    </w:p>
    <w:p w14:paraId="5F47778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Konateľ:</w:t>
      </w:r>
    </w:p>
    <w:p w14:paraId="6CE148E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39364C9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4825E3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splatených pôžičiek za posledné účtovné obdobie:</w:t>
      </w:r>
    </w:p>
    <w:p w14:paraId="3EFFAA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Konateľ:</w:t>
      </w:r>
    </w:p>
    <w:p w14:paraId="2962CFA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0D1B007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73A8D2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odpustených pôžičiek a odpísaných pôžičiek k 31.12. bežného obdobia: 0,- €</w:t>
      </w:r>
    </w:p>
    <w:p w14:paraId="676D395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aktuálnom účtovnom období neboli odpustené ani odpísané žiadne pôžičky.</w:t>
      </w:r>
    </w:p>
    <w:p w14:paraId="282164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7A812E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DA65DBE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konsolidovanom celku</w:t>
      </w:r>
    </w:p>
    <w:p w14:paraId="4AFEEC7F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</w:pPr>
      <w:r>
        <w:rPr>
          <w:rFonts w:hint="default"/>
          <w:b/>
          <w:smallCaps/>
          <w:color w:val="000000"/>
          <w:sz w:val="22"/>
          <w:szCs w:val="22"/>
          <w:lang w:val="sk-SK"/>
        </w:rPr>
        <w:t>S</w:t>
      </w:r>
      <w:r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  <w:t>poločnosť není súčasťou konsolidovaného celku</w:t>
      </w:r>
    </w:p>
    <w:p w14:paraId="7CDB28E2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</w:pPr>
    </w:p>
    <w:p w14:paraId="462A486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110" w:firstLineChars="5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Informácie o účtovných zásadách a účtovných metódach  </w:t>
      </w:r>
    </w:p>
    <w:p w14:paraId="1D94866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B12651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Východiská pre zostavenie účtovnej závierky</w:t>
      </w:r>
    </w:p>
    <w:p w14:paraId="2651C2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závierka bola zostavená za predpokladu, že Spoločnosť bude nepretržite pokračovať vo svojej činnosti (goingconcern).</w:t>
      </w:r>
    </w:p>
    <w:p w14:paraId="2CF5BD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0D68402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V účtovnom období 2024 spoločnosť neúčtovala o významných skutočnostiach minulých období.</w:t>
      </w:r>
    </w:p>
    <w:p w14:paraId="3BC44B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1AD9E3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4BD997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4AE23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AE0544C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Počas účtovného obdobia neboli prijaté zmeny účtovných zásad a účtovných metód</w:t>
      </w:r>
    </w:p>
    <w:p w14:paraId="1603C6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 xml:space="preserve">        </w:t>
      </w:r>
    </w:p>
    <w:p w14:paraId="2A5413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09B0326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Účtovné metódy a všeobecné účtovné zásady pri oceňovaní</w:t>
      </w:r>
    </w:p>
    <w:p w14:paraId="2EF624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82C08C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Dlhodobý nehmotný majetok a dlhodobý hmotný majetok</w:t>
      </w:r>
    </w:p>
    <w:p w14:paraId="6A0523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36BF1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63CB45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BD5C4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937B1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2051C4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0EB2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683A11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EA4473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Cenné papiere a podiely</w:t>
      </w:r>
    </w:p>
    <w:p w14:paraId="04993E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27338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F622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na obchodovanie sa pri ich obstaraní oceňujú reálnou hodnotou. </w:t>
      </w:r>
    </w:p>
    <w:p w14:paraId="48AE7C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4256EA9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Zásoby </w:t>
      </w:r>
    </w:p>
    <w:p w14:paraId="60FE11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Zásoby sa oceňujú obstarávacou cenou.</w:t>
      </w:r>
    </w:p>
    <w:p w14:paraId="57DE04A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0D2878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B2410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2B998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09A58FC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účtuje  zásoby spôsobom B.</w:t>
      </w:r>
    </w:p>
    <w:p w14:paraId="1BDBD2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6BF6A9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Peňažné prostriedky a ceniny</w:t>
      </w:r>
    </w:p>
    <w:p w14:paraId="6C6E80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Peňažné prostriedky a ceniny sa oceňujú ich menovitou hodnotou. Zníženie ich hodnoty sa vyjadruje opravnou položkou.</w:t>
      </w:r>
    </w:p>
    <w:p w14:paraId="096D9FB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2923638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Cudzia mena</w:t>
      </w:r>
    </w:p>
    <w:p w14:paraId="5184DA8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1F598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F3E2BD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ocenenie prírastku cudzej meny nakúpenej za euro sa použije kurz, za ktorý bola táto cudzia mena nakúpená.</w:t>
      </w:r>
    </w:p>
    <w:p w14:paraId="3A4258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D8C29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71983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B24689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540B91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75779E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E905F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C63C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0823F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363DD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Výnosy</w:t>
      </w:r>
    </w:p>
    <w:p w14:paraId="5826F6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97F89B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5877F6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výroba</w:t>
      </w:r>
    </w:p>
    <w:p w14:paraId="6DAACC0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Nemáme</w:t>
      </w:r>
    </w:p>
    <w:p w14:paraId="4B03D4F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56B189D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výstavba nehnuteľnosti</w:t>
      </w:r>
    </w:p>
    <w:p w14:paraId="24CA23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317CEE1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Nemáme</w:t>
      </w:r>
    </w:p>
    <w:p w14:paraId="1272C63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0C55B3D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Pohľadávky</w:t>
      </w:r>
    </w:p>
    <w:p w14:paraId="4605729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1227C8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DDCF5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EA50856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Náklady budúcich období a príjmy budúcich období</w:t>
      </w:r>
    </w:p>
    <w:p w14:paraId="66B7277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412427A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55060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Rezervy</w:t>
      </w:r>
    </w:p>
    <w:p w14:paraId="30F29E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198BDE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5354B4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bookmarkStart w:id="7" w:name="_GoBack"/>
      <w:bookmarkEnd w:id="7"/>
    </w:p>
    <w:p w14:paraId="47F79FC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1155A7C5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Záväzky</w:t>
      </w:r>
    </w:p>
    <w:p w14:paraId="1FFE805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E4BC11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43C89BB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795392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Výdavky budúcich období a výnosy budúcich období</w:t>
      </w:r>
    </w:p>
    <w:p w14:paraId="1E6CF9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213BEDF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905A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302EE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Prenájom (lízing)</w:t>
      </w:r>
    </w:p>
    <w:p w14:paraId="75E0B2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Majetok prenajatý na základe operatívneho prenájmu vykazuje ako svoj majetok jeho vlastník, nie nájomca.</w:t>
      </w:r>
    </w:p>
    <w:p w14:paraId="589B4EB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599A02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1442A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490BA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6F860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52440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72515D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18D839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0543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B2CAD7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Odložené dane</w:t>
      </w:r>
    </w:p>
    <w:p w14:paraId="72B34E0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14:paraId="2967B6A6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0F0AE614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57A472FD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previesť nevyužité daňové odpočty a iné daňové nároky do budúcich období.</w:t>
      </w:r>
    </w:p>
    <w:p w14:paraId="3E8BCAE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857802F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bookmarkStart w:id="2" w:name="_3znysh7" w:colFirst="0" w:colLast="0"/>
      <w:bookmarkEnd w:id="2"/>
      <w:r>
        <w:rPr>
          <w:b/>
          <w:color w:val="000000"/>
          <w:sz w:val="22"/>
          <w:szCs w:val="22"/>
        </w:rPr>
        <w:t>Tvorba odpisovaného plánu</w:t>
      </w:r>
    </w:p>
    <w:p w14:paraId="52380A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227EAE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C1C79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E3A30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E9656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78C3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5B679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14:paraId="1C4779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B20B6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</w:tcPr>
          <w:p w14:paraId="1177A9E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Predpokladaná</w:t>
            </w:r>
          </w:p>
        </w:tc>
        <w:tc>
          <w:tcPr>
            <w:tcW w:w="160" w:type="dxa"/>
          </w:tcPr>
          <w:p w14:paraId="6DABDF9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E8B085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Metóda</w:t>
            </w:r>
          </w:p>
        </w:tc>
        <w:tc>
          <w:tcPr>
            <w:tcW w:w="160" w:type="dxa"/>
          </w:tcPr>
          <w:p w14:paraId="7ED4131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A8F19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Ročná odpisová</w:t>
            </w:r>
          </w:p>
        </w:tc>
      </w:tr>
      <w:tr w14:paraId="161D09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 w14:paraId="56D5336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1B5B9F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 w14:paraId="7EBEAE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používania v rokoch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3235A03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57D56BF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odpisovania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7AC0A3A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75430C8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sadzba v %</w:t>
            </w:r>
          </w:p>
        </w:tc>
      </w:tr>
      <w:tr w14:paraId="23F4FC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 w14:paraId="6AA9887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administratívu, bytové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6ED3844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 w14:paraId="7F3DED2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40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7D635CC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21BA67E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linárna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473D09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63766AB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2,5</w:t>
            </w:r>
          </w:p>
        </w:tc>
      </w:tr>
      <w:tr w14:paraId="3AA1E7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  <w:tcBorders>
              <w:top w:val="single" w:color="000000" w:sz="4" w:space="0"/>
            </w:tcBorders>
          </w:tcPr>
          <w:p w14:paraId="5926AE8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obchod, priemysel</w:t>
            </w:r>
          </w:p>
        </w:tc>
        <w:tc>
          <w:tcPr>
            <w:tcW w:w="1972" w:type="dxa"/>
            <w:tcBorders>
              <w:top w:val="single" w:color="000000" w:sz="4" w:space="0"/>
            </w:tcBorders>
          </w:tcPr>
          <w:p w14:paraId="2FF5725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 w14:paraId="2AF268C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 w14:paraId="496F291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 w14:paraId="4E875C9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 w14:paraId="60992AC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14:paraId="379B67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5EF12FB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Lode, lietadlá, železničné lokomotívy</w:t>
            </w:r>
          </w:p>
        </w:tc>
        <w:tc>
          <w:tcPr>
            <w:tcW w:w="1972" w:type="dxa"/>
          </w:tcPr>
          <w:p w14:paraId="6052151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</w:t>
            </w:r>
          </w:p>
        </w:tc>
        <w:tc>
          <w:tcPr>
            <w:tcW w:w="160" w:type="dxa"/>
          </w:tcPr>
          <w:p w14:paraId="15D30C7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7C353E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</w:tcPr>
          <w:p w14:paraId="221BBBE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594877B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8,3</w:t>
            </w:r>
          </w:p>
        </w:tc>
      </w:tr>
      <w:tr w14:paraId="6068D2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BC5BA0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Elektrické motory,turbíny, pece,horáky</w:t>
            </w:r>
          </w:p>
        </w:tc>
        <w:tc>
          <w:tcPr>
            <w:tcW w:w="1972" w:type="dxa"/>
          </w:tcPr>
          <w:p w14:paraId="6627359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60" w:type="dxa"/>
          </w:tcPr>
          <w:p w14:paraId="593D113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D989D1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</w:tcPr>
          <w:p w14:paraId="1CC7EF9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157D8F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</w:tc>
      </w:tr>
      <w:tr w14:paraId="194381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03C842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Montované stavby, batérie</w:t>
            </w:r>
          </w:p>
        </w:tc>
        <w:tc>
          <w:tcPr>
            <w:tcW w:w="1972" w:type="dxa"/>
          </w:tcPr>
          <w:p w14:paraId="1C7D5E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6</w:t>
            </w:r>
          </w:p>
        </w:tc>
        <w:tc>
          <w:tcPr>
            <w:tcW w:w="160" w:type="dxa"/>
          </w:tcPr>
          <w:p w14:paraId="07C5DCA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06D771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01461CA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069578C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16,6</w:t>
            </w:r>
          </w:p>
        </w:tc>
      </w:tr>
      <w:tr w14:paraId="6BCC6B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24C9F8B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Benzinový os. automobil, počítač, projek</w:t>
            </w:r>
          </w:p>
        </w:tc>
        <w:tc>
          <w:tcPr>
            <w:tcW w:w="1972" w:type="dxa"/>
          </w:tcPr>
          <w:p w14:paraId="45AD0D6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60" w:type="dxa"/>
          </w:tcPr>
          <w:p w14:paraId="337B175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93593C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7464AF6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0AA9E7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25</w:t>
            </w:r>
          </w:p>
        </w:tc>
      </w:tr>
      <w:tr w14:paraId="3AA1BF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7313ADA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Elektromobil</w:t>
            </w:r>
          </w:p>
        </w:tc>
        <w:tc>
          <w:tcPr>
            <w:tcW w:w="1972" w:type="dxa"/>
          </w:tcPr>
          <w:p w14:paraId="73177E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</w:t>
            </w:r>
          </w:p>
        </w:tc>
        <w:tc>
          <w:tcPr>
            <w:tcW w:w="160" w:type="dxa"/>
          </w:tcPr>
          <w:p w14:paraId="2ABB566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652CB1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2507692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DA0D18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50</w:t>
            </w:r>
          </w:p>
        </w:tc>
      </w:tr>
      <w:tr w14:paraId="443299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30FF589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Drobný dlhodobý hmotný majetok</w:t>
            </w:r>
          </w:p>
        </w:tc>
        <w:tc>
          <w:tcPr>
            <w:tcW w:w="1972" w:type="dxa"/>
          </w:tcPr>
          <w:p w14:paraId="75A142B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Rôzna</w:t>
            </w:r>
          </w:p>
        </w:tc>
        <w:tc>
          <w:tcPr>
            <w:tcW w:w="160" w:type="dxa"/>
          </w:tcPr>
          <w:p w14:paraId="295CFCC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42CA29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jednorazový odpis</w:t>
            </w:r>
          </w:p>
        </w:tc>
        <w:tc>
          <w:tcPr>
            <w:tcW w:w="160" w:type="dxa"/>
          </w:tcPr>
          <w:p w14:paraId="7A6550E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73406A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14:paraId="1DA15B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3C2189F4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Dotácie zo štátneho rozpočtu</w:t>
      </w:r>
    </w:p>
    <w:p w14:paraId="48F15A82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3F0299A">
      <w:pPr>
        <w:pStyle w:val="3"/>
        <w:ind w:left="450"/>
        <w:jc w:val="both"/>
        <w:rPr>
          <w:sz w:val="22"/>
          <w:szCs w:val="22"/>
        </w:rPr>
      </w:pPr>
    </w:p>
    <w:p w14:paraId="1A855932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180169">
      <w:pPr>
        <w:pStyle w:val="3"/>
        <w:ind w:left="450"/>
        <w:jc w:val="both"/>
        <w:rPr>
          <w:sz w:val="22"/>
          <w:szCs w:val="22"/>
        </w:rPr>
      </w:pPr>
    </w:p>
    <w:p w14:paraId="2B8C3D85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</w:t>
      </w:r>
      <w:r>
        <w:rPr>
          <w:rFonts w:hint="default"/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so</w:t>
      </w:r>
      <w:r>
        <w:rPr>
          <w:rFonts w:hint="default"/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zaúčtovaní</w:t>
      </w:r>
      <w:r>
        <w:rPr>
          <w:rFonts w:hint="default"/>
          <w:sz w:val="22"/>
          <w:szCs w:val="22"/>
          <w:lang w:val="sk-SK"/>
        </w:rPr>
        <w:t>m</w:t>
      </w:r>
      <w:r>
        <w:rPr>
          <w:sz w:val="22"/>
          <w:szCs w:val="22"/>
        </w:rPr>
        <w:t xml:space="preserve"> odpisov</w:t>
      </w:r>
      <w:r>
        <w:rPr>
          <w:rFonts w:hint="default"/>
          <w:sz w:val="22"/>
          <w:szCs w:val="22"/>
          <w:lang w:val="sk-SK"/>
        </w:rPr>
        <w:t xml:space="preserve"> z tohto dlhodobého majetku.</w:t>
      </w:r>
      <w:r>
        <w:rPr>
          <w:sz w:val="22"/>
          <w:szCs w:val="22"/>
        </w:rPr>
        <w:br w:type="textWrapping"/>
      </w:r>
    </w:p>
    <w:p w14:paraId="12F82B17">
      <w:pPr>
        <w:pStyle w:val="3"/>
        <w:ind w:left="450"/>
        <w:jc w:val="both"/>
        <w:rPr>
          <w:sz w:val="22"/>
          <w:szCs w:val="22"/>
        </w:rPr>
      </w:pPr>
    </w:p>
    <w:p w14:paraId="23EE665A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Oprava významných chýb minulých účtovných období</w:t>
      </w:r>
    </w:p>
    <w:p w14:paraId="75DF2F7A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3BA69AD1">
      <w:pPr>
        <w:pStyle w:val="3"/>
        <w:ind w:left="450"/>
        <w:jc w:val="both"/>
        <w:rPr>
          <w:sz w:val="22"/>
          <w:szCs w:val="22"/>
        </w:rPr>
      </w:pPr>
    </w:p>
    <w:p w14:paraId="739E82A8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aktív súvahy</w:t>
      </w:r>
    </w:p>
    <w:p w14:paraId="303A8E6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22"/>
          <w:szCs w:val="22"/>
        </w:rPr>
      </w:pPr>
    </w:p>
    <w:p w14:paraId="3FA4FB6D"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3" w:name="_2et92p0" w:colFirst="0" w:colLast="0"/>
      <w:bookmarkEnd w:id="3"/>
      <w:r>
        <w:rPr>
          <w:b/>
          <w:color w:val="000000"/>
          <w:sz w:val="22"/>
          <w:szCs w:val="22"/>
        </w:rPr>
        <w:t>Informácia o goodwille</w:t>
      </w:r>
    </w:p>
    <w:p w14:paraId="64EFD28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77E57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Dôvod vzniku goodvilu:</w:t>
      </w:r>
    </w:p>
    <w:p w14:paraId="790FF1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Spôsob výpočtu:</w:t>
      </w:r>
    </w:p>
    <w:p w14:paraId="201FC29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Odpisovanie:</w:t>
      </w:r>
    </w:p>
    <w:p w14:paraId="7969ADD3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485C177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pasív súvahy</w:t>
      </w:r>
    </w:p>
    <w:p w14:paraId="707A9D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F5A31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rPr>
          <w:color w:val="000000"/>
          <w:sz w:val="22"/>
          <w:szCs w:val="22"/>
        </w:rPr>
      </w:pPr>
    </w:p>
    <w:p w14:paraId="00D938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1E6B971"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 záväzkoch</w:t>
      </w:r>
    </w:p>
    <w:p w14:paraId="16FDAC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87EB5AF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Celková suma záväzkov so zostatkovou dobou splatnosti dlhšou ako 5 rokov:  0</w:t>
      </w:r>
    </w:p>
    <w:p w14:paraId="65221CD6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 w14:paraId="013071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B1E3605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193012CA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14:paraId="381DC4C4">
            <w:pPr>
              <w:pStyle w:val="3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0,-</w:t>
            </w:r>
          </w:p>
        </w:tc>
      </w:tr>
    </w:tbl>
    <w:p w14:paraId="5D98D72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p w14:paraId="4C09978E">
      <w:pPr>
        <w:pStyle w:val="3"/>
        <w:rPr>
          <w:sz w:val="22"/>
          <w:szCs w:val="22"/>
        </w:rPr>
      </w:pPr>
    </w:p>
    <w:p w14:paraId="62F4912D">
      <w:pPr>
        <w:pStyle w:val="3"/>
        <w:rPr>
          <w:sz w:val="22"/>
          <w:szCs w:val="22"/>
        </w:rPr>
      </w:pPr>
    </w:p>
    <w:p w14:paraId="33F9B5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22"/>
          <w:szCs w:val="22"/>
        </w:rPr>
      </w:pPr>
    </w:p>
    <w:p w14:paraId="33B44B5A"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14:paraId="58A0BA45">
      <w:pPr>
        <w:pStyle w:val="3"/>
        <w:rPr>
          <w:sz w:val="22"/>
          <w:szCs w:val="22"/>
        </w:rPr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 w14:paraId="4695E6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F73F7C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73D9C4A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01BB03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51A78E1D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236D75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68FB3BF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 w14:paraId="2DAC60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6F370EC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4D6FBD91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 w14:paraId="4778F2BB">
            <w:pPr>
              <w:pStyle w:val="3"/>
              <w:rPr>
                <w:sz w:val="22"/>
                <w:szCs w:val="22"/>
              </w:rPr>
            </w:pPr>
          </w:p>
        </w:tc>
      </w:tr>
      <w:tr w14:paraId="7B26C1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FEFF15B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69BE347E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 w14:paraId="741290AF">
            <w:pPr>
              <w:pStyle w:val="3"/>
              <w:rPr>
                <w:sz w:val="22"/>
                <w:szCs w:val="22"/>
              </w:rPr>
            </w:pPr>
          </w:p>
        </w:tc>
      </w:tr>
    </w:tbl>
    <w:p w14:paraId="1335FE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63A12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rPr>
          <w:b/>
          <w:smallCaps/>
          <w:color w:val="000000"/>
          <w:sz w:val="22"/>
          <w:szCs w:val="22"/>
        </w:rPr>
      </w:pPr>
    </w:p>
    <w:p w14:paraId="3D6AD2D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</w:p>
    <w:p w14:paraId="3194FBA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NÁKLADOCH A výnosoch</w:t>
      </w:r>
    </w:p>
    <w:p w14:paraId="68BE71F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360"/>
        <w:rPr>
          <w:b/>
          <w:color w:val="000000"/>
          <w:sz w:val="22"/>
          <w:szCs w:val="22"/>
        </w:rPr>
      </w:pPr>
      <w:bookmarkStart w:id="4" w:name="_tyjcwt" w:colFirst="0" w:colLast="0"/>
      <w:bookmarkEnd w:id="4"/>
    </w:p>
    <w:p w14:paraId="6EF24F27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 nákladoch a výnosoch, ktoré majú výnimočný rozsah alebo výskyt: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nie sú.</w:t>
      </w:r>
    </w:p>
    <w:p w14:paraId="271E7C96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b/>
          <w:color w:val="000000"/>
          <w:sz w:val="22"/>
          <w:szCs w:val="22"/>
        </w:rPr>
      </w:pPr>
    </w:p>
    <w:p w14:paraId="526B9F6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Celkový hospodársky výsledok za rok 2024 po zdanení je 258 460,72 Eur.</w:t>
      </w:r>
    </w:p>
    <w:p w14:paraId="48F2F3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490B10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iných aktívach a iných pasívach</w:t>
      </w:r>
    </w:p>
    <w:p w14:paraId="401FDB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5B47622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neeviduje iné aktíva a iné pasíva</w:t>
      </w:r>
    </w:p>
    <w:p w14:paraId="41C7D7E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6149FF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7FC3FB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69AA405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Významné položky prenajatého majetku</w:t>
      </w:r>
    </w:p>
    <w:p w14:paraId="7252D345">
      <w:pPr>
        <w:pStyle w:val="3"/>
        <w:rPr>
          <w:sz w:val="22"/>
          <w:szCs w:val="22"/>
        </w:rPr>
      </w:pPr>
    </w:p>
    <w:p w14:paraId="33DF86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A91D0EC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odpísaných pohľadávkach</w:t>
      </w:r>
    </w:p>
    <w:p w14:paraId="39A71532">
      <w:pPr>
        <w:pStyle w:val="3"/>
        <w:rPr>
          <w:sz w:val="22"/>
          <w:szCs w:val="22"/>
        </w:rPr>
      </w:pPr>
    </w:p>
    <w:p w14:paraId="10EDC7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na podsúvahovej evidencii eviduje odpísané pohľadávky vo hodnote  0,- EUR</w:t>
      </w:r>
    </w:p>
    <w:p w14:paraId="252780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2976C4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4278D77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poistení majetk</w:t>
      </w:r>
      <w:r>
        <w:rPr>
          <w:color w:val="000000"/>
          <w:sz w:val="22"/>
          <w:szCs w:val="22"/>
        </w:rPr>
        <w:t>u:</w:t>
      </w:r>
    </w:p>
    <w:p w14:paraId="7FD488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Celý majetok spoločnosti COMl s.r.o., je poistený v spoločnosti KOOPERATÍVA</w:t>
      </w:r>
      <w:r>
        <w:rPr>
          <w:rFonts w:hint="default"/>
          <w:color w:val="000000"/>
          <w:sz w:val="22"/>
          <w:szCs w:val="22"/>
          <w:lang w:val="sk-SK"/>
        </w:rPr>
        <w:t xml:space="preserve"> </w:t>
      </w:r>
      <w:r>
        <w:rPr>
          <w:color w:val="000000"/>
          <w:sz w:val="22"/>
          <w:szCs w:val="22"/>
        </w:rPr>
        <w:t xml:space="preserve"> poisťovňa a.s.</w:t>
      </w:r>
    </w:p>
    <w:p w14:paraId="0190DCF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28FE8C8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5" w:name="_3dy6vkm" w:colFirst="0" w:colLast="0"/>
      <w:bookmarkEnd w:id="5"/>
      <w:r>
        <w:rPr>
          <w:b/>
          <w:smallCaps/>
          <w:color w:val="000000"/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6B7DF5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0F060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 31. decembri 202</w:t>
      </w:r>
      <w:r>
        <w:rPr>
          <w:rFonts w:hint="default"/>
          <w:color w:val="000000"/>
          <w:sz w:val="22"/>
          <w:szCs w:val="22"/>
          <w:lang w:val="sk-SK"/>
        </w:rPr>
        <w:t>4</w:t>
      </w:r>
      <w:r>
        <w:rPr>
          <w:color w:val="000000"/>
          <w:sz w:val="22"/>
          <w:szCs w:val="22"/>
        </w:rPr>
        <w:t xml:space="preserve"> nenastali žiadne zmeny, ktoré by mali významný vplyv na verné zobrazenie skutočnosti, ktoré sú predmetom účtovníctva.</w:t>
      </w:r>
    </w:p>
    <w:p w14:paraId="7125D3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C9CCE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04552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bookmarkStart w:id="6" w:name="_1t3h5sf" w:colFirst="0" w:colLast="0"/>
      <w:bookmarkEnd w:id="6"/>
    </w:p>
    <w:p w14:paraId="3E58286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0794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4B98CA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758E1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803A2B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EC2DB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2636B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C94D9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FE8DF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518543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F6C0F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D58FA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15A35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ECD89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DA91D4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59E86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B6740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87278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1DCA3B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17043C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0FECF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CCCD0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366A30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4D7CB2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6C093BB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BC1EE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6835DC8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30D639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E3B7D3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07CB7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96B7CB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158C930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FB436B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54F67A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0B3834E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FE23B2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00A0E68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875B5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84077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8B239E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755EE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7B93C3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0C01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42A37DC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A05CA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245ED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14:paraId="7018291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7531D126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45B666ED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 w14:paraId="3DFE177F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7D66D4B">
          <w:pPr>
            <w:pStyle w:val="3"/>
            <w:jc w:val="center"/>
            <w:rPr>
              <w:color w:val="000000"/>
            </w:rPr>
          </w:pPr>
          <w: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3E2A961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CC2BC35">
          <w:pPr>
            <w:pStyle w:val="3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23CD3EE">
          <w:pPr>
            <w:pStyle w:val="3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BEE4F2C">
          <w:pPr>
            <w:pStyle w:val="3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A5F2FD6">
          <w:pPr>
            <w:pStyle w:val="3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4538B0F7">
          <w:pPr>
            <w:pStyle w:val="3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439754E">
          <w:pPr>
            <w:pStyle w:val="3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 w14:paraId="2E447392"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 w14:paraId="1C79E346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9179B5A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A7DB248"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A34EEBF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12C40C9">
          <w:pPr>
            <w:pStyle w:val="3"/>
            <w:jc w:val="center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E9A0272">
          <w:pPr>
            <w:pStyle w:val="3"/>
            <w:jc w:val="center"/>
          </w:pPr>
          <w:r>
            <w:t>5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355BA05"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C0D156E"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5FE21933">
          <w:pPr>
            <w:pStyle w:val="3"/>
            <w:jc w:val="center"/>
          </w:pPr>
          <w: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AD8B4CB">
          <w:pPr>
            <w:pStyle w:val="3"/>
            <w:jc w:val="center"/>
          </w:pPr>
          <w:r>
            <w:t>5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0DC5EC9">
          <w:pPr>
            <w:pStyle w:val="3"/>
            <w:jc w:val="center"/>
          </w:pPr>
          <w:r>
            <w:t>8</w:t>
          </w:r>
        </w:p>
      </w:tc>
    </w:tr>
  </w:tbl>
  <w:p w14:paraId="6FC79DF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 w14:paraId="7E1BC2C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27D87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14:paraId="6F5616B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152C84A3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ECE9EC9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B88C07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B4E75E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35FD0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11EFDDD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B33B2FC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743EE40C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8CDE96B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7791FE6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3ACEB25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3B90565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6C9056F">
          <w:pPr>
            <w:pStyle w:val="3"/>
            <w:jc w:val="center"/>
          </w:pPr>
          <w:r>
            <w:t> </w:t>
          </w:r>
        </w:p>
      </w:tc>
    </w:tr>
  </w:tbl>
  <w:p w14:paraId="50497FD1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7312282"/>
    <w:rsid w:val="0820105A"/>
    <w:rsid w:val="13024958"/>
    <w:rsid w:val="14655FC7"/>
    <w:rsid w:val="185955A4"/>
    <w:rsid w:val="187347BC"/>
    <w:rsid w:val="315A7B86"/>
    <w:rsid w:val="39BF4511"/>
    <w:rsid w:val="4211392A"/>
    <w:rsid w:val="45E8203F"/>
    <w:rsid w:val="59014095"/>
    <w:rsid w:val="65BE60CF"/>
    <w:rsid w:val="775C4B52"/>
    <w:rsid w:val="77F677C3"/>
    <w:rsid w:val="7D0776A7"/>
    <w:rsid w:val="7D59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qFormat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1801</Words>
  <Characters>10272</Characters>
  <Lines>85</Lines>
  <Paragraphs>24</Paragraphs>
  <TotalTime>59</TotalTime>
  <ScaleCrop>false</ScaleCrop>
  <LinksUpToDate>false</LinksUpToDate>
  <CharactersWithSpaces>12049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2025-03-27T08:37:01Z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16571832BFD548B097B0AE04C53E3D07</vt:lpwstr>
  </property>
</Properties>
</file>