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10B0" w:rsidRDefault="003910B0" w:rsidP="003910B0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3910B0">
        <w:rPr>
          <w:rFonts w:ascii="Arial" w:eastAsia="Times New Roman" w:hAnsi="Arial" w:cs="Arial"/>
          <w:sz w:val="24"/>
          <w:szCs w:val="24"/>
          <w:lang w:eastAsia="sk-SK"/>
        </w:rPr>
        <w:t xml:space="preserve">Poznámky </w:t>
      </w:r>
      <w:proofErr w:type="spellStart"/>
      <w:r w:rsidRPr="003910B0">
        <w:rPr>
          <w:rFonts w:ascii="Arial" w:eastAsia="Times New Roman" w:hAnsi="Arial" w:cs="Arial"/>
          <w:sz w:val="24"/>
          <w:szCs w:val="24"/>
          <w:lang w:eastAsia="sk-SK"/>
        </w:rPr>
        <w:t>Úč</w:t>
      </w:r>
      <w:proofErr w:type="spellEnd"/>
      <w:r w:rsidRPr="003910B0">
        <w:rPr>
          <w:rFonts w:ascii="Arial" w:eastAsia="Times New Roman" w:hAnsi="Arial" w:cs="Arial"/>
          <w:sz w:val="24"/>
          <w:szCs w:val="24"/>
          <w:lang w:eastAsia="sk-SK"/>
        </w:rPr>
        <w:t xml:space="preserve"> MÚJ 3 - 01 IČO</w:t>
      </w:r>
      <w:r>
        <w:rPr>
          <w:rFonts w:ascii="Arial" w:eastAsia="Times New Roman" w:hAnsi="Arial" w:cs="Arial"/>
          <w:sz w:val="24"/>
          <w:szCs w:val="24"/>
          <w:lang w:eastAsia="sk-SK"/>
        </w:rPr>
        <w:t xml:space="preserve">  </w:t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51118343</w:t>
      </w:r>
      <w:r>
        <w:rPr>
          <w:rFonts w:ascii="Arial" w:eastAsia="Times New Roman" w:hAnsi="Arial" w:cs="Arial"/>
          <w:sz w:val="24"/>
          <w:szCs w:val="24"/>
          <w:lang w:eastAsia="sk-SK"/>
        </w:rPr>
        <w:t xml:space="preserve">     </w:t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 xml:space="preserve"> DIČ</w:t>
      </w:r>
      <w:r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2120608347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3910B0" w:rsidRDefault="003910B0" w:rsidP="003910B0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3910B0">
        <w:rPr>
          <w:rFonts w:ascii="Arial" w:eastAsia="Times New Roman" w:hAnsi="Arial" w:cs="Arial"/>
          <w:sz w:val="24"/>
          <w:szCs w:val="24"/>
          <w:lang w:eastAsia="sk-SK"/>
        </w:rPr>
        <w:t>Čl. I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Všeobecné údaje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(1) Názov právnickej osoby a jej sídlo alebo meno a priezvisko fyzickej osoby.</w:t>
      </w:r>
    </w:p>
    <w:p w:rsidR="003910B0" w:rsidRDefault="003910B0" w:rsidP="003910B0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:rsidR="003910B0" w:rsidRDefault="003910B0" w:rsidP="003910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PROFI Taxi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likvidácii </w:t>
      </w:r>
    </w:p>
    <w:p w:rsidR="003910B0" w:rsidRDefault="003910B0" w:rsidP="003910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910B0" w:rsidRDefault="003910B0" w:rsidP="003910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nevykonáva žiadnu podnikateľskú činnosť</w:t>
      </w:r>
      <w:bookmarkStart w:id="0" w:name="_GoBack"/>
      <w:bookmarkEnd w:id="0"/>
    </w:p>
    <w:p w:rsidR="003910B0" w:rsidRDefault="003910B0" w:rsidP="003910B0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(2) Údaje o konsolidovanom celku, a to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a) obchodné meno a sídlo konsolidujúcej účtovnej jednotky, ktorá zostavuje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konsolidovanú účtovnú závierku za tú skupinu účtovných jednotiek konsolidovaného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celku, ktorého súčasťou je aj účtovná jednotka; uvádza sa aj obchodné meno a sídlo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účtovnej jednotky, ktorá je bezprostredne konsolidujúcou účtovnou jednotkou,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b) údaj, či účtovná jednotka je materskou účtovnou jednotkou a údaj, či je oslobodená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od povinnosti zostaviť konsolidovanú účtovnú závierku a konsolidovanú výročnú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správu podľa § 22 zákona, pričom sa uvádzajú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1. pri oslobodení podľa § 22 ods. 8 zákona obchodné meno a sídlo materskej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účtovnej jednotky zostavujúcej konsolidovanú účtovnú závierku podľa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osobitných predpisov,4)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2. pri oslobodení podľa § 22 ods. 12 zákona obchodné meno a sídlo dcérskych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účtovných jednotiek.</w:t>
      </w:r>
    </w:p>
    <w:p w:rsidR="003910B0" w:rsidRPr="003910B0" w:rsidRDefault="003910B0" w:rsidP="003910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(3) Priemerný prepočítaný počet zamestnancov.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Čl. II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Informácie o prijatých postupoch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(1) Informácia, či je účtovná závierka zostavená za splnenia predpokladu, že účtovná jednotka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bude nepretržite pokračovať vo svojej činnosti.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(2) Spôsob oceňovania jednotlivých položiek majetku a záväzkov, a to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a) dlhodobého nehmotného majetku, dlhodobého hmotného majetku a dlhodobého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finančného majetku,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b) zásob obstaraných kúpou, zásob vytvorených vlastnou činnosťou,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c) pohľadávok,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d) krátkodobého finančného majetku,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e) záväzkov vrátane rezerv, dlhopisov, pôžičiek a úverov,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f) derivátových operácií.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(3) Spôsob zostavenia odpisového plánu pre jednotlivé druhy dlhodobého hmotného majetku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a dlhodobého nehmotného majetku, pričom sa uvádza doba odpisovania, použité sadzby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odpisov a odpisové metódy pri určení odpisov.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4) Nariadenie Európskeho parlamentu a Rady (ES) č. 1606/2002 z 19. júla 2002 o uplatňovaní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medzinárodných účtovných noriem (Mimoriadne vydanie Ú. v. EÚ, kap. 13/zv. 29) v znení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nariadenia Európskeho parlamentu a Rady (ES) č. 297/2008 z 11. marca 2008 (Ú. v. EÚ L 97, 9.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lastRenderedPageBreak/>
        <w:t>4. 2008).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Nariadenie Komisie (ES) č. 1126/2008 z 3. novembra 2008, ktorým sa v súlade s nariadením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Európskeho parlamentu a Rady (ES) č. 1606/2002 prijímajú určité medzinárodné účtovné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štandardy (Ú. v. EÚ L 320, 29. 11. 2008) v platnom znení.</w:t>
      </w:r>
    </w:p>
    <w:p w:rsidR="003910B0" w:rsidRPr="003910B0" w:rsidRDefault="003910B0" w:rsidP="003910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910B0">
        <w:rPr>
          <w:rFonts w:ascii="Arial" w:eastAsia="Times New Roman" w:hAnsi="Arial" w:cs="Arial"/>
          <w:sz w:val="24"/>
          <w:szCs w:val="24"/>
          <w:lang w:eastAsia="sk-SK"/>
        </w:rPr>
        <w:t>Strana 8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(4) Zmeny účtovných zásad a zmeny účtovných metód s uvedením dôvodu týchto zmien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a vyčíslením ich vplyvu na finančnú hodnotu majetku, záväzkov, základného imania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a výsledku hospodárenia účtovnej jednotky.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(5) Informácie o dotáciách a ich oceňovanie v účtovníctve.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(6) Informácie o účtovaní významných opráv chýb minulých účtovných období v bežnom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účtovnom období s uvedením vplyvu na nerozdelený zisk minulých rokov alebo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neuhradenú stratu minulých rokov; súčasne sa môže uviesť aj účtovanie nevýznamných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chýb minulých účtovných období v bežnom účtovnom období s uvedením vplyvu na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výsledok hospodárenia bežného účtovného obdobia.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Čl. III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Informácie, ktoré vysvetľujú a dopĺňajú súvahu a výkaz ziskov a strát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(1) Informácia o sume a dôvodoch vzniku jednotlivých položiek nákladov alebo výnosov,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ktoré majú výnimočný rozsah alebo výskyt, napríklad výnosy z predaja podniku alebo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časti podniku, náklady z dôvodu predaja podniku alebo časti podniku, škody z dôvodu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živelných pohrôm.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(2) Informácie o záväzkoch, a to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a) celkovej sume záväzkov so zostatkovou dobou splatnosti dlhšou ako päť rokov,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b) celkovej sume zabezpečených záväzkov, opis a spôsoby zabezpečenia záväzkov.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(3) Informácie o vlastných akciách, a to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a) dôvode nadobudnutia vlastných akcií počas účtovného obdobia,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b) informáciách, ktorými sú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1. počet a menovitá hodnota nadobudnutých vlastných akcií počas účtovného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obdobia a počet a menovitá hodnota prevedených vlastných akcií počas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účtovného obdobia, pričom sa uvádza percentuálna hodnota týchto vlastných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akcií na upísanom základnom imaní,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2. počet a hodnota, za ktorú sa vlastné akcie počas účtovného obdobia nadobudli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a počet a hodnota, za ktorú sa vlastné akcie počas účtovného obdobia previedli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na inú osobu,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c) počte, menovitej hodnote a hodnote, za ktorú sa vlastné akcie nadobudli a ktoré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účtovná jednotka má v držbe k poslednému dňu účtovného obdobia; uvádza sa aj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ich percentuálny podiel na upísanom základnom imaní.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(4) Informácie o orgánoch účtovnej jednotky, a to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a) výške jednotlivých druhov záruk alebo iných zabezpečení poskytnutých pre členov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štatutárneho orgánu, dozorného orgánu a iného orgánu účtovnej jednotky, a to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v členení za jednotlivé orgány,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b) pôžičkách poskytnutých členom štatutárneho orgánu, dozorného orgánu a iného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orgánu účtovnej jednotky a to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1. celková suma poskytnutých pôžičiek k poslednému dňu účtovného obdobia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lastRenderedPageBreak/>
        <w:t>v členení za jednotlivé orgány,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2. celková suma splatených pôžičiek k poslednému dňu účtovného obdobia</w:t>
      </w:r>
      <w:r w:rsidRPr="003910B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910B0">
        <w:rPr>
          <w:rFonts w:ascii="Arial" w:eastAsia="Times New Roman" w:hAnsi="Arial" w:cs="Arial"/>
          <w:sz w:val="24"/>
          <w:szCs w:val="24"/>
          <w:lang w:eastAsia="sk-SK"/>
        </w:rPr>
        <w:t>v členení za jednotlivé orgány,</w:t>
      </w:r>
    </w:p>
    <w:p w:rsidR="008839A1" w:rsidRDefault="008839A1"/>
    <w:sectPr w:rsidR="008839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10B0"/>
    <w:rsid w:val="003910B0"/>
    <w:rsid w:val="008839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markedcontent">
    <w:name w:val="markedcontent"/>
    <w:basedOn w:val="Predvolenpsmoodseku"/>
    <w:rsid w:val="003910B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markedcontent">
    <w:name w:val="markedcontent"/>
    <w:basedOn w:val="Predvolenpsmoodseku"/>
    <w:rsid w:val="003910B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1129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757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732</Words>
  <Characters>4175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2025-03-30T17:21:00Z</dcterms:created>
  <dcterms:modified xsi:type="dcterms:W3CDTF">2025-03-30T17:25:00Z</dcterms:modified>
</cp:coreProperties>
</file>