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2631"/>
        <w:gridCol w:w="2221"/>
        <w:gridCol w:w="319"/>
        <w:gridCol w:w="320"/>
        <w:gridCol w:w="320"/>
        <w:gridCol w:w="320"/>
        <w:gridCol w:w="320"/>
        <w:gridCol w:w="320"/>
        <w:gridCol w:w="320"/>
        <w:gridCol w:w="320"/>
        <w:gridCol w:w="551"/>
        <w:gridCol w:w="300"/>
        <w:gridCol w:w="300"/>
        <w:gridCol w:w="300"/>
        <w:gridCol w:w="300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30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keepNext/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keepNext/>
              <w:spacing w:after="120" w:line="240" w:lineRule="auto"/>
              <w:jc w:val="right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O 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5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1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2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5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3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8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9</w:t>
            </w:r>
          </w:p>
        </w:tc>
        <w:tc>
          <w:tcPr>
            <w:tcW w:w="567" w:type="dxa"/>
            <w:tcBorders>
              <w:top w:val="single" w:sz="0" w:space="0" w:color="836967"/>
              <w:left w:val="single" w:sz="5" w:space="0" w:color="836967"/>
              <w:bottom w:val="single" w:sz="0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4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keepNext/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l. </w:t>
      </w:r>
      <w:r>
        <w:rPr>
          <w:rFonts w:ascii="Arial Narrow" w:eastAsia="Arial Narrow" w:hAnsi="Arial Narrow" w:cs="Arial Narrow"/>
          <w:b/>
        </w:rPr>
        <w:t>I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Meno a priezvisko fyzickej osoby alebo názov právnickej osoby, ktorá je zakladateľom alebo zriaďovateľom účtovnej jednotky, dátum založenia alebo zriadenia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lenoch štatut</w:t>
      </w:r>
      <w:r>
        <w:rPr>
          <w:rFonts w:ascii="Times New Roman" w:eastAsia="Times New Roman" w:hAnsi="Times New Roman" w:cs="Times New Roman"/>
        </w:rPr>
        <w:t>árnych orgánov</w:t>
      </w:r>
      <w:r>
        <w:rPr>
          <w:rFonts w:ascii="Arial Narrow" w:eastAsia="Arial Narrow" w:hAnsi="Arial Narrow" w:cs="Arial Narrow"/>
        </w:rPr>
        <w:t>, dozorných orgánov  a iných orgánov účtovnej jednotky; uvádzajú sa mená a priezviská členov štatutárnych orgánov, dozorných orgánov a iných orgánov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</w:t>
      </w:r>
      <w:r>
        <w:rPr>
          <w:rFonts w:ascii="Arial Narrow" w:eastAsia="Arial Narrow" w:hAnsi="Arial Narrow" w:cs="Arial Narrow"/>
        </w:rPr>
        <w:t>ruhu podnikateľskej činnosti, ak ju účtovná jednotka vykonáva.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Priemerný prepočítaný počet zamestnancov, a z toho počet vedúcich zamestnancov účtovnej jednotky za účtovné obdobie, za ktoré sa zostavuje účtovná závierka (ďalej len „bežné účtovné obdobie</w:t>
      </w:r>
      <w:r>
        <w:rPr>
          <w:rFonts w:ascii="Arial Narrow" w:eastAsia="Arial Narrow" w:hAnsi="Arial Narrow" w:cs="Arial Narrow"/>
        </w:rPr>
        <w:t>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</w:t>
      </w:r>
      <w:r>
        <w:rPr>
          <w:rFonts w:ascii="Arial Narrow" w:eastAsia="Arial Narrow" w:hAnsi="Arial Narrow" w:cs="Arial Narrow"/>
        </w:rPr>
        <w:t xml:space="preserve">ného obdobia.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Informácia o organizáciách v zriaďovateľskej pôsobnosti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 xml:space="preserve">l. </w:t>
      </w:r>
      <w:r>
        <w:rPr>
          <w:rFonts w:ascii="Arial Narrow" w:eastAsia="Arial Narrow" w:hAnsi="Arial Narrow" w:cs="Arial Narrow"/>
        </w:rPr>
        <w:t xml:space="preserve">III a IV  sa uvádzajú v textovej podobe a tabuľkovej podobe. </w:t>
      </w: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l. </w:t>
      </w:r>
      <w:r>
        <w:rPr>
          <w:rFonts w:ascii="Arial Narrow" w:eastAsia="Arial Narrow" w:hAnsi="Arial Narrow" w:cs="Arial Narrow"/>
          <w:b/>
        </w:rPr>
        <w:t>II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Inf</w:t>
      </w:r>
      <w:r>
        <w:rPr>
          <w:rFonts w:ascii="Arial Narrow" w:eastAsia="Arial Narrow" w:hAnsi="Arial Narrow" w:cs="Arial Narrow"/>
        </w:rPr>
        <w:t xml:space="preserve">ormácia, či je účtovná závierka zostavená za splnenia predpokladu, že účtovná jednotka bude nepretržite pokračovať vo svojej činnosti.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</w:t>
      </w:r>
      <w:r>
        <w:rPr>
          <w:rFonts w:ascii="Arial Narrow" w:eastAsia="Arial Narrow" w:hAnsi="Arial Narrow" w:cs="Arial Narrow"/>
        </w:rPr>
        <w:t>notu majetku, záväzkov, základného imania a výsledku hospodárenia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</w:t>
      </w:r>
      <w:r>
        <w:rPr>
          <w:rFonts w:ascii="Arial" w:eastAsia="Arial" w:hAnsi="Arial" w:cs="Arial"/>
        </w:rPr>
        <w:t>ž</w:t>
      </w:r>
      <w:r>
        <w:rPr>
          <w:rFonts w:ascii="Times New Roman" w:eastAsia="Times New Roman" w:hAnsi="Times New Roman" w:cs="Times New Roman"/>
        </w:rPr>
        <w:t>iek majetku a</w:t>
      </w:r>
      <w:r>
        <w:rPr>
          <w:rFonts w:ascii="Arial Narrow" w:eastAsia="Arial Narrow" w:hAnsi="Arial Narrow" w:cs="Arial Narrow"/>
        </w:rPr>
        <w:t> záväzkov 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na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</w:t>
      </w:r>
      <w:r>
        <w:rPr>
          <w:rFonts w:ascii="Arial Narrow" w:eastAsia="Arial Narrow" w:hAnsi="Arial Narrow" w:cs="Arial Narrow"/>
        </w:rPr>
        <w:t xml:space="preserve"> spôsobom,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</w:t>
      </w:r>
      <w:r>
        <w:rPr>
          <w:rFonts w:ascii="Arial Narrow" w:eastAsia="Arial Narrow" w:hAnsi="Arial Narrow" w:cs="Arial Narrow"/>
        </w:rPr>
        <w:t>lhopisov, pôžičiek a úverov,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p) deriváty,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</w:t>
      </w:r>
      <w:r>
        <w:rPr>
          <w:rFonts w:ascii="Arial Narrow" w:eastAsia="Arial Narrow" w:hAnsi="Arial Narrow" w:cs="Arial Narrow"/>
        </w:rPr>
        <w:t xml:space="preserve"> hodnoty majetku. Uvádza sa, či účtovná jednotka uplatňuje opravné položky a rezervy.</w:t>
      </w: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l. </w:t>
      </w:r>
      <w:r>
        <w:rPr>
          <w:rFonts w:ascii="Arial Narrow" w:eastAsia="Arial Narrow" w:hAnsi="Arial Narrow" w:cs="Arial Narrow"/>
          <w:b/>
        </w:rPr>
        <w:t>III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</w:t>
      </w:r>
      <w:r>
        <w:rPr>
          <w:rFonts w:ascii="Arial Narrow" w:eastAsia="Arial Narrow" w:hAnsi="Arial Narrow" w:cs="Arial Narrow"/>
        </w:rPr>
        <w:tab/>
        <w:t xml:space="preserve"> Údaje o dlhodobom nehmotnom majetku a dlhodobom hmotnom majetku za bežné účtovné obdobie, a to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</w:t>
      </w:r>
      <w:r>
        <w:rPr>
          <w:rFonts w:ascii="Arial" w:eastAsia="Arial" w:hAnsi="Arial" w:cs="Arial"/>
        </w:rPr>
        <w:t>ž</w:t>
      </w:r>
      <w:r>
        <w:rPr>
          <w:rFonts w:ascii="Times New Roman" w:eastAsia="Times New Roman" w:hAnsi="Times New Roman" w:cs="Times New Roman"/>
        </w:rPr>
        <w:t>iek tohto majetku v</w:t>
      </w:r>
      <w:r>
        <w:rPr>
          <w:rFonts w:ascii="Arial Narrow" w:eastAsia="Arial Narrow" w:hAnsi="Arial Narrow" w:cs="Arial Narrow"/>
        </w:rPr>
        <w:t>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podľa položiek súvahy; uvádza sa stav dlhodobého majetku v</w:t>
      </w:r>
      <w:r>
        <w:rPr>
          <w:rFonts w:ascii="Arial Narrow" w:eastAsia="Arial Narrow" w:hAnsi="Arial Narrow" w:cs="Arial Narrow"/>
        </w:rPr>
        <w:t> prvotnom ocenení na začiatku bežného účtovného obdobia, prírastky, úbytky a presuny tohto majetku a zostatok na konci bežného ú</w:t>
      </w:r>
      <w:r>
        <w:rPr>
          <w:rFonts w:ascii="Arial Narrow" w:eastAsia="Arial Narrow" w:hAnsi="Arial Narrow" w:cs="Arial Narrow"/>
        </w:rPr>
        <w:t>čtovného obdobia,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</w:t>
      </w:r>
      <w:r>
        <w:rPr>
          <w:rFonts w:ascii="Arial" w:eastAsia="Arial" w:hAnsi="Arial" w:cs="Arial"/>
        </w:rPr>
        <w:t>ž</w:t>
      </w:r>
      <w:r>
        <w:rPr>
          <w:rFonts w:ascii="Times New Roman" w:eastAsia="Times New Roman" w:hAnsi="Times New Roman" w:cs="Times New Roman"/>
        </w:rPr>
        <w:t>iek tohto majetku v</w:t>
      </w:r>
      <w:r>
        <w:rPr>
          <w:rFonts w:ascii="Arial Narrow" w:eastAsia="Arial Narrow" w:hAnsi="Arial Narrow" w:cs="Arial Narrow"/>
        </w:rPr>
        <w:t>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podľa položiek súvahy; uvádza sa stav oprávok a</w:t>
      </w:r>
      <w:r>
        <w:rPr>
          <w:rFonts w:ascii="Arial Narrow" w:eastAsia="Arial Narrow" w:hAnsi="Arial Narrow" w:cs="Arial Narrow"/>
        </w:rPr>
        <w:t> opravných položiek k dlhodobému majetku na začiatku bežného účtovného obdobia</w:t>
      </w:r>
      <w:r>
        <w:rPr>
          <w:rFonts w:ascii="Arial Narrow" w:eastAsia="Arial Narrow" w:hAnsi="Arial Narrow" w:cs="Arial Narrow"/>
        </w:rPr>
        <w:t>, ich prírastky a úbytky počas bežného účtovného obdobia a zostatok na konci bežného účtovného obdobia,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</w:t>
      </w:r>
      <w:r>
        <w:rPr>
          <w:rFonts w:ascii="Arial Narrow" w:eastAsia="Arial Narrow" w:hAnsi="Arial Narrow" w:cs="Arial Narrow"/>
        </w:rPr>
        <w:tab/>
        <w:t xml:space="preserve"> Prehľad dlhodobého </w:t>
      </w:r>
      <w:r>
        <w:rPr>
          <w:rFonts w:ascii="Arial Narrow" w:eastAsia="Arial Narrow" w:hAnsi="Arial Narrow" w:cs="Arial Narrow"/>
        </w:rPr>
        <w:t>majetku, na ktorý je zriadené záložné právo a dlhodobého majetku, pri ktorom má účtovná jednotka obmedzené právo s ním nakladať.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</w:t>
      </w:r>
      <w:r>
        <w:rPr>
          <w:rFonts w:ascii="Arial Narrow" w:eastAsia="Arial Narrow" w:hAnsi="Arial Narrow" w:cs="Arial Narrow"/>
        </w:rPr>
        <w:tab/>
        <w:t xml:space="preserve"> Údaje o spôsobe a výške poistenia dlhodobého nehmotného majetku a dlhodobého hmotného majetku.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</w:t>
      </w:r>
      <w:r>
        <w:rPr>
          <w:rFonts w:ascii="Arial Narrow" w:eastAsia="Arial Narrow" w:hAnsi="Arial Narrow" w:cs="Arial Narrow"/>
        </w:rPr>
        <w:tab/>
        <w:t xml:space="preserve"> Údaje o </w:t>
      </w:r>
      <w:r>
        <w:rPr>
          <w:rFonts w:ascii="Arial" w:eastAsia="Arial" w:hAnsi="Arial" w:cs="Arial"/>
        </w:rPr>
        <w:t>š</w:t>
      </w:r>
      <w:r>
        <w:rPr>
          <w:rFonts w:ascii="Times New Roman" w:eastAsia="Times New Roman" w:hAnsi="Times New Roman" w:cs="Times New Roman"/>
        </w:rPr>
        <w:t>truktúre dlho</w:t>
      </w:r>
      <w:r>
        <w:rPr>
          <w:rFonts w:ascii="Times New Roman" w:eastAsia="Times New Roman" w:hAnsi="Times New Roman" w:cs="Times New Roman"/>
        </w:rPr>
        <w:t xml:space="preserve">dobého finančného majetku za </w:t>
      </w:r>
      <w:r>
        <w:rPr>
          <w:rFonts w:ascii="Arial Narrow" w:eastAsia="Arial Narrow" w:hAnsi="Arial Narrow" w:cs="Arial Narrow"/>
        </w:rPr>
        <w:t>bežné účtovné obdobie a jeho umiestnenie 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podľa položiek súvahy a o</w:t>
      </w:r>
      <w:r>
        <w:rPr>
          <w:rFonts w:ascii="Arial Narrow" w:eastAsia="Arial Narrow" w:hAnsi="Arial Narrow" w:cs="Arial Narrow"/>
        </w:rPr>
        <w:t> zmenách, ktoré sa uskutočnili v priebehu bežného účtovného obdobia v jednotlivých položkách dlhodobého  finančného  majetku.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</w:t>
      </w:r>
      <w:r>
        <w:rPr>
          <w:rFonts w:ascii="Arial Narrow" w:eastAsia="Arial Narrow" w:hAnsi="Arial Narrow" w:cs="Arial Narrow"/>
        </w:rPr>
        <w:tab/>
        <w:t xml:space="preserve"> Informácia o výške t</w:t>
      </w:r>
      <w:r>
        <w:rPr>
          <w:rFonts w:ascii="Arial Narrow" w:eastAsia="Arial Narrow" w:hAnsi="Arial Narrow" w:cs="Arial Narrow"/>
        </w:rPr>
        <w:t>vorby, zníženia a zúčtovania opravných položiek k dlhodobému finančnému majetku a opis dôvodu ich tvorby, zníženia a zúčtovania.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</w:t>
      </w:r>
      <w:r>
        <w:rPr>
          <w:rFonts w:ascii="Arial Narrow" w:eastAsia="Arial Narrow" w:hAnsi="Arial Narrow" w:cs="Arial Narrow"/>
        </w:rPr>
        <w:t>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(7)</w:t>
      </w:r>
      <w:r>
        <w:rPr>
          <w:rFonts w:ascii="Arial Narrow" w:eastAsia="Arial Narrow" w:hAnsi="Arial Narrow" w:cs="Arial Narrow"/>
        </w:rPr>
        <w:tab/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</w:t>
      </w:r>
      <w:r>
        <w:rPr>
          <w:rFonts w:ascii="Arial Narrow" w:eastAsia="Arial Narrow" w:hAnsi="Arial Narrow" w:cs="Arial Narrow"/>
        </w:rPr>
        <w:t>tvorby, zníženia alebo zúčtovania opravných položiek k zásobám.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</w:t>
      </w:r>
      <w:r>
        <w:rPr>
          <w:rFonts w:ascii="Arial Narrow" w:eastAsia="Arial Narrow" w:hAnsi="Arial Narrow" w:cs="Arial Narrow"/>
        </w:rPr>
        <w:tab/>
        <w:t xml:space="preserve"> Opis významných pohľadávok v nadväznosti na položky súvahy a 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 xml:space="preserve">lenení na pohľadávky za </w:t>
      </w:r>
      <w:r>
        <w:rPr>
          <w:rFonts w:ascii="Arial Narrow" w:eastAsia="Arial Narrow" w:hAnsi="Arial Narrow" w:cs="Arial Narrow"/>
        </w:rPr>
        <w:t>hlavnú nezdaňovanú  činnosť,  zdaňovanú činnosť a podnikateľskú činnosť.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(9)</w:t>
      </w:r>
      <w:r>
        <w:rPr>
          <w:rFonts w:ascii="Arial Narrow" w:eastAsia="Arial Narrow" w:hAnsi="Arial Narrow" w:cs="Arial Narrow"/>
        </w:rPr>
        <w:tab/>
        <w:t xml:space="preserve"> Prehľad  opravných po</w:t>
      </w:r>
      <w:r>
        <w:rPr>
          <w:rFonts w:ascii="Arial Narrow" w:eastAsia="Arial Narrow" w:hAnsi="Arial Narrow" w:cs="Arial Narrow"/>
        </w:rPr>
        <w:t>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</w:t>
      </w:r>
      <w:r>
        <w:rPr>
          <w:rFonts w:ascii="Arial Narrow" w:eastAsia="Arial Narrow" w:hAnsi="Arial Narrow" w:cs="Arial Narrow"/>
        </w:rPr>
        <w:t>vania opravných položiek k pohľadávkam.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(10)</w:t>
      </w:r>
      <w:r>
        <w:rPr>
          <w:rFonts w:ascii="Arial Narrow" w:eastAsia="Arial Narrow" w:hAnsi="Arial Narrow" w:cs="Arial Narrow"/>
        </w:rPr>
        <w:tab/>
        <w:t xml:space="preserve"> Prehľad  pohľadávok do lehoty splatnosti a po lehote splatnosti.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(11)</w:t>
      </w:r>
      <w:r>
        <w:rPr>
          <w:rFonts w:ascii="Arial Narrow" w:eastAsia="Arial Narrow" w:hAnsi="Arial Narrow" w:cs="Arial Narrow"/>
        </w:rPr>
        <w:tab/>
        <w:t xml:space="preserve"> Prehľad významných položiek časového rozlíšenia nákladov budúcich období a príjmov budúcich období.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(12)</w:t>
      </w:r>
      <w:r>
        <w:rPr>
          <w:rFonts w:ascii="Arial Narrow" w:eastAsia="Arial Narrow" w:hAnsi="Arial Narrow" w:cs="Arial Narrow"/>
        </w:rPr>
        <w:tab/>
        <w:t xml:space="preserve"> Opis a výška zmien vlastných zdro</w:t>
      </w:r>
      <w:r>
        <w:rPr>
          <w:rFonts w:ascii="Arial Narrow" w:eastAsia="Arial Narrow" w:hAnsi="Arial Narrow" w:cs="Arial Narrow"/>
        </w:rPr>
        <w:t xml:space="preserve">jov krytia neobežného majetku a obežného majetku podľa položiek súvahy za bežné účtovné obdobie, a to 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</w:t>
      </w:r>
      <w:r>
        <w:rPr>
          <w:rFonts w:ascii="Arial Narrow" w:eastAsia="Arial Narrow" w:hAnsi="Arial Narrow" w:cs="Arial Narrow"/>
        </w:rPr>
        <w:t>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ED58BB" w:rsidRDefault="00A2200B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(13)</w:t>
      </w:r>
      <w:r>
        <w:rPr>
          <w:rFonts w:ascii="Arial Narrow" w:eastAsia="Arial Narrow" w:hAnsi="Arial Narrow" w:cs="Arial Narrow"/>
        </w:rPr>
        <w:tab/>
        <w:t xml:space="preserve"> Informácia o rozdelení účtovného zisku alebo </w:t>
      </w:r>
      <w:proofErr w:type="spellStart"/>
      <w:r>
        <w:rPr>
          <w:rFonts w:ascii="Arial Narrow" w:eastAsia="Arial Narrow" w:hAnsi="Arial Narrow" w:cs="Arial Narrow"/>
        </w:rPr>
        <w:t>vysporiadaní</w:t>
      </w:r>
      <w:proofErr w:type="spellEnd"/>
      <w:r>
        <w:rPr>
          <w:rFonts w:ascii="Arial Narrow" w:eastAsia="Arial Narrow" w:hAnsi="Arial Narrow" w:cs="Arial Narrow"/>
        </w:rPr>
        <w:t xml:space="preserve"> účtovne</w:t>
      </w:r>
      <w:r>
        <w:rPr>
          <w:rFonts w:ascii="Arial Narrow" w:eastAsia="Arial Narrow" w:hAnsi="Arial Narrow" w:cs="Arial Narrow"/>
        </w:rPr>
        <w:t>j straty vykázanej v minulých účtovných obdobiach.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(14)</w:t>
      </w:r>
      <w:r>
        <w:rPr>
          <w:rFonts w:ascii="Arial Narrow" w:eastAsia="Arial Narrow" w:hAnsi="Arial Narrow" w:cs="Arial Narrow"/>
        </w:rPr>
        <w:tab/>
        <w:t xml:space="preserve"> Opis a výška cudzích zdrojov, a to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údaje o jednotlivých druhoch rezerv, ktoré tvorí účtovná jednotka; uvádza sa stav rezerv na začiatku bežného účtovného obdobia, ich tvorba, zníženie, použitie al</w:t>
      </w:r>
      <w:r>
        <w:rPr>
          <w:rFonts w:ascii="Arial Narrow" w:eastAsia="Arial Narrow" w:hAnsi="Arial Narrow" w:cs="Arial Narrow"/>
        </w:rPr>
        <w:t>ebo zrušenie počas bežného účtovného obdobia a zostatok rezervy na konci bežného účtovného obdobia, pričom sa uvedie predpokladaný rok použitia rezervy,</w:t>
      </w:r>
    </w:p>
    <w:p w:rsidR="00ED58BB" w:rsidRDefault="00A2200B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</w:t>
      </w:r>
      <w:r>
        <w:rPr>
          <w:rFonts w:ascii="Arial Narrow" w:eastAsia="Arial Narrow" w:hAnsi="Arial Narrow" w:cs="Arial Narrow"/>
        </w:rPr>
        <w:t>čný stav, prírastky, úbytky a konečný zostatok podľa jednotlivých druhov  záväzkov,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d) prehľad o výške záväzkov podľa zostatkovej doby splatnosti v členení podľa položiek súvahy 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</w:t>
      </w:r>
      <w:r>
        <w:rPr>
          <w:rFonts w:ascii="Arial Narrow" w:eastAsia="Arial Narrow" w:hAnsi="Arial Narrow" w:cs="Arial Narrow"/>
        </w:rPr>
        <w:t xml:space="preserve"> do jedného roka vrátane,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erpanie sociálneho fondu počas účtovného obdobia a</w:t>
      </w:r>
      <w:r>
        <w:rPr>
          <w:rFonts w:ascii="Arial Narrow" w:eastAsia="Arial Narrow" w:hAnsi="Arial Narrow" w:cs="Arial Narrow"/>
        </w:rPr>
        <w:t xml:space="preserve"> zostatok na konci účtovného </w:t>
      </w:r>
      <w:r>
        <w:rPr>
          <w:rFonts w:ascii="Arial Narrow" w:eastAsia="Arial Narrow" w:hAnsi="Arial Narrow" w:cs="Arial Narrow"/>
        </w:rPr>
        <w:t>obdobia,</w:t>
      </w:r>
    </w:p>
    <w:p w:rsidR="00ED58BB" w:rsidRDefault="00A2200B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</w:t>
      </w:r>
      <w:r>
        <w:rPr>
          <w:rFonts w:ascii="Arial Narrow" w:eastAsia="Arial Narrow" w:hAnsi="Arial Narrow" w:cs="Arial Narrow"/>
        </w:rPr>
        <w:t>rmy zabezpečenia,</w:t>
      </w:r>
    </w:p>
    <w:p w:rsidR="00ED58BB" w:rsidRDefault="00A2200B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(15)</w:t>
      </w:r>
      <w:r>
        <w:rPr>
          <w:rFonts w:ascii="Arial Narrow" w:eastAsia="Arial Narrow" w:hAnsi="Arial Narrow" w:cs="Arial Narrow"/>
        </w:rPr>
        <w:tab/>
        <w:t xml:space="preserve"> Prehľad o významných položkách výnosov budúcich období 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najmä na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</w:t>
      </w:r>
      <w:r>
        <w:rPr>
          <w:rFonts w:ascii="Arial Narrow" w:eastAsia="Arial Narrow" w:hAnsi="Arial Narrow" w:cs="Arial Narrow"/>
        </w:rPr>
        <w:t>ovú hodnotu dlhodobého majetku obstaraného z dotácie,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</w:t>
      </w:r>
      <w:r>
        <w:rPr>
          <w:rFonts w:ascii="Arial Narrow" w:eastAsia="Arial Narrow" w:hAnsi="Arial Narrow" w:cs="Arial Narrow"/>
          <w:b/>
        </w:rPr>
        <w:t>) zostatok nepoužitého peňažného plnenia na základe zmluvy o sponzorstve v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porte (ďalej len „sponzorské“),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g) zostatková hodnota dlhodobého majetku obstaraného zo sponzorského</w:t>
      </w:r>
      <w:r>
        <w:rPr>
          <w:rFonts w:ascii="Arial Narrow" w:eastAsia="Arial Narrow" w:hAnsi="Arial Narrow" w:cs="Arial Narrow"/>
        </w:rPr>
        <w:t>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(16)</w:t>
      </w:r>
      <w:r>
        <w:rPr>
          <w:rFonts w:ascii="Arial Narrow" w:eastAsia="Arial Narrow" w:hAnsi="Arial Narrow" w:cs="Arial Narrow"/>
        </w:rPr>
        <w:tab/>
        <w:t xml:space="preserve"> Údaje o majetku prenajatom formou finančného prenájmu, a to</w:t>
      </w:r>
    </w:p>
    <w:p w:rsidR="00ED58BB" w:rsidRDefault="00A2200B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</w:t>
      </w:r>
      <w:r>
        <w:rPr>
          <w:rFonts w:ascii="Arial Narrow" w:eastAsia="Arial Narrow" w:hAnsi="Arial Narrow" w:cs="Arial Narrow"/>
        </w:rPr>
        <w:t>uma dohodnutých platieb ku dňu, ku ktorému sa zostavuje účtovná závierka, 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na istinu a</w:t>
      </w:r>
      <w:r>
        <w:rPr>
          <w:rFonts w:ascii="Arial Narrow" w:eastAsia="Arial Narrow" w:hAnsi="Arial Narrow" w:cs="Arial Narrow"/>
        </w:rPr>
        <w:t> finančný náklad,</w:t>
      </w:r>
    </w:p>
    <w:p w:rsidR="00ED58BB" w:rsidRDefault="00A2200B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:rsidR="00ED58BB" w:rsidRDefault="00A2200B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:rsidR="00ED58BB" w:rsidRDefault="00A2200B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     3. v</w:t>
      </w:r>
      <w:r>
        <w:rPr>
          <w:rFonts w:ascii="Arial Narrow" w:eastAsia="Arial Narrow" w:hAnsi="Arial Narrow" w:cs="Arial Narrow"/>
        </w:rPr>
        <w:t>iac ako päť rokov.</w:t>
      </w: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l. </w:t>
      </w:r>
      <w:r>
        <w:rPr>
          <w:rFonts w:ascii="Arial Narrow" w:eastAsia="Arial Narrow" w:hAnsi="Arial Narrow" w:cs="Arial Narrow"/>
          <w:b/>
        </w:rPr>
        <w:t>IV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 vyčíslenie hodnoty významných polož</w:t>
      </w:r>
      <w:r>
        <w:rPr>
          <w:rFonts w:ascii="Arial Narrow" w:eastAsia="Arial Narrow" w:hAnsi="Arial Narrow" w:cs="Arial Narrow"/>
        </w:rPr>
        <w:t xml:space="preserve">iek prijatých darov, osobitných výnosov, zákonných poplatkov a iných ostatných výnosov.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Opis a suma významných položiek finančných výnosov; uvádza sa </w:t>
      </w:r>
      <w:r>
        <w:rPr>
          <w:rFonts w:ascii="Arial Narrow" w:eastAsia="Arial Narrow" w:hAnsi="Arial Narrow" w:cs="Arial Narrow"/>
        </w:rPr>
        <w:t>aj celková suma kurzových ziskov, pričom  osobitne sa uvádza hodnota kurzových ziskov účtovaná ku dňu, ku ktorému sa zostavuje účtovná závierka.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Opis a vyčíslenie hodnoty významných položiek nákladov, nákladov na ostatné služby, osobitných nákladov a i</w:t>
      </w:r>
      <w:r>
        <w:rPr>
          <w:rFonts w:ascii="Arial Narrow" w:eastAsia="Arial Narrow" w:hAnsi="Arial Narrow" w:cs="Arial Narrow"/>
        </w:rPr>
        <w:t xml:space="preserve">ných ostatných nákladov.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el</w:t>
      </w:r>
      <w:r>
        <w:rPr>
          <w:rFonts w:ascii="Arial Narrow" w:eastAsia="Arial Narrow" w:hAnsi="Arial Narrow" w:cs="Arial Narrow"/>
        </w:rPr>
        <w:t>e a výške použitia podielu zaplatenej dane za bežné účtovné obdobie.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</w:t>
      </w:r>
      <w:r>
        <w:rPr>
          <w:rFonts w:ascii="Arial Narrow" w:eastAsia="Arial Narrow" w:hAnsi="Arial Narrow" w:cs="Arial Narrow"/>
        </w:rPr>
        <w:t xml:space="preserve"> strát účtovaná ku dňu, ku ktorému sa zostavuje účtovná závierka.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tovn</w:t>
      </w:r>
      <w:r>
        <w:rPr>
          <w:rFonts w:ascii="Arial Narrow" w:eastAsia="Arial Narrow" w:hAnsi="Arial Narrow" w:cs="Arial Narrow"/>
        </w:rPr>
        <w:t>ej jednotke, ktorá má povinnosť overenia účtovnej závierky audítorom, sa uvedie vymedzenie a suma nákladov za účtovné obdobie v </w:t>
      </w:r>
      <w:r>
        <w:rPr>
          <w:rFonts w:ascii="Arial" w:eastAsia="Arial" w:hAnsi="Arial" w:cs="Arial"/>
        </w:rPr>
        <w:t>č</w:t>
      </w:r>
      <w:r>
        <w:rPr>
          <w:rFonts w:ascii="Times New Roman" w:eastAsia="Times New Roman" w:hAnsi="Times New Roman" w:cs="Times New Roman"/>
        </w:rPr>
        <w:t>lenení na náklady za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</w:t>
      </w:r>
      <w:r>
        <w:rPr>
          <w:rFonts w:ascii="Arial Narrow" w:eastAsia="Arial Narrow" w:hAnsi="Arial Narrow" w:cs="Arial Narrow"/>
        </w:rPr>
        <w:t>y,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</w:t>
      </w:r>
      <w:proofErr w:type="spellStart"/>
      <w:r>
        <w:rPr>
          <w:rFonts w:ascii="Arial Narrow" w:eastAsia="Arial Narrow" w:hAnsi="Arial Narrow" w:cs="Arial Narrow"/>
        </w:rPr>
        <w:t>uisťovacie</w:t>
      </w:r>
      <w:proofErr w:type="spellEnd"/>
      <w:r>
        <w:rPr>
          <w:rFonts w:ascii="Arial Narrow" w:eastAsia="Arial Narrow" w:hAnsi="Arial Narrow" w:cs="Arial Narrow"/>
        </w:rPr>
        <w:t xml:space="preserve"> audítorské služby okrem  overenia účtovnej závierky,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daňové poradenstvo,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ostatné neaudítorské služby.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 V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 xml:space="preserve">l. </w:t>
      </w:r>
      <w:r>
        <w:rPr>
          <w:rFonts w:ascii="Arial Narrow" w:eastAsia="Arial Narrow" w:hAnsi="Arial Narrow" w:cs="Arial Narrow"/>
          <w:b/>
        </w:rPr>
        <w:t>VI</w:t>
      </w:r>
    </w:p>
    <w:p w:rsidR="00ED58BB" w:rsidRDefault="00A2200B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" w:eastAsia="Arial" w:hAnsi="Arial" w:cs="Arial"/>
          <w:b/>
        </w:rPr>
        <w:t>Ď</w:t>
      </w:r>
      <w:r>
        <w:rPr>
          <w:rFonts w:ascii="Times New Roman" w:eastAsia="Times New Roman" w:hAnsi="Times New Roman" w:cs="Times New Roman"/>
          <w:b/>
        </w:rPr>
        <w:t>alšie informácie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</w:t>
      </w:r>
      <w:r>
        <w:rPr>
          <w:rFonts w:ascii="Arial Narrow" w:eastAsia="Arial Narrow" w:hAnsi="Arial Narrow" w:cs="Arial Narrow"/>
        </w:rPr>
        <w:t>ého existencia alebo vlastníctvo závisí od toho, či nastane alebo nenastane jedna alebo viac neistých udalostí v budúcnosti, ktorých vznik nezávisí od účtovnej jednotky; týmito inými aktívami sú napríklad práva zo servisných zmlúv, poistných zmlúv, koncesi</w:t>
      </w:r>
      <w:r>
        <w:rPr>
          <w:rFonts w:ascii="Arial Narrow" w:eastAsia="Arial Narrow" w:hAnsi="Arial Narrow" w:cs="Arial Narrow"/>
        </w:rPr>
        <w:t>onárskych zmlúv, licenčných zmlúv, práva z investovania prostriedkov získaných oslobodením od dane z príjmov.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</w:t>
      </w:r>
      <w:r>
        <w:rPr>
          <w:rFonts w:ascii="Arial Narrow" w:eastAsia="Arial Narrow" w:hAnsi="Arial Narrow" w:cs="Arial Narrow"/>
        </w:rPr>
        <w:t>ľa jednotlivých druhov ručenia;  takýmito inými pasívami sú: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</w:t>
      </w:r>
      <w:r>
        <w:rPr>
          <w:rFonts w:ascii="Arial Narrow" w:eastAsia="Arial Narrow" w:hAnsi="Arial Narrow" w:cs="Arial Narrow"/>
        </w:rPr>
        <w:t>isí od účtovnej jednotky, alebo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</w:t>
      </w:r>
      <w:r>
        <w:rPr>
          <w:rFonts w:ascii="Arial Narrow" w:eastAsia="Arial Narrow" w:hAnsi="Arial Narrow" w:cs="Arial Narrow"/>
        </w:rPr>
        <w:t>ti sa nedá spoľahlivo oceniť.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a) povinnosť z de</w:t>
      </w:r>
      <w:r>
        <w:rPr>
          <w:rFonts w:ascii="Arial Narrow" w:eastAsia="Arial Narrow" w:hAnsi="Arial Narrow" w:cs="Arial Narrow"/>
        </w:rPr>
        <w:t>vízových termínovaných obchodov a iných finančných derivátov,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</w:t>
      </w:r>
      <w:r>
        <w:rPr>
          <w:rFonts w:ascii="Arial Narrow" w:eastAsia="Arial Narrow" w:hAnsi="Arial Narrow" w:cs="Arial Narrow"/>
        </w:rPr>
        <w:t>vých, nájomných, servisných, poistných, koncesionárskych, licenčných zmlúv a podobných zmlúv,</w:t>
      </w:r>
    </w:p>
    <w:p w:rsidR="00ED58BB" w:rsidRDefault="00A2200B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</w:t>
      </w:r>
      <w:r>
        <w:rPr>
          <w:rFonts w:ascii="Arial Narrow" w:eastAsia="Arial Narrow" w:hAnsi="Arial Narrow" w:cs="Arial Narrow"/>
        </w:rPr>
        <w:t>iach, ktoré nastali medzi dňom, ku ktorému sa zostavuje účtovná závierka a dňom jej zostavenia.</w:t>
      </w: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 ods.  4 o počte zamestnancov a dobrovoľníkov</w:t>
      </w:r>
    </w:p>
    <w:tbl>
      <w:tblPr>
        <w:tblW w:w="0" w:type="auto"/>
        <w:tblInd w:w="142" w:type="dxa"/>
        <w:tblCellMar>
          <w:left w:w="10" w:type="dxa"/>
          <w:right w:w="10" w:type="dxa"/>
        </w:tblCellMar>
        <w:tblLook w:val="0000"/>
      </w:tblPr>
      <w:tblGrid>
        <w:gridCol w:w="4465"/>
        <w:gridCol w:w="2196"/>
        <w:gridCol w:w="2409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49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96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</w:tbl>
    <w:p w:rsidR="00ED58BB" w:rsidRDefault="00ED58BB">
      <w:pPr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 o stave a pohybe dlhodobého nehmotného majetku a dlhodobého hmotného majetku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199"/>
        <w:gridCol w:w="1269"/>
        <w:gridCol w:w="941"/>
        <w:gridCol w:w="1209"/>
        <w:gridCol w:w="1142"/>
        <w:gridCol w:w="1327"/>
        <w:gridCol w:w="1235"/>
        <w:gridCol w:w="840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Oceniteľné práva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Obstaranie dlhodobého </w:t>
            </w:r>
            <w:r>
              <w:rPr>
                <w:rFonts w:ascii="Arial Narrow" w:eastAsia="Arial Narrow" w:hAnsi="Arial Narrow" w:cs="Arial Narrow"/>
                <w:b/>
              </w:rPr>
              <w:t>nehmotného majetku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  <w:r>
              <w:rPr>
                <w:rFonts w:ascii="Arial Narrow" w:eastAsia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presuny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Oprávky – </w:t>
            </w:r>
            <w:r>
              <w:rPr>
                <w:rFonts w:ascii="Arial Narrow" w:eastAsia="Arial Narrow" w:hAnsi="Arial Narrow" w:cs="Arial Narrow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  <w:r>
              <w:rPr>
                <w:rFonts w:ascii="Arial Narrow" w:eastAsia="Arial Narrow" w:hAnsi="Arial Narrow" w:cs="Arial Narrow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5474" w:type="dxa"/>
            <w:gridSpan w:val="8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23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737"/>
        <w:gridCol w:w="703"/>
        <w:gridCol w:w="746"/>
        <w:gridCol w:w="565"/>
        <w:gridCol w:w="875"/>
        <w:gridCol w:w="846"/>
        <w:gridCol w:w="1019"/>
        <w:gridCol w:w="703"/>
        <w:gridCol w:w="746"/>
        <w:gridCol w:w="882"/>
        <w:gridCol w:w="839"/>
        <w:gridCol w:w="501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Umelecké diela a zbierky</w:t>
            </w: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Samostatné hnuteľné veci a súbor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y hnuteľných vecí</w:t>
            </w: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Dopravné prostriedky</w:t>
            </w: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Times New Roman" w:eastAsia="Times New Roman" w:hAnsi="Times New Roman" w:cs="Times New Roman"/>
                <w:b/>
              </w:rPr>
              <w:t xml:space="preserve">ažné </w:t>
            </w: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zvieratá</w:t>
            </w: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Drobný a ostatný dlhodo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bý hmotný majetok</w:t>
            </w: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Obstaranie dlhodobého hmotné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ho majetku</w:t>
            </w: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Poskytnuté preddavky na dlhodo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bý hm</w:t>
            </w:r>
            <w:r>
              <w:rPr>
                <w:rFonts w:ascii="Arial Narrow" w:eastAsia="Arial Narrow" w:hAnsi="Arial Narrow" w:cs="Arial Narrow"/>
                <w:b/>
              </w:rPr>
              <w:t>otný majetok</w:t>
            </w: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Spolu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Prvotné ocenenie</w:t>
            </w:r>
            <w:r>
              <w:rPr>
                <w:rFonts w:ascii="Arial Narrow" w:eastAsia="Arial Narrow" w:hAnsi="Arial Narrow" w:cs="Arial Narrow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1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Oprávky – </w:t>
            </w:r>
            <w:r>
              <w:rPr>
                <w:rFonts w:ascii="Arial Narrow" w:eastAsia="Arial Narrow" w:hAnsi="Arial Narrow" w:cs="Arial Narrow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26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39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Stav na konci bežného účtovného </w:t>
            </w:r>
            <w:r>
              <w:rPr>
                <w:rFonts w:ascii="Arial Narrow" w:eastAsia="Arial Narrow" w:hAnsi="Arial Narrow" w:cs="Arial Narrow"/>
              </w:rPr>
              <w:lastRenderedPageBreak/>
              <w:t>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Opravné položky</w:t>
            </w:r>
            <w:r>
              <w:rPr>
                <w:rFonts w:ascii="Arial Narrow" w:eastAsia="Arial Narrow" w:hAnsi="Arial Narrow" w:cs="Arial Narrow"/>
              </w:rPr>
              <w:t xml:space="preserve"> – stav na za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Times New Roman" w:eastAsia="Times New Roman" w:hAnsi="Times New Roman" w:cs="Times New Roman"/>
              </w:rPr>
              <w:t xml:space="preserve">iatku bežného </w:t>
            </w:r>
            <w:r>
              <w:rPr>
                <w:rFonts w:ascii="Arial Narrow" w:eastAsia="Arial Narrow" w:hAnsi="Arial Narrow" w:cs="Arial Narrow"/>
              </w:rPr>
              <w:t>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09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7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5685" w:type="dxa"/>
            <w:gridSpan w:val="1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Zostatková hodnota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19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3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43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2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4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2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4 a 5  o </w:t>
      </w:r>
      <w:r>
        <w:rPr>
          <w:rFonts w:ascii="Arial" w:eastAsia="Arial" w:hAnsi="Arial" w:cs="Arial"/>
          <w:b/>
        </w:rPr>
        <w:t>š</w:t>
      </w:r>
      <w:r>
        <w:rPr>
          <w:rFonts w:ascii="Times New Roman" w:eastAsia="Times New Roman" w:hAnsi="Times New Roman" w:cs="Times New Roman"/>
          <w:b/>
        </w:rPr>
        <w:t>truktúre a o</w:t>
      </w:r>
      <w:r>
        <w:rPr>
          <w:rFonts w:ascii="Arial Narrow" w:eastAsia="Arial Narrow" w:hAnsi="Arial Narrow" w:cs="Arial Narrow"/>
          <w:b/>
        </w:rPr>
        <w:t> zmenách jednotlivých polo</w:t>
      </w:r>
      <w:r>
        <w:rPr>
          <w:rFonts w:ascii="Arial" w:eastAsia="Arial" w:hAnsi="Arial" w:cs="Arial"/>
          <w:b/>
        </w:rPr>
        <w:t>ž</w:t>
      </w:r>
      <w:r>
        <w:rPr>
          <w:rFonts w:ascii="Times New Roman" w:eastAsia="Times New Roman" w:hAnsi="Times New Roman" w:cs="Times New Roman"/>
          <w:b/>
        </w:rPr>
        <w:t>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419"/>
        <w:gridCol w:w="1082"/>
        <w:gridCol w:w="1270"/>
        <w:gridCol w:w="904"/>
        <w:gridCol w:w="933"/>
        <w:gridCol w:w="863"/>
        <w:gridCol w:w="1082"/>
        <w:gridCol w:w="1022"/>
        <w:gridCol w:w="557"/>
      </w:tblGrid>
      <w:tr w:rsidR="00ED58B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Poskytnuté pred</w:t>
            </w:r>
            <w:r>
              <w:rPr>
                <w:rFonts w:ascii="Arial Narrow" w:eastAsia="Arial Narrow" w:hAnsi="Arial Narrow" w:cs="Arial Narrow"/>
                <w:b/>
              </w:rPr>
              <w:t>davky na dlhodobý finančný  majetok</w:t>
            </w: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53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4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30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99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30" w:type="dxa"/>
              <w:right w:w="30" w:type="dxa"/>
            </w:tcMar>
            <w:vAlign w:val="center"/>
          </w:tcPr>
          <w:p w:rsidR="00ED58BB" w:rsidRDefault="00ED58BB">
            <w:pPr>
              <w:spacing w:after="12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 III ods. 4 o</w:t>
      </w:r>
      <w:r>
        <w:rPr>
          <w:rFonts w:ascii="Arial Narrow" w:eastAsia="Arial Narrow" w:hAnsi="Arial Narrow" w:cs="Arial Narrow"/>
          <w:b/>
        </w:rPr>
        <w:t> </w:t>
      </w:r>
      <w:r>
        <w:rPr>
          <w:rFonts w:ascii="Arial" w:eastAsia="Arial" w:hAnsi="Arial" w:cs="Arial"/>
          <w:b/>
        </w:rPr>
        <w:t xml:space="preserve">štruktúre dlhodobého finančného majetku </w:t>
      </w:r>
    </w:p>
    <w:tbl>
      <w:tblPr>
        <w:tblW w:w="0" w:type="auto"/>
        <w:tblInd w:w="88" w:type="dxa"/>
        <w:tblCellMar>
          <w:left w:w="10" w:type="dxa"/>
          <w:right w:w="10" w:type="dxa"/>
        </w:tblCellMar>
        <w:tblLook w:val="0000"/>
      </w:tblPr>
      <w:tblGrid>
        <w:gridCol w:w="1193"/>
        <w:gridCol w:w="1115"/>
        <w:gridCol w:w="1212"/>
        <w:gridCol w:w="1096"/>
        <w:gridCol w:w="1744"/>
        <w:gridCol w:w="1096"/>
        <w:gridCol w:w="1744"/>
      </w:tblGrid>
      <w:tr w:rsidR="00ED58BB">
        <w:tblPrEx>
          <w:tblCellMar>
            <w:top w:w="0" w:type="dxa"/>
            <w:bottom w:w="0" w:type="dxa"/>
          </w:tblCellMar>
        </w:tblPrEx>
        <w:trPr>
          <w:trHeight w:val="399"/>
        </w:trPr>
        <w:tc>
          <w:tcPr>
            <w:tcW w:w="1630" w:type="dxa"/>
            <w:vMerge w:val="restart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(v %)</w:t>
            </w:r>
          </w:p>
        </w:tc>
        <w:tc>
          <w:tcPr>
            <w:tcW w:w="4253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1073"/>
        </w:trPr>
        <w:tc>
          <w:tcPr>
            <w:tcW w:w="1630" w:type="dxa"/>
            <w:vMerge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6" w:type="dxa"/>
            <w:vMerge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551" w:type="dxa"/>
            <w:vMerge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predchádzajúceho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bežného účtovného obdobia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bezprostredne predchádzajúceho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163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170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5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6 o polo</w:t>
      </w:r>
      <w:r>
        <w:rPr>
          <w:rFonts w:ascii="Arial" w:eastAsia="Arial" w:hAnsi="Arial" w:cs="Arial"/>
          <w:b/>
        </w:rPr>
        <w:t>žkách krátkodobého finančného majetku</w:t>
      </w: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2068"/>
        <w:gridCol w:w="2103"/>
        <w:gridCol w:w="1394"/>
        <w:gridCol w:w="1427"/>
        <w:gridCol w:w="2170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5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" w:eastAsia="Arial" w:hAnsi="Arial" w:cs="Arial"/>
          <w:b/>
          <w:sz w:val="20"/>
        </w:rPr>
      </w:pPr>
      <w:r>
        <w:rPr>
          <w:rFonts w:ascii="Arial" w:eastAsia="Arial" w:hAnsi="Arial" w:cs="Arial"/>
          <w:b/>
          <w:sz w:val="20"/>
        </w:rPr>
        <w:t>Tabuľka č. 2</w:t>
      </w:r>
    </w:p>
    <w:tbl>
      <w:tblPr>
        <w:tblW w:w="0" w:type="auto"/>
        <w:tblInd w:w="88" w:type="dxa"/>
        <w:tblCellMar>
          <w:left w:w="10" w:type="dxa"/>
          <w:right w:w="10" w:type="dxa"/>
        </w:tblCellMar>
        <w:tblLook w:val="0000"/>
      </w:tblPr>
      <w:tblGrid>
        <w:gridCol w:w="2475"/>
        <w:gridCol w:w="1728"/>
        <w:gridCol w:w="2870"/>
        <w:gridCol w:w="2127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:rsidR="00ED58BB" w:rsidRDefault="00A2200B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42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42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42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8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425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" w:eastAsia="Arial" w:hAnsi="Arial" w:cs="Arial"/>
                <w:sz w:val="16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7 o vývoji opravných položiek k zásobám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588"/>
        <w:gridCol w:w="1586"/>
        <w:gridCol w:w="1510"/>
        <w:gridCol w:w="1331"/>
        <w:gridCol w:w="1511"/>
        <w:gridCol w:w="1636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77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9  o vývoji opravných položiek k pohľadávkam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601"/>
        <w:gridCol w:w="1583"/>
        <w:gridCol w:w="1507"/>
        <w:gridCol w:w="1329"/>
        <w:gridCol w:w="1509"/>
        <w:gridCol w:w="1633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</w:t>
            </w:r>
            <w:r>
              <w:rPr>
                <w:rFonts w:ascii="Arial Narrow" w:eastAsia="Arial Narrow" w:hAnsi="Arial Narrow" w:cs="Arial Narrow"/>
                <w:b/>
              </w:rPr>
              <w:t xml:space="preserve">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99"/>
        </w:trPr>
        <w:tc>
          <w:tcPr>
            <w:tcW w:w="219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41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10  o pohľadávkach do lehoty splatnosti a po lehote splatnosti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3081"/>
        <w:gridCol w:w="2736"/>
        <w:gridCol w:w="3345"/>
      </w:tblGrid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323" w:type="dxa"/>
            <w:vMerge w:val="restart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8221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323" w:type="dxa"/>
            <w:vMerge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8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Pohľadávky po lehote splatnosti</w:t>
            </w:r>
          </w:p>
        </w:tc>
        <w:tc>
          <w:tcPr>
            <w:tcW w:w="38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4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43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886"/>
        <w:gridCol w:w="1784"/>
        <w:gridCol w:w="1320"/>
        <w:gridCol w:w="1160"/>
        <w:gridCol w:w="1282"/>
        <w:gridCol w:w="1730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5" w:type="dxa"/>
            <w:gridSpan w:val="6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4245" w:type="dxa"/>
            <w:gridSpan w:val="6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2622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83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čl.</w:t>
      </w:r>
      <w:r>
        <w:rPr>
          <w:rFonts w:ascii="Arial Narrow" w:eastAsia="Arial Narrow" w:hAnsi="Arial Narrow" w:cs="Arial Narrow"/>
          <w:b/>
        </w:rPr>
        <w:t xml:space="preserve"> III ods. 13 o rozdelení účtovného zisku alebo </w:t>
      </w:r>
      <w:proofErr w:type="spellStart"/>
      <w:r>
        <w:rPr>
          <w:rFonts w:ascii="Arial Narrow" w:eastAsia="Arial Narrow" w:hAnsi="Arial Narrow" w:cs="Arial Narrow"/>
          <w:b/>
        </w:rPr>
        <w:t>vysporiadaní</w:t>
      </w:r>
      <w:proofErr w:type="spellEnd"/>
      <w:r>
        <w:rPr>
          <w:rFonts w:ascii="Arial Narrow" w:eastAsia="Arial Narrow" w:hAnsi="Arial Narrow" w:cs="Arial Narrow"/>
          <w:b/>
        </w:rPr>
        <w:t xml:space="preserve"> účtovnej straty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5190"/>
        <w:gridCol w:w="4048"/>
      </w:tblGrid>
      <w:tr w:rsidR="00ED58BB">
        <w:tblPrEx>
          <w:tblCellMar>
            <w:top w:w="0" w:type="dxa"/>
            <w:bottom w:w="0" w:type="dxa"/>
          </w:tblCellMar>
        </w:tblPrEx>
        <w:trPr>
          <w:trHeight w:val="765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>Prídel do základného imania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11450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účtovnej straty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648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A2200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ED58BB" w:rsidRDefault="00ED58B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14 písm. a) o  tvorbe a použití rezerv</w:t>
      </w:r>
    </w:p>
    <w:tbl>
      <w:tblPr>
        <w:tblW w:w="0" w:type="auto"/>
        <w:tblInd w:w="72" w:type="dxa"/>
        <w:tblCellMar>
          <w:left w:w="10" w:type="dxa"/>
          <w:right w:w="10" w:type="dxa"/>
        </w:tblCellMar>
        <w:tblLook w:val="0000"/>
      </w:tblPr>
      <w:tblGrid>
        <w:gridCol w:w="1885"/>
        <w:gridCol w:w="1703"/>
        <w:gridCol w:w="1235"/>
        <w:gridCol w:w="1233"/>
        <w:gridCol w:w="1381"/>
        <w:gridCol w:w="1703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Jednotlivé druhy krátkodobých zákonných rezerv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89"/>
        </w:trPr>
        <w:tc>
          <w:tcPr>
            <w:tcW w:w="290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9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14 písm. c) a d) o záväzkoch</w:t>
      </w:r>
    </w:p>
    <w:tbl>
      <w:tblPr>
        <w:tblW w:w="0" w:type="auto"/>
        <w:tblInd w:w="72" w:type="dxa"/>
        <w:tblCellMar>
          <w:left w:w="10" w:type="dxa"/>
          <w:right w:w="10" w:type="dxa"/>
        </w:tblCellMar>
        <w:tblLook w:val="0000"/>
      </w:tblPr>
      <w:tblGrid>
        <w:gridCol w:w="3708"/>
        <w:gridCol w:w="2464"/>
        <w:gridCol w:w="2968"/>
      </w:tblGrid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890" w:type="dxa"/>
            <w:vMerge w:val="restart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Druh záväzkov</w:t>
            </w:r>
          </w:p>
        </w:tc>
        <w:tc>
          <w:tcPr>
            <w:tcW w:w="6662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890" w:type="dxa"/>
            <w:vMerge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47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78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489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14 písm. e) o vývoji sociálneho fondu</w:t>
      </w:r>
    </w:p>
    <w:tbl>
      <w:tblPr>
        <w:tblW w:w="0" w:type="auto"/>
        <w:tblInd w:w="72" w:type="dxa"/>
        <w:tblCellMar>
          <w:left w:w="10" w:type="dxa"/>
          <w:right w:w="10" w:type="dxa"/>
        </w:tblCellMar>
        <w:tblLook w:val="0000"/>
      </w:tblPr>
      <w:tblGrid>
        <w:gridCol w:w="3421"/>
        <w:gridCol w:w="2806"/>
        <w:gridCol w:w="2913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610"/>
        </w:trPr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 na ťarchu nákladov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279"/>
        </w:trPr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</w:pP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Times New Roman" w:eastAsia="Times New Roman" w:hAnsi="Times New Roman" w:cs="Times New Roman"/>
              </w:rPr>
              <w:t>erpanie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557"/>
        </w:trPr>
        <w:tc>
          <w:tcPr>
            <w:tcW w:w="432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54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14 písm. f) o bankových úveroch, pôžičkách a návratných finančných výpomociach</w:t>
      </w:r>
    </w:p>
    <w:tbl>
      <w:tblPr>
        <w:tblW w:w="0" w:type="auto"/>
        <w:tblInd w:w="72" w:type="dxa"/>
        <w:tblCellMar>
          <w:left w:w="10" w:type="dxa"/>
          <w:right w:w="10" w:type="dxa"/>
        </w:tblCellMar>
        <w:tblLook w:val="0000"/>
      </w:tblPr>
      <w:tblGrid>
        <w:gridCol w:w="1236"/>
        <w:gridCol w:w="738"/>
        <w:gridCol w:w="964"/>
        <w:gridCol w:w="1135"/>
        <w:gridCol w:w="1514"/>
        <w:gridCol w:w="1472"/>
        <w:gridCol w:w="2081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1"/>
        </w:trPr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771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84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155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2694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  <w:tc>
          <w:tcPr>
            <w:tcW w:w="311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15 o významných položkách výnosov budúcich období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2047"/>
        <w:gridCol w:w="2480"/>
        <w:gridCol w:w="1386"/>
        <w:gridCol w:w="1336"/>
        <w:gridCol w:w="1913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Stav na konci bezprostredne predchádzajúceho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účtovného obdobia</w:t>
            </w: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Prírastky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zostatku grantu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zostatku podielu zaplatenej dane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nepoužitého sponzorského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dlhodobého majetku obstaraného zo sponzorského</w:t>
            </w:r>
          </w:p>
        </w:tc>
        <w:tc>
          <w:tcPr>
            <w:tcW w:w="366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126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III ods. 16 o majetku prenajatom formou finančného prenájmu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1945"/>
        <w:gridCol w:w="2300"/>
        <w:gridCol w:w="1295"/>
        <w:gridCol w:w="1659"/>
        <w:gridCol w:w="1963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A2200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</w:tcPr>
          <w:p w:rsidR="00ED58BB" w:rsidRDefault="00ED58BB">
            <w:pPr>
              <w:spacing w:after="120" w:line="240" w:lineRule="auto"/>
              <w:jc w:val="both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693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IV  ods. 6 o účele a výške použitia podielu zaplatenej dane    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4128"/>
        <w:gridCol w:w="2862"/>
        <w:gridCol w:w="2172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715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Použitá suma z bezprostredne predchádzajúceho účtovného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Použitá suma bežného účtovného obdobia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7158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969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11127" w:type="dxa"/>
            <w:gridSpan w:val="2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:rsidR="00ED58BB" w:rsidRDefault="00A2200B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Vzorová tabuľka k </w:t>
      </w:r>
      <w:r>
        <w:rPr>
          <w:rFonts w:ascii="Arial" w:eastAsia="Arial" w:hAnsi="Arial" w:cs="Arial"/>
          <w:b/>
        </w:rPr>
        <w:t>č</w:t>
      </w:r>
      <w:r>
        <w:rPr>
          <w:rFonts w:ascii="Times New Roman" w:eastAsia="Times New Roman" w:hAnsi="Times New Roman" w:cs="Times New Roman"/>
          <w:b/>
        </w:rPr>
        <w:t>l.</w:t>
      </w:r>
      <w:r>
        <w:rPr>
          <w:rFonts w:ascii="Arial Narrow" w:eastAsia="Arial Narrow" w:hAnsi="Arial Narrow" w:cs="Arial Narrow"/>
          <w:b/>
        </w:rPr>
        <w:t xml:space="preserve"> IV  ods. 8 o nákladoch vynaložených v súvislosti s auditom účtovnej závierky</w:t>
      </w:r>
    </w:p>
    <w:tbl>
      <w:tblPr>
        <w:tblW w:w="0" w:type="auto"/>
        <w:tblInd w:w="50" w:type="dxa"/>
        <w:tblCellMar>
          <w:left w:w="10" w:type="dxa"/>
          <w:right w:w="10" w:type="dxa"/>
        </w:tblCellMar>
        <w:tblLook w:val="0000"/>
      </w:tblPr>
      <w:tblGrid>
        <w:gridCol w:w="6223"/>
        <w:gridCol w:w="2939"/>
      </w:tblGrid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</w:rPr>
            </w:pPr>
          </w:p>
        </w:tc>
      </w:tr>
      <w:tr w:rsidR="00ED58BB">
        <w:tblPrEx>
          <w:tblCellMar>
            <w:top w:w="0" w:type="dxa"/>
            <w:bottom w:w="0" w:type="dxa"/>
          </w:tblCellMar>
        </w:tblPrEx>
        <w:tc>
          <w:tcPr>
            <w:tcW w:w="630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A2200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5" w:space="0" w:color="836967"/>
              <w:left w:val="single" w:sz="5" w:space="0" w:color="836967"/>
              <w:bottom w:val="single" w:sz="5" w:space="0" w:color="836967"/>
              <w:right w:val="single" w:sz="5" w:space="0" w:color="836967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ED58BB" w:rsidRDefault="00ED58BB">
            <w:pPr>
              <w:spacing w:after="120" w:line="240" w:lineRule="auto"/>
              <w:rPr>
                <w:rFonts w:ascii="Arial Narrow" w:eastAsia="Arial Narrow" w:hAnsi="Arial Narrow" w:cs="Arial Narrow"/>
                <w:b/>
              </w:rPr>
            </w:pPr>
          </w:p>
        </w:tc>
      </w:tr>
    </w:tbl>
    <w:p w:rsidR="00ED58BB" w:rsidRDefault="00ED58BB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ED58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>
    <w:useFELayout/>
  </w:compat>
  <w:rsids>
    <w:rsidRoot w:val="00ED58BB"/>
    <w:rsid w:val="00A2200B"/>
    <w:rsid w:val="00ED58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3428</Words>
  <Characters>19542</Characters>
  <Application>Microsoft Office Word</Application>
  <DocSecurity>0</DocSecurity>
  <Lines>162</Lines>
  <Paragraphs>45</Paragraphs>
  <ScaleCrop>false</ScaleCrop>
  <Company/>
  <LinksUpToDate>false</LinksUpToDate>
  <CharactersWithSpaces>22925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2024-03-29T10:52:00Z</dcterms:created>
  <dcterms:modified xsi:type="dcterms:W3CDTF">2024-03-29T10:52:00Z</dcterms:modified>
</cp:coreProperties>
</file>