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Mriekatabuky"/>
        <w:tblW w:w="1015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67"/>
        <w:gridCol w:w="2569"/>
        <w:gridCol w:w="339"/>
        <w:gridCol w:w="341"/>
        <w:gridCol w:w="338"/>
        <w:gridCol w:w="338"/>
        <w:gridCol w:w="339"/>
        <w:gridCol w:w="341"/>
        <w:gridCol w:w="338"/>
        <w:gridCol w:w="338"/>
        <w:gridCol w:w="569"/>
        <w:gridCol w:w="334"/>
        <w:gridCol w:w="334"/>
        <w:gridCol w:w="335"/>
        <w:gridCol w:w="337"/>
      </w:tblGrid>
      <w:tr>
        <w:trPr/>
        <w:tc>
          <w:tcPr>
            <w:tcW w:w="2967" w:type="dxa"/>
            <w:tcBorders/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NUJ 3 – 01)</w:t>
            </w:r>
          </w:p>
        </w:tc>
        <w:tc>
          <w:tcPr>
            <w:tcW w:w="2569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IČO 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0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34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4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(1) Telovýchovná jednota Priehrada Udiča, Udiča 714, 018 01 Udiča dátum založenia :16.7.1990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(2) Štatutár : </w:t>
      </w:r>
      <w:r>
        <w:rPr>
          <w:sz w:val="22"/>
          <w:szCs w:val="22"/>
        </w:rPr>
        <w:t>Nicolas Beník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 Opis činnosti – poskytovanie športovej činnosti rozvoj žiackeho, dorastového, mužského futbalového klubu.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Podnikateľská činnosť sa skladá pomocných expedičných prác v doprave, </w:t>
      </w:r>
      <w:r>
        <w:rPr>
          <w:sz w:val="22"/>
          <w:szCs w:val="22"/>
        </w:rPr>
        <w:t>táto činnosť bola ukončená v decembri.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2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 </w:t>
      </w:r>
      <w:r>
        <w:rPr>
          <w:b/>
          <w:sz w:val="22"/>
          <w:szCs w:val="22"/>
        </w:rPr>
        <w:t>áno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 </w:t>
      </w:r>
      <w:r>
        <w:rPr>
          <w:b/>
          <w:sz w:val="22"/>
          <w:szCs w:val="22"/>
        </w:rPr>
        <w:t xml:space="preserve"> podvojné účtovníctvo spôsob účtovania B.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Spôsob oceňovania jednotlivých položiek majetku a záväzkov v členení na  </w:t>
      </w:r>
      <w:r>
        <w:rPr>
          <w:b/>
          <w:sz w:val="22"/>
          <w:szCs w:val="22"/>
        </w:rPr>
        <w:t>menovitou hodnotou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a) dlhodobý nehmotný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b) dlhodobý nehmotný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d) dlhodobý 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e) dlhodobý 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>
        <w:rPr>
          <w:b/>
          <w:sz w:val="22"/>
          <w:szCs w:val="22"/>
        </w:rPr>
        <w:t xml:space="preserve">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g) dlhodobý finančný majetok,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h) zásoby obstarané kúpou ,áno – obstarávacou cenou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i) zásoby vytvorené vlastnou činnosťou,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j) zásoby obstarané iným spôsobom,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k) pohľadávky,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l) krátkodobý finančný majetok,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m) časové rozlíšenie na strane aktív,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o) časové rozlíšenie na strane pasív,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(4) Spôsob zostavenia odpisového plánu pre jednotlivé druhy dlhodobého hmotného majetku  a dlhodobého nehmotného majetku, pričom sa uvádza doba odpisovania, použité sadzby odpisov a odpisové metódy pri určení odpisov. V roku 2022 sa zakúpila tribúna –odpis.skupina 4 doba 12 rokov rovnomerné odpisovanie (daňové odpisy sa rovnajú s účtovnými.)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(5) Zásady pre zohľadnenie zníženia hodnoty majetku. Uvádza sa, či účtovná jednotka uplatňuje opravné položky a rezervy.nie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dlhodobom nehmotnom majetku a dlhodobom hmotnom majetku za bežné účtovné obdobie, a to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ZS- 023 5000 KS023- 5000, prírastok 022 11449,20 CELKOM 16 449,20€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 ZS 08 -  </w:t>
      </w:r>
      <w:r>
        <w:rPr>
          <w:sz w:val="22"/>
          <w:szCs w:val="22"/>
        </w:rPr>
        <w:t>6431,16</w:t>
      </w:r>
      <w:r>
        <w:rPr>
          <w:sz w:val="22"/>
          <w:szCs w:val="22"/>
        </w:rPr>
        <w:t xml:space="preserve"> prírastok 08- 954,10, KS </w:t>
      </w:r>
      <w:r>
        <w:rPr>
          <w:sz w:val="22"/>
          <w:szCs w:val="22"/>
        </w:rPr>
        <w:t>7385,26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c) prehľad o zostatkových cenách dlhodobého majetku na začiatku bežného účtovného obdobia traktor -0, tribúna na začiatku 10 </w:t>
      </w:r>
      <w:r>
        <w:rPr>
          <w:sz w:val="22"/>
          <w:szCs w:val="22"/>
        </w:rPr>
        <w:t>018,04</w:t>
      </w:r>
      <w:r>
        <w:rPr>
          <w:sz w:val="22"/>
          <w:szCs w:val="22"/>
        </w:rPr>
        <w:t xml:space="preserve"> a na konci bežného účtovného obdobia </w:t>
      </w:r>
      <w:r>
        <w:rPr>
          <w:sz w:val="22"/>
          <w:szCs w:val="22"/>
        </w:rPr>
        <w:t>9063,94</w:t>
      </w:r>
      <w:r>
        <w:rPr>
          <w:sz w:val="22"/>
          <w:szCs w:val="22"/>
        </w:rPr>
        <w:t xml:space="preserve">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dlhodobého majetku, pri ktorom má účtovná jednotka obmedzené právo s ním nakladať.NIE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Údaje o spôsobe a výške poistenia dlhodobého nehmotného majetku a dlhodobého hmotného majetku 148€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 výške tvorby, zníženia a zúčtovania opravných položiek k dlhodobému finančnému majetku a opis dôvodu ich tvorby, zníženia a zúčtovania.-nie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 – k 31.12.202</w:t>
      </w:r>
      <w:r>
        <w:rPr>
          <w:sz w:val="22"/>
          <w:szCs w:val="22"/>
        </w:rPr>
        <w:t>4</w:t>
      </w:r>
      <w:r>
        <w:rPr>
          <w:sz w:val="22"/>
          <w:szCs w:val="22"/>
        </w:rPr>
        <w:t xml:space="preserve"> podnikateľká činnosť pohľadávka </w:t>
      </w:r>
      <w:r>
        <w:rPr>
          <w:sz w:val="22"/>
          <w:szCs w:val="22"/>
        </w:rPr>
        <w:t>3024</w:t>
      </w:r>
      <w:r>
        <w:rPr>
          <w:sz w:val="22"/>
          <w:szCs w:val="22"/>
        </w:rPr>
        <w:t>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 pohľadávok do lehoty splatnosti a po lehote splatnosti. Do lehoty </w:t>
      </w:r>
      <w:r>
        <w:rPr>
          <w:sz w:val="22"/>
          <w:szCs w:val="22"/>
        </w:rPr>
        <w:t>3024</w:t>
      </w:r>
      <w:r>
        <w:rPr>
          <w:sz w:val="22"/>
          <w:szCs w:val="22"/>
        </w:rPr>
        <w:t>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položiek časového rozlíšenia nákladov budúcich období a príjmov budúcich období.nie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 Základné imaniE ZS 13 745,93 +prírastok2022(tribúna krytá zo zdrojov 423) 11 449,20  KS 25195,13 €</w:t>
      </w:r>
    </w:p>
    <w:p>
      <w:pPr>
        <w:pStyle w:val="Normal"/>
        <w:spacing w:lineRule="auto" w:line="240" w:before="0" w:after="120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 fondy tvorené zo zisku 423 ZS=4759,48 prírastok zo zisku z minulých období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jc w:val="center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vysporiadaní účtovnej straty vykázanej v minulých účtovných  obdobiach. Prevedené na účet 428-02</w:t>
      </w:r>
      <w:r>
        <w:rPr>
          <w:sz w:val="22"/>
          <w:szCs w:val="22"/>
        </w:rPr>
        <w:t>3</w:t>
      </w:r>
      <w:r>
        <w:rPr>
          <w:sz w:val="22"/>
          <w:szCs w:val="22"/>
        </w:rPr>
        <w:t xml:space="preserve">Nevysporiadaný výsledok hospodárenia strata </w:t>
      </w:r>
      <w:r>
        <w:rPr>
          <w:sz w:val="22"/>
          <w:szCs w:val="22"/>
        </w:rPr>
        <w:t>820,65</w:t>
      </w:r>
      <w:r>
        <w:rPr>
          <w:sz w:val="22"/>
          <w:szCs w:val="22"/>
        </w:rPr>
        <w:t xml:space="preserve">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cudzích zdrojov, a to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 0€ do lehoty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vrátane- 0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rokov-0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 nie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zabezpečenia,nie</w:t>
      </w:r>
    </w:p>
    <w:p>
      <w:pPr>
        <w:pStyle w:val="Normal"/>
        <w:spacing w:lineRule="auto" w:line="240" w:before="0" w:after="24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 významných položkách výnosov budúcich období v členení najmä na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dane,</w:t>
      </w:r>
    </w:p>
    <w:p>
      <w:pPr>
        <w:pStyle w:val="Normal"/>
        <w:spacing w:lineRule="auto" w:line="240"/>
        <w:rPr>
          <w:b/>
          <w:sz w:val="22"/>
          <w:szCs w:val="22"/>
        </w:rPr>
      </w:pPr>
      <w:r>
        <w:rPr>
          <w:sz w:val="22"/>
          <w:szCs w:val="22"/>
        </w:rPr>
        <w:t>f</w:t>
      </w:r>
      <w:r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b/>
          <w:sz w:val="22"/>
          <w:szCs w:val="22"/>
        </w:rPr>
        <w:t>g) zostatková hodnota dlhodobého majetku obstaraného zo sponzorského</w:t>
      </w:r>
      <w:r>
        <w:rPr>
          <w:sz w:val="22"/>
          <w:szCs w:val="22"/>
        </w:rPr>
        <w:t>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majetku prenajatom formou finančného prenájmu, a to - 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>3. viac ako päť rokov.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(1) Prehľad tržieb za vlastné výkony a tovar s uvedením ich opisu a vyčíslením hodnoty tržieb podľa jednotlivých hlavných druhov výrobkov,  služieb hlavnej činnosti a podnikateľskej činnosti účtovnej jednotky-podnikat.činnosť tržby </w:t>
      </w:r>
      <w:r>
        <w:rPr>
          <w:sz w:val="22"/>
          <w:szCs w:val="22"/>
        </w:rPr>
        <w:t>20 995,20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poplatkov a iných ostatných výnosov. 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Prehľad  dotácií a grantov, ktoré účtovná jednotka prijala v priebehu bežného účtovného obdobia. Dotácia Obecný úrad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8 000</w:t>
      </w:r>
      <w:r>
        <w:rPr>
          <w:sz w:val="22"/>
          <w:szCs w:val="22"/>
        </w:rPr>
        <w:t xml:space="preserve">€,    2% z daní </w:t>
      </w:r>
      <w:r>
        <w:rPr>
          <w:sz w:val="22"/>
          <w:szCs w:val="22"/>
        </w:rPr>
        <w:t>3 494,21</w:t>
      </w:r>
      <w:r>
        <w:rPr>
          <w:sz w:val="22"/>
          <w:szCs w:val="22"/>
        </w:rPr>
        <w:t xml:space="preserve"> €,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Opis a vyčíslenie hodnoty významných položiek nákladov, nákladov na ostatné služby, osobitných nákladov a iných ostatných nákladov.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 </w:t>
      </w:r>
      <w:r>
        <w:rPr>
          <w:sz w:val="22"/>
          <w:szCs w:val="22"/>
        </w:rPr>
        <w:t>3 494,21</w:t>
      </w:r>
      <w:r>
        <w:rPr>
          <w:sz w:val="22"/>
          <w:szCs w:val="22"/>
        </w:rPr>
        <w:t>€ športová činnosť.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 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poisťovacie audítorské služby okrem  overenia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daňové poradenstvo,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d) ostatné neaudítorské služby.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c) 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d) 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 xml:space="preserve">e) iné povinnosti.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61"/>
        <w:gridCol w:w="2409"/>
        <w:gridCol w:w="2554"/>
      </w:tblGrid>
      <w:tr>
        <w:trPr/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2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2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10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10</w:t>
            </w:r>
          </w:p>
        </w:tc>
      </w:tr>
    </w:tbl>
    <w:p>
      <w:pPr>
        <w:sectPr>
          <w:footerReference w:type="default" r:id="rId2"/>
          <w:type w:val="nextPage"/>
          <w:pgSz w:w="11906" w:h="16838"/>
          <w:pgMar w:left="851" w:right="851" w:gutter="0" w:header="0" w:top="851" w:footer="709" w:bottom="851"/>
          <w:pgNumType w:start="7" w:fmt="decimal"/>
          <w:formProt w:val="false"/>
          <w:textDirection w:val="lrTb"/>
          <w:docGrid w:type="default" w:linePitch="272" w:charSpace="8192"/>
        </w:sectPr>
        <w:pStyle w:val="Normal"/>
        <w:spacing w:lineRule="auto" w:line="240" w:before="0" w:after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76"/>
        <w:gridCol w:w="1871"/>
        <w:gridCol w:w="1871"/>
        <w:gridCol w:w="1872"/>
        <w:gridCol w:w="1871"/>
        <w:gridCol w:w="1872"/>
        <w:gridCol w:w="1871"/>
        <w:gridCol w:w="1868"/>
      </w:tblGrid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43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16449,20</w:t>
            </w:r>
          </w:p>
        </w:tc>
      </w:tr>
      <w:tr>
        <w:trPr>
          <w:trHeight w:val="40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16449,20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1431,16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6431,16</w:t>
            </w:r>
          </w:p>
        </w:tc>
      </w:tr>
      <w:tr>
        <w:trPr>
          <w:trHeight w:val="426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954,10</w:t>
            </w:r>
          </w:p>
        </w:tc>
      </w:tr>
      <w:tr>
        <w:trPr>
          <w:trHeight w:val="43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2385,26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7385,26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871"/>
        <w:gridCol w:w="2110"/>
        <w:gridCol w:w="1969"/>
        <w:gridCol w:w="1687"/>
        <w:gridCol w:w="1523"/>
        <w:gridCol w:w="1291"/>
        <w:gridCol w:w="1406"/>
        <w:gridCol w:w="1295"/>
        <w:gridCol w:w="982"/>
      </w:tblGrid>
      <w:tr>
        <w:trPr>
          <w:trHeight w:val="1393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90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30"/>
        <w:gridCol w:w="2126"/>
        <w:gridCol w:w="2551"/>
        <w:gridCol w:w="1700"/>
        <w:gridCol w:w="2552"/>
        <w:gridCol w:w="2268"/>
        <w:gridCol w:w="2410"/>
      </w:tblGrid>
      <w:tr>
        <w:trPr>
          <w:trHeight w:val="399" w:hRule="atLeast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>
        <w:trPr>
          <w:trHeight w:val="1073" w:hRule="atLeast"/>
        </w:trPr>
        <w:tc>
          <w:tcPr>
            <w:tcW w:w="163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55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/>
          <w:sz w:val="16"/>
        </w:rPr>
      </w:pPr>
      <w:r>
        <w:rPr>
          <w:rFonts w:ascii="Arial" w:hAnsi="Arial"/>
          <w:sz w:val="16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55"/>
        <w:gridCol w:w="3393"/>
        <w:gridCol w:w="1986"/>
        <w:gridCol w:w="2268"/>
        <w:gridCol w:w="3543"/>
      </w:tblGrid>
      <w:tr>
        <w:trPr/>
        <w:tc>
          <w:tcPr>
            <w:tcW w:w="3055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</w:t>
            </w:r>
          </w:p>
        </w:tc>
        <w:tc>
          <w:tcPr>
            <w:tcW w:w="3393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začiatku bežného účtovného obdobia</w:t>
            </w:r>
          </w:p>
        </w:tc>
        <w:tc>
          <w:tcPr>
            <w:tcW w:w="1986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Prírastky</w:t>
            </w:r>
          </w:p>
        </w:tc>
        <w:tc>
          <w:tcPr>
            <w:tcW w:w="2268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Úbytky</w:t>
            </w:r>
          </w:p>
        </w:tc>
        <w:tc>
          <w:tcPr>
            <w:tcW w:w="3543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konci bežného účtovného obdobia</w:t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Majetkové cenné papiere na obchodovanie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na obchodovanie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Ostatné realizovateľné cenné papiere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Obstarávanie krátkodobého finančného majetku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 spolu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9"/>
        <w:gridCol w:w="2914"/>
        <w:gridCol w:w="4251"/>
        <w:gridCol w:w="3260"/>
      </w:tblGrid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477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1"/>
        <w:gridCol w:w="3827"/>
        <w:gridCol w:w="4396"/>
      </w:tblGrid>
      <w:tr>
        <w:trPr>
          <w:trHeight w:val="397" w:hRule="atLeast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3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3024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1610,40</w:t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3024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1610,40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22"/>
        <w:gridCol w:w="2977"/>
        <w:gridCol w:w="1983"/>
        <w:gridCol w:w="1843"/>
        <w:gridCol w:w="1985"/>
        <w:gridCol w:w="2834"/>
      </w:tblGrid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-6255,58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  <w:t>-6255,58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820,65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820,65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820,65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2316,75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45"/>
        <w:gridCol w:w="4854"/>
      </w:tblGrid>
      <w:tr>
        <w:trPr>
          <w:trHeight w:val="765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820,65</w:t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  <w:t>-</w:t>
            </w:r>
            <w:r>
              <w:rPr/>
              <w:t>820,65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04"/>
        <w:gridCol w:w="2694"/>
        <w:gridCol w:w="1984"/>
        <w:gridCol w:w="1843"/>
        <w:gridCol w:w="2127"/>
        <w:gridCol w:w="2692"/>
      </w:tblGrid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89" w:hRule="atLeast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88"/>
        <w:gridCol w:w="3118"/>
        <w:gridCol w:w="3546"/>
      </w:tblGrid>
      <w:tr>
        <w:trPr>
          <w:trHeight w:val="397" w:hRule="atLeast"/>
        </w:trPr>
        <w:tc>
          <w:tcPr>
            <w:tcW w:w="48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88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244,17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244,17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78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244,17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1"/>
        <w:gridCol w:w="3685"/>
        <w:gridCol w:w="3546"/>
      </w:tblGrid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79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11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557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0"/>
        <w:gridCol w:w="1134"/>
        <w:gridCol w:w="1843"/>
        <w:gridCol w:w="1560"/>
        <w:gridCol w:w="2126"/>
        <w:gridCol w:w="2693"/>
        <w:gridCol w:w="3118"/>
      </w:tblGrid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663"/>
        <w:gridCol w:w="2127"/>
        <w:gridCol w:w="2267"/>
        <w:gridCol w:w="3261"/>
      </w:tblGrid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3119"/>
        <w:gridCol w:w="2268"/>
        <w:gridCol w:w="2693"/>
        <w:gridCol w:w="3261"/>
      </w:tblGrid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157"/>
        <w:gridCol w:w="3968"/>
        <w:gridCol w:w="3262"/>
      </w:tblGrid>
      <w:tr>
        <w:trPr/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športové potreby 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3494,21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11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/>
      </w:r>
      <w:bookmarkStart w:id="0" w:name="_GoBack"/>
      <w:bookmarkStart w:id="1" w:name="_GoBack"/>
      <w:bookmarkEnd w:id="1"/>
    </w:p>
    <w:sectPr>
      <w:headerReference w:type="first" r:id="rId3"/>
      <w:footerReference w:type="default" r:id="rId4"/>
      <w:footerReference w:type="first" r:id="rId5"/>
      <w:type w:val="nextPage"/>
      <w:pgSz w:orient="landscape" w:w="16838" w:h="11906"/>
      <w:pgMar w:left="851" w:right="851" w:gutter="0" w:header="709" w:top="851" w:footer="709" w:bottom="851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9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23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12</w:t>
    </w:r>
    <w:r>
      <w:rPr/>
      <w:fldChar w:fldCharType="end"/>
    </w:r>
  </w:p>
  <w:p>
    <w:pPr>
      <w:pStyle w:val="Pta"/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lavika"/>
      <w:spacing w:before="120" w:after="120"/>
      <w:jc w:val="right"/>
      <w:rPr/>
    </w:pPr>
    <w:r>
      <w:rPr/>
    </w:r>
  </w:p>
  <w:p>
    <w:pPr>
      <w:pStyle w:val="Hlavika"/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91dcc"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auto"/>
      <w:kern w:val="0"/>
      <w:sz w:val="20"/>
      <w:szCs w:val="24"/>
      <w:lang w:val="sk-SK" w:eastAsia="cs-CZ" w:bidi="ar-SA"/>
    </w:rPr>
  </w:style>
  <w:style w:type="paragraph" w:styleId="Nadpis1">
    <w:name w:val="Heading 1"/>
    <w:basedOn w:val="Normal"/>
    <w:next w:val="Nadpis2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al"/>
    <w:next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"/>
    <w:qFormat/>
    <w:locked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  <w:lang w:val="x-none" w:eastAsia="cs-CZ"/>
    </w:rPr>
  </w:style>
  <w:style w:type="character" w:styleId="Nadpis2Char" w:customStyle="1">
    <w:name w:val="Nadpis 2 Char"/>
    <w:basedOn w:val="DefaultParagraphFont"/>
    <w:uiPriority w:val="9"/>
    <w:semiHidden/>
    <w:qFormat/>
    <w:locked/>
    <w:rPr>
      <w:rFonts w:ascii="Cambria" w:hAnsi="Cambria" w:eastAsia="" w:cs="Times New Roman" w:asciiTheme="majorHAnsi" w:eastAsiaTheme="majorEastAsia" w:hAnsiTheme="majorHAnsi"/>
      <w:b/>
      <w:bCs/>
      <w:i/>
      <w:iCs/>
      <w:sz w:val="28"/>
      <w:szCs w:val="28"/>
      <w:lang w:val="x-none"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qFormat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styleId="HlavikaChar" w:customStyle="1">
    <w:name w:val="Hlavička Char"/>
    <w:basedOn w:val="DefaultParagraphFont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suppressAutoHyphens w:val="true"/>
      <w:bidi w:val="0"/>
      <w:spacing w:lineRule="auto" w:line="360" w:before="0" w:after="0"/>
      <w:jc w:val="both"/>
    </w:pPr>
    <w:rPr>
      <w:rFonts w:ascii="Arial" w:hAnsi="Arial" w:eastAsia="Times New Roman" w:cs="Arial"/>
      <w:color w:val="000000"/>
      <w:kern w:val="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numPr>
        <w:ilvl w:val="0"/>
        <w:numId w:val="2"/>
      </w:numPr>
      <w:suppressAutoHyphens w:val="true"/>
      <w:bidi w:val="0"/>
      <w:spacing w:before="120" w:after="120"/>
      <w:jc w:val="left"/>
    </w:pPr>
    <w:rPr>
      <w:rFonts w:ascii="Arial" w:hAnsi="Arial" w:eastAsia="Times New Roman" w:cs="Arial"/>
      <w:b/>
      <w:bCs/>
      <w:color w:val="auto"/>
      <w:kern w:val="0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suppressAutoHyphens w:val="true"/>
      <w:bidi w:val="0"/>
      <w:spacing w:before="0" w:after="0"/>
      <w:jc w:val="both"/>
    </w:pPr>
    <w:rPr>
      <w:rFonts w:ascii="Arial" w:hAnsi="Arial" w:eastAsia="Times New Roman" w:cs="Arial"/>
      <w:color w:val="auto"/>
      <w:kern w:val="0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numPr>
        <w:ilvl w:val="0"/>
        <w:numId w:val="3"/>
      </w:numPr>
      <w:spacing w:lineRule="auto" w:line="240"/>
    </w:pPr>
    <w:rPr/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rsid w:val="0072048d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next w:val="Normal"/>
    <w:qFormat/>
    <w:rsid w:val="00a40be6"/>
    <w:pPr>
      <w:widowControl/>
      <w:suppressAutoHyphens w:val="true"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auto"/>
      <w:kern w:val="0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numPr>
        <w:ilvl w:val="0"/>
        <w:numId w:val="4"/>
      </w:numPr>
      <w:suppressAutoHyphens w:val="true"/>
      <w:bidi w:val="0"/>
      <w:spacing w:before="120" w:after="120"/>
      <w:jc w:val="both"/>
    </w:pPr>
    <w:rPr>
      <w:rFonts w:ascii="Arial Narrow" w:hAnsi="Arial Narrow" w:eastAsia="Times New Roman" w:cs="Arial"/>
      <w:color w:val="auto"/>
      <w:kern w:val="0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774e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unhideWhenUsed/>
    <w:rsid w:val="00335024"/>
    <w:pPr>
      <w:tabs>
        <w:tab w:val="clear" w:pos="709"/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header" Target="head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C0A69-28C4-4B02-94FB-E08C914F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Application>LibreOffice/7.5.2.2$Windows_X86_64 LibreOffice_project/53bb9681a964705cf672590721dbc85eb4d0c3a2</Application>
  <AppVersion>15.0000</AppVersion>
  <Pages>17</Pages>
  <Words>3156</Words>
  <Characters>19208</Characters>
  <CharactersWithSpaces>22047</CharactersWithSpaces>
  <Paragraphs>461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2023-03-07T16:46:00Z</dcterms:created>
  <dc:creator>jvrskova</dc:creator>
  <dc:description/>
  <dc:language>sk-SK</dc:language>
  <cp:lastModifiedBy/>
  <cp:lastPrinted>2013-11-04T09:32:00Z</cp:lastPrinted>
  <dcterms:modified xsi:type="dcterms:W3CDTF">2025-03-31T07:57:59Z</dcterms:modified>
  <cp:revision>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