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14:paraId="2706A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9B22B3">
            <w:pPr>
              <w:keepNext/>
              <w:spacing w:before="0" w:beforeLines="0" w:afterLines="0" w:line="240" w:lineRule="auto"/>
              <w:jc w:val="left"/>
              <w:outlineLvl w:val="2"/>
              <w:rPr>
                <w:rFonts w:hint="default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default" w:cs="Arial"/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8D4E9F">
            <w:pPr>
              <w:keepNext/>
              <w:spacing w:before="0" w:beforeLines="0" w:afterLines="0" w:line="240" w:lineRule="auto"/>
              <w:jc w:val="right"/>
              <w:outlineLvl w:val="2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A916144"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4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0B9A827"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6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2DDEBA8"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7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67993B2"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6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84CB38A"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9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D5E956E"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2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8BF7CA4"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4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E1C2F09"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  <w:lang w:val="sk-SK"/>
              </w:rPr>
            </w:pPr>
            <w:r>
              <w:rPr>
                <w:rFonts w:hint="default" w:cs="Arial"/>
                <w:b/>
                <w:sz w:val="22"/>
                <w:szCs w:val="22"/>
                <w:lang w:val="sk-SK"/>
              </w:rPr>
              <w:t>2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9CE6E8A"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F93FB62"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DB5E26A"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810444D">
            <w:pPr>
              <w:keepNext/>
              <w:spacing w:before="0" w:beforeLines="0" w:afterLines="0" w:line="240" w:lineRule="auto"/>
              <w:outlineLvl w:val="2"/>
              <w:rPr>
                <w:rFonts w:hint="default" w:cs="Arial"/>
                <w:b/>
                <w:sz w:val="22"/>
                <w:szCs w:val="22"/>
              </w:rPr>
            </w:pPr>
          </w:p>
        </w:tc>
      </w:tr>
    </w:tbl>
    <w:p w14:paraId="7D225602">
      <w:pPr>
        <w:keepNext/>
        <w:spacing w:before="0" w:beforeLines="0" w:afterLines="0" w:line="240" w:lineRule="auto"/>
        <w:outlineLvl w:val="2"/>
        <w:rPr>
          <w:rFonts w:hint="default" w:cs="Arial"/>
          <w:b/>
          <w:sz w:val="22"/>
          <w:szCs w:val="22"/>
        </w:rPr>
      </w:pPr>
    </w:p>
    <w:p w14:paraId="0F2D4B46">
      <w:pPr>
        <w:keepNext/>
        <w:spacing w:before="0" w:beforeLines="0" w:afterLines="0" w:line="240" w:lineRule="auto"/>
        <w:jc w:val="center"/>
        <w:outlineLvl w:val="2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Čl. I</w:t>
      </w:r>
    </w:p>
    <w:p w14:paraId="6C3C10B6">
      <w:pPr>
        <w:keepNext/>
        <w:spacing w:before="0" w:beforeLines="0" w:afterLines="0" w:line="240" w:lineRule="auto"/>
        <w:jc w:val="center"/>
        <w:outlineLvl w:val="1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Všeobecné informácie</w:t>
      </w:r>
    </w:p>
    <w:p w14:paraId="777218B4"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0506E328"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2C10B9B2"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(3) Opis činnosti, na účel ktorej bola účtovná jednotka zriadená a opis druhu podnikateľskej činnosti, ak ju účtovná jednotka vykonáva.</w:t>
      </w:r>
    </w:p>
    <w:p w14:paraId="20088849"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obdobie“). Počet dobrovoľníkov vyslaných účtovnou jednotkou a počet dobrovoľníkov, ktorí vykonávali dobrovoľnícku činnosť pre účtovnú jednotku počas bežného účtovného obdobia. </w:t>
      </w:r>
    </w:p>
    <w:tbl>
      <w:tblPr>
        <w:tblStyle w:val="4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7"/>
        <w:gridCol w:w="1843"/>
        <w:gridCol w:w="2268"/>
      </w:tblGrid>
      <w:tr w14:paraId="18403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B42C27B"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CF4992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08A7064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14:paraId="26073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241ACC"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61E849"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F44AF1"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x</w:t>
            </w:r>
          </w:p>
        </w:tc>
      </w:tr>
      <w:tr w14:paraId="64C68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21B67C"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z toho  počet vedúcich zamestnancov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BFB67E"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BEEFBC"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x</w:t>
            </w:r>
          </w:p>
        </w:tc>
      </w:tr>
      <w:tr w14:paraId="61D2D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B9DF5D"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 xml:space="preserve">Počet dobrovoľníkov vyslaných účtovnou jednotkou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71F460"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EB87CA"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5C106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C5DECE"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E0F67E"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751315">
            <w:pPr>
              <w:pStyle w:val="20"/>
              <w:numPr>
                <w:ilvl w:val="0"/>
                <w:numId w:val="0"/>
              </w:numPr>
              <w:tabs>
                <w:tab w:val="clear" w:pos="1440"/>
              </w:tabs>
              <w:spacing w:before="0" w:beforeLines="0" w:after="0" w:afterLines="0"/>
              <w:ind w:left="0" w:firstLine="0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4F585AE4">
      <w:pPr>
        <w:spacing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(5) Organizačná štruktúra účtovnej jednotky.</w:t>
      </w:r>
    </w:p>
    <w:p w14:paraId="16BAED97"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(6) Informácia o organizáciách v zriaďovateľskej pôsobnosti účtovnej jednotky. </w:t>
      </w:r>
    </w:p>
    <w:p w14:paraId="107F7E3E"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</w:p>
    <w:p w14:paraId="7D9BFFE5">
      <w:pPr>
        <w:keepNext/>
        <w:spacing w:before="0" w:beforeLines="0" w:afterLines="0" w:line="240" w:lineRule="auto"/>
        <w:jc w:val="center"/>
        <w:outlineLvl w:val="0"/>
        <w:rPr>
          <w:rFonts w:hint="default" w:cs="Arial"/>
          <w:b/>
          <w:kern w:val="32"/>
          <w:sz w:val="22"/>
          <w:szCs w:val="22"/>
        </w:rPr>
      </w:pPr>
      <w:r>
        <w:rPr>
          <w:rFonts w:hint="default" w:cs="Arial"/>
          <w:b/>
          <w:kern w:val="32"/>
          <w:sz w:val="22"/>
          <w:szCs w:val="22"/>
        </w:rPr>
        <w:t>Čl. II</w:t>
      </w:r>
    </w:p>
    <w:p w14:paraId="6FC518FE">
      <w:pPr>
        <w:keepNext/>
        <w:spacing w:before="0" w:beforeLines="0" w:afterLines="0" w:line="240" w:lineRule="auto"/>
        <w:jc w:val="center"/>
        <w:outlineLvl w:val="1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Informácie o účtovných zásadách a účtovných metódach</w:t>
      </w:r>
    </w:p>
    <w:p w14:paraId="0823A405"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354EE983"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7D4E51AA"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(3) Spôsoby ocenenia jednotlivých položiek majetku a záväzkov.</w:t>
      </w:r>
    </w:p>
    <w:p w14:paraId="08BE59B3">
      <w:pPr>
        <w:spacing w:before="0" w:beforeLines="0" w:after="24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(4)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8"/>
        <w:gridCol w:w="2548"/>
        <w:gridCol w:w="2549"/>
        <w:gridCol w:w="2549"/>
      </w:tblGrid>
      <w:tr w14:paraId="2CDCF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23DB98">
            <w:pPr>
              <w:keepNext/>
              <w:spacing w:before="0" w:beforeLines="0" w:after="24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107628">
            <w:pPr>
              <w:keepNext/>
              <w:spacing w:before="0" w:beforeLines="0" w:after="24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66FA39">
            <w:pPr>
              <w:keepNext/>
              <w:spacing w:before="0" w:beforeLines="0" w:after="24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7C7C03">
            <w:pPr>
              <w:keepNext/>
              <w:spacing w:before="0" w:beforeLines="0" w:after="24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Odpisová metóda</w:t>
            </w:r>
          </w:p>
        </w:tc>
      </w:tr>
      <w:tr w14:paraId="204B5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C59BEAE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4955137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BC183B8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265868B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6D08F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B0BE55E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2D18E8D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E5AEE8E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AB2D4CF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05B49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CFC2B00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559BF0F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2005998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C3BF039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37B3F0A0"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(5) Zásady pre zohľadnenie zníženia hodnoty majetku. Uvádza sa, či účtovná jednotka uplatňuje opravné položky a rezervy.</w:t>
      </w:r>
    </w:p>
    <w:p w14:paraId="54DF67CE"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(6) 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14:paraId="3729C9AF">
      <w:pPr>
        <w:keepNext/>
        <w:spacing w:before="240" w:beforeLines="0" w:afterLines="0" w:line="240" w:lineRule="auto"/>
        <w:jc w:val="center"/>
        <w:outlineLvl w:val="0"/>
        <w:rPr>
          <w:rFonts w:hint="default" w:cs="Arial"/>
          <w:b/>
          <w:kern w:val="32"/>
          <w:sz w:val="22"/>
          <w:szCs w:val="22"/>
        </w:rPr>
      </w:pPr>
      <w:r>
        <w:rPr>
          <w:rFonts w:hint="default" w:cs="Arial"/>
          <w:b/>
          <w:kern w:val="32"/>
          <w:sz w:val="22"/>
          <w:szCs w:val="22"/>
        </w:rPr>
        <w:t>Čl. III</w:t>
      </w:r>
    </w:p>
    <w:p w14:paraId="65A63D70">
      <w:pPr>
        <w:keepNext/>
        <w:spacing w:before="0" w:beforeLines="0" w:afterLines="0" w:line="240" w:lineRule="auto"/>
        <w:jc w:val="center"/>
        <w:outlineLvl w:val="1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Informácie, ktoré dopĺňajú a vysvetľujú údaje v súvahe</w:t>
      </w:r>
    </w:p>
    <w:p w14:paraId="0B401CDB">
      <w:pPr>
        <w:numPr>
          <w:ilvl w:val="0"/>
          <w:numId w:val="5"/>
        </w:numPr>
        <w:spacing w:before="0"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Významné sumy prírastkov a úbytkov dlhodobého nehmotného majetku a dlhodobého hmotného majetku.</w:t>
      </w:r>
    </w:p>
    <w:p w14:paraId="2C2CFCFA">
      <w:pPr>
        <w:numPr>
          <w:ilvl w:val="0"/>
          <w:numId w:val="5"/>
        </w:numPr>
        <w:spacing w:before="0"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dlhodobého majetku, na ktorý je zriadené záložné právo a prehľad dlhodobého majetku, pri ktorom má účtovná jednotka obmedzené právo s ním nakladať.</w:t>
      </w:r>
    </w:p>
    <w:p w14:paraId="15BD6563">
      <w:pPr>
        <w:numPr>
          <w:ilvl w:val="0"/>
          <w:numId w:val="5"/>
        </w:numPr>
        <w:spacing w:before="0"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Údaje o štruktúre dlhodobého finančného majetku za bežné účtovné obdobie a jeho umiestnenie v členení podľa položiek súvahy v riadkoch 022 a 023.</w:t>
      </w:r>
    </w:p>
    <w:tbl>
      <w:tblPr>
        <w:tblStyle w:val="4"/>
        <w:tblW w:w="10022" w:type="dxa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9"/>
        <w:gridCol w:w="2409"/>
        <w:gridCol w:w="2694"/>
      </w:tblGrid>
      <w:tr w14:paraId="4EA63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9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BB3B14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FEE024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262FEF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Podiel účtovnej jednotky na hlasovacích právach</w:t>
            </w:r>
          </w:p>
          <w:p w14:paraId="200AA8D0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(v %)</w:t>
            </w:r>
          </w:p>
        </w:tc>
      </w:tr>
      <w:tr w14:paraId="7EE8E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49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289FA47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8C9C52E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A3A681C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</w:tr>
      <w:tr w14:paraId="1C57F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BE1E5A7"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  <w:lang w:val="sk-SK"/>
              </w:rPr>
            </w:pPr>
            <w:r>
              <w:rPr>
                <w:rFonts w:hint="default" w:ascii="Arial" w:cs="Arial"/>
                <w:sz w:val="16"/>
                <w:szCs w:val="16"/>
                <w:lang w:val="sk-SK"/>
              </w:rPr>
              <w:t>Solomon Stav s.r.o.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492B082">
            <w:pPr>
              <w:spacing w:before="0" w:beforeLines="0" w:after="0" w:afterLines="0" w:line="240" w:lineRule="auto"/>
              <w:jc w:val="center"/>
              <w:rPr>
                <w:rFonts w:hint="default" w:ascii="Arial" w:cs="Arial"/>
                <w:sz w:val="16"/>
                <w:szCs w:val="16"/>
                <w:lang w:val="sk-SK"/>
              </w:rPr>
            </w:pPr>
            <w:r>
              <w:rPr>
                <w:rFonts w:hint="default" w:asci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A5D8BBC">
            <w:pPr>
              <w:spacing w:before="0" w:beforeLines="0" w:after="0" w:afterLines="0" w:line="240" w:lineRule="auto"/>
              <w:jc w:val="center"/>
              <w:rPr>
                <w:rFonts w:hint="default" w:ascii="Arial" w:cs="Arial"/>
                <w:sz w:val="16"/>
                <w:szCs w:val="16"/>
              </w:rPr>
            </w:pPr>
          </w:p>
        </w:tc>
      </w:tr>
      <w:tr w14:paraId="62981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E644081"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A446811">
            <w:pPr>
              <w:spacing w:before="0" w:beforeLines="0" w:after="0" w:afterLines="0" w:line="240" w:lineRule="auto"/>
              <w:jc w:val="center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5CFFBAB">
            <w:pPr>
              <w:spacing w:before="0" w:beforeLines="0" w:after="0" w:afterLines="0" w:line="240" w:lineRule="auto"/>
              <w:jc w:val="center"/>
              <w:rPr>
                <w:rFonts w:hint="default" w:ascii="Arial" w:cs="Arial"/>
                <w:sz w:val="16"/>
                <w:szCs w:val="16"/>
              </w:rPr>
            </w:pPr>
          </w:p>
        </w:tc>
      </w:tr>
    </w:tbl>
    <w:p w14:paraId="0B435CD3">
      <w:pPr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Údaje o štruktúre dlhodobého finančného majetku a krátkodobého finančného majetku v členení podľa položiek súvahy v riadkoch 024, 026 a 055.</w:t>
      </w:r>
    </w:p>
    <w:tbl>
      <w:tblPr>
        <w:tblStyle w:val="4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5"/>
        <w:gridCol w:w="3351"/>
        <w:gridCol w:w="3351"/>
      </w:tblGrid>
      <w:tr w14:paraId="27A44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36FA80">
            <w:pPr>
              <w:keepNext/>
              <w:spacing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1237BBE">
            <w:pPr>
              <w:keepNext/>
              <w:spacing w:beforeLines="0" w:afterLines="0" w:line="240" w:lineRule="auto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D74B414">
            <w:pPr>
              <w:keepNext/>
              <w:spacing w:beforeLines="0" w:afterLines="0" w:line="240" w:lineRule="auto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25095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C8F361D"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3EC6893"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9E27464"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</w:tr>
      <w:tr w14:paraId="552F3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2EBAC08"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F93EF73"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247D61B"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</w:tr>
    </w:tbl>
    <w:p w14:paraId="30FFF6AB">
      <w:pPr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Údaje o štruktúre dlhodobých pôžičiek.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0"/>
        <w:gridCol w:w="3351"/>
        <w:gridCol w:w="3351"/>
      </w:tblGrid>
      <w:tr w14:paraId="37D7A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51DF40">
            <w:pPr>
              <w:keepNext/>
              <w:spacing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CD88758">
            <w:pPr>
              <w:keepNext/>
              <w:spacing w:beforeLines="0" w:afterLines="0" w:line="240" w:lineRule="auto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5FB8BCB">
            <w:pPr>
              <w:keepNext/>
              <w:spacing w:beforeLines="0" w:afterLines="0" w:line="240" w:lineRule="auto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0FCF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659A589"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B82AF3D"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5D186ED"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</w:tr>
      <w:tr w14:paraId="08674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ABAF70C"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22CE4DC"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D801D33">
            <w:pPr>
              <w:spacing w:before="0" w:beforeLines="0" w:after="0" w:afterLines="0" w:line="240" w:lineRule="auto"/>
              <w:rPr>
                <w:rFonts w:hint="default" w:ascii="Arial" w:cs="Arial"/>
                <w:sz w:val="16"/>
                <w:szCs w:val="16"/>
              </w:rPr>
            </w:pPr>
          </w:p>
        </w:tc>
      </w:tr>
    </w:tbl>
    <w:p w14:paraId="49CC1D4F">
      <w:pPr>
        <w:keepNext/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 o vývoji významných súm opravných položiek podľa jednotlivých druhov majetku.</w:t>
      </w:r>
    </w:p>
    <w:tbl>
      <w:tblPr>
        <w:tblStyle w:val="4"/>
        <w:tblW w:w="10135" w:type="dxa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1984"/>
        <w:gridCol w:w="1843"/>
        <w:gridCol w:w="1984"/>
        <w:gridCol w:w="2127"/>
      </w:tblGrid>
      <w:tr w14:paraId="66B5C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F310AA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majetku, ku ktorému sa tvorí opravná položka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329A35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opravnej položky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5BABCD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7281E7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Zúčtovanie opravnej položky</w:t>
            </w:r>
          </w:p>
          <w:p w14:paraId="2A4EEE4A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65E732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opravnej položky na konci bežného účtovného obdobia</w:t>
            </w:r>
          </w:p>
        </w:tc>
      </w:tr>
      <w:tr w14:paraId="24552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4B468B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5F2856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F8A3AA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981516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83A99C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1C292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9D6857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76CD7E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BAF164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E05094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987C96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59DCA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C23E61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694596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2C3062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3E8D3A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8F7014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6062569A">
      <w:pPr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Opis významných súm pohľadávok</w:t>
      </w:r>
      <w:r>
        <w:rPr>
          <w:rFonts w:hint="default" w:cs="Arial"/>
          <w:b/>
          <w:sz w:val="22"/>
          <w:szCs w:val="22"/>
        </w:rPr>
        <w:t xml:space="preserve"> </w:t>
      </w:r>
      <w:r>
        <w:rPr>
          <w:rFonts w:hint="default"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Style w:val="4"/>
        <w:tblW w:w="9738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8"/>
        <w:gridCol w:w="2977"/>
        <w:gridCol w:w="2693"/>
      </w:tblGrid>
      <w:tr w14:paraId="71FE1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70841CB">
            <w:pPr>
              <w:spacing w:before="0" w:beforeLines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1EBE4A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39F54E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Zdaňovaná činnosť</w:t>
            </w:r>
          </w:p>
        </w:tc>
      </w:tr>
      <w:tr w14:paraId="0E595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C9126C9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05A8234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DC6DFBF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00315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BA8D83B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4F116B2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D176FB1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3A4E0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555F38C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BFD18E3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498B72E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20082C84">
      <w:pPr>
        <w:keepNext/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 xml:space="preserve"> </w:t>
      </w:r>
      <w:r>
        <w:rPr>
          <w:rFonts w:hint="default" w:cs="Arial"/>
          <w:sz w:val="22"/>
          <w:szCs w:val="22"/>
        </w:rPr>
        <w:t>Prehľad pohľadávok do uplynutia lehoty splatnosti a po uplynutí lehoty splatnosti.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3588"/>
        <w:gridCol w:w="3499"/>
      </w:tblGrid>
      <w:tr w14:paraId="791EE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62A27A0">
            <w:pPr>
              <w:keepNext/>
              <w:spacing w:before="0" w:beforeLines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D4E32BE"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753683"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53450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A04556"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6AFBF99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B5F926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6AF3F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37FE09"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747943E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2E718E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469FE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FFC16E"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FBE9A72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61447D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</w:tr>
    </w:tbl>
    <w:p w14:paraId="4E7E60E9">
      <w:pPr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o významných položkách časového rozlíšenia nákladov budúcich období a príjmov budúcich období.</w:t>
      </w:r>
    </w:p>
    <w:p w14:paraId="2E61BED6">
      <w:pPr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Opis a výška zmien vlastného imania v priebehu bežného účtovného obdobia podľa položiek súvahy.</w:t>
      </w:r>
    </w:p>
    <w:tbl>
      <w:tblPr>
        <w:tblStyle w:val="4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2026"/>
        <w:gridCol w:w="1431"/>
        <w:gridCol w:w="1273"/>
        <w:gridCol w:w="1396"/>
        <w:gridCol w:w="1886"/>
      </w:tblGrid>
      <w:tr w14:paraId="39B3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62C13F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29712FD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začiatku bežného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442EC6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Prírastky</w:t>
            </w:r>
          </w:p>
          <w:p w14:paraId="5137C0F8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EEF6C23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Úbytky</w:t>
            </w:r>
          </w:p>
          <w:p w14:paraId="2F16E31B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21D3BCA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Presuny</w:t>
            </w:r>
          </w:p>
          <w:p w14:paraId="5D0B2C6B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B97260C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2A45B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F92B91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Vlastné imanie</w:t>
            </w:r>
          </w:p>
        </w:tc>
      </w:tr>
      <w:tr w14:paraId="2AA03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18AF53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D66E38A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  <w:lang w:val="sk-SK"/>
              </w:rPr>
            </w:pPr>
            <w:r>
              <w:rPr>
                <w:rFonts w:hint="default" w:cs="Arial"/>
                <w:sz w:val="22"/>
                <w:szCs w:val="22"/>
                <w:lang w:val="sk-SK"/>
              </w:rPr>
              <w:t>5000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D87DC41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77AFE29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04359FC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2C73F3B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  <w:lang w:val="sk-SK"/>
              </w:rPr>
            </w:pPr>
            <w:r>
              <w:rPr>
                <w:rFonts w:hint="default" w:cs="Arial"/>
                <w:sz w:val="22"/>
                <w:szCs w:val="22"/>
                <w:lang w:val="sk-SK"/>
              </w:rPr>
              <w:t>5000</w:t>
            </w:r>
          </w:p>
        </w:tc>
      </w:tr>
      <w:tr w14:paraId="76259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0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A1C034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z toho:</w:t>
            </w:r>
          </w:p>
        </w:tc>
      </w:tr>
      <w:tr w14:paraId="38F1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247835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- nadačné imanie v nadácii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F24C463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72B159B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F0E44F0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DED5278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3FBE9C5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06CCA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619352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- vklady zakladateľov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36D8DF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DA304A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C3D2DE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21E797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4B0F60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006C9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513CA5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- prioritný majetok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6A5C7B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FC8E6D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F3AAB7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BF046C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D4C2B3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1795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EBD25E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Fondy tvorené podľa osobitných predpisov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AF2C731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7C96A0E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884EFE2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14C25B8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CFE1D34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458FA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D22AFF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3F6F72A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1DF6CEE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528F245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72A3525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4324B28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3A56F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21919C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8F38C41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A324C6B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A872A5A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4F8DBB9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B892A3F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2E62D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B1EDC2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Fondy tvorené zo zisku</w:t>
            </w:r>
          </w:p>
        </w:tc>
      </w:tr>
      <w:tr w14:paraId="346D6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9EBD56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Rezervný fond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B22CF93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B931A54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5E4F84D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057706F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C3E2268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3DDE7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BC3E50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9BF95BB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D39C1B2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DA2DA93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6499F56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3987359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27135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5E508B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Ostatné fondy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142A79D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8FABAA2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E8BBAF0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C4B8CF3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E15AD72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52090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0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A1F150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Výsledok hospodárenia</w:t>
            </w:r>
          </w:p>
        </w:tc>
      </w:tr>
      <w:tr w14:paraId="3989C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30FABA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A6E5F94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  <w:lang w:val="sk-SK"/>
              </w:rPr>
            </w:pPr>
            <w:r>
              <w:rPr>
                <w:rFonts w:hint="default" w:cs="Arial"/>
                <w:sz w:val="22"/>
                <w:szCs w:val="22"/>
                <w:lang w:val="sk-SK"/>
              </w:rPr>
              <w:t>0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70FAD37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59C4F8F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734B053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B14167C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  <w:lang w:val="sk-SK"/>
              </w:rPr>
            </w:pPr>
            <w:r>
              <w:rPr>
                <w:rFonts w:hint="default" w:cs="Arial"/>
                <w:sz w:val="22"/>
                <w:szCs w:val="22"/>
                <w:lang w:val="sk-SK"/>
              </w:rPr>
              <w:t>0</w:t>
            </w:r>
          </w:p>
        </w:tc>
      </w:tr>
      <w:tr w14:paraId="4BDDB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929E23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Výsledok hospodárenia účtovného obdobia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4171D38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B948E76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E54E7BB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EB48F5C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8E53617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19518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F809D4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45C38BE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BF1396D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9592E00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7C698F9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71CC9FC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</w:p>
        </w:tc>
      </w:tr>
    </w:tbl>
    <w:p w14:paraId="69C4E557">
      <w:pPr>
        <w:keepNext/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Opis a vyčíslenie jednotlivých druhov fondov tvorených podľa osobitných predpisov.</w:t>
      </w:r>
    </w:p>
    <w:tbl>
      <w:tblPr>
        <w:tblStyle w:val="4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  <w:gridCol w:w="2365"/>
        <w:gridCol w:w="1464"/>
        <w:gridCol w:w="1858"/>
        <w:gridCol w:w="1923"/>
      </w:tblGrid>
      <w:tr w14:paraId="3EF0C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F65BBE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0C69D0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E2E02DE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6F7B80E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96495A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14:paraId="7245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D7EB0F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FE62098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CC780A4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5663782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FAD5B99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00166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C1D1A6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0C46B11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16F5535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6A43FA2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F6660E7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6903F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6B06DF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F68ECB2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9394273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10D0CBC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F3E59F4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7205834E">
      <w:pPr>
        <w:keepNext/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Informácia o rozdelení účtovného zisku alebo o vysporiadaní účtovnej straty za bezprostredne predchádzajúce účtovné obdobie.</w:t>
      </w:r>
    </w:p>
    <w:tbl>
      <w:tblPr>
        <w:tblStyle w:val="4"/>
        <w:tblW w:w="4745" w:type="pct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5245"/>
      </w:tblGrid>
      <w:tr w14:paraId="53FBC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A9613AF">
            <w:pPr>
              <w:pStyle w:val="21"/>
              <w:keepNext/>
              <w:spacing w:beforeLines="0" w:afterLines="0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Názov položky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2CE6AF">
            <w:pPr>
              <w:pStyle w:val="21"/>
              <w:keepNext/>
              <w:spacing w:beforeLines="0" w:afterLines="0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Bezprostredne predchádzajúce účtovné obdobie</w:t>
            </w:r>
          </w:p>
        </w:tc>
      </w:tr>
      <w:tr w14:paraId="4299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DE018F9">
            <w:pPr>
              <w:spacing w:before="0" w:beforeLines="0" w:after="0" w:afterLines="0" w:line="240" w:lineRule="auto"/>
              <w:rPr>
                <w:rFonts w:hint="default" w:cs="Arial"/>
                <w:b/>
                <w:color w:val="000000"/>
                <w:sz w:val="22"/>
                <w:szCs w:val="22"/>
              </w:rPr>
            </w:pPr>
            <w:r>
              <w:rPr>
                <w:rFonts w:hint="default"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F540051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03E04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6E2031E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14:paraId="28920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DECC566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AF23D97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0839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CEFAD16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Prídel do f</w:t>
            </w:r>
            <w:r>
              <w:rPr>
                <w:rFonts w:hint="default"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9D070ED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36ABC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8ED55AB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2927A93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4C57E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83ACBAD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68684DD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2B9C7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0062001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73F4A93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1EEB5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0799280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021B099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76C4F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A0BCF59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8983B0A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08661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B7179D2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1D2AFAC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59450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0EEC781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Prevod  do n</w:t>
            </w:r>
            <w:r>
              <w:rPr>
                <w:rFonts w:hint="default"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1FD6040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13B4E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CDD8F37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36E5D28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6012E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1429022">
            <w:pPr>
              <w:spacing w:before="0" w:beforeLines="0" w:after="0" w:afterLines="0" w:line="240" w:lineRule="auto"/>
              <w:rPr>
                <w:rFonts w:hint="default" w:cs="Arial"/>
                <w:b/>
                <w:color w:val="000000"/>
                <w:sz w:val="22"/>
                <w:szCs w:val="22"/>
              </w:rPr>
            </w:pPr>
            <w:r>
              <w:rPr>
                <w:rFonts w:hint="default"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B4FB705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38F8C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1975923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14:paraId="6B1DF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5219422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9366020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6CD2C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53362D4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E533A54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6737A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F989DCC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84D43D9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37F56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D807B05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1480BFF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71CC3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5A7D91A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E09692F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592F1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4B5DFE3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>Prevod do n</w:t>
            </w:r>
            <w:r>
              <w:rPr>
                <w:rFonts w:hint="default"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9A01397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  <w:tr w14:paraId="472F2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92D8427">
            <w:pPr>
              <w:spacing w:before="0" w:beforeLines="0" w:after="0" w:afterLines="0" w:line="240" w:lineRule="auto"/>
              <w:rPr>
                <w:rFonts w:hint="default" w:cs="Arial"/>
                <w:color w:val="000000"/>
                <w:sz w:val="22"/>
                <w:szCs w:val="22"/>
              </w:rPr>
            </w:pPr>
            <w:r>
              <w:rPr>
                <w:rFonts w:hint="default"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4C14CC8">
            <w:pPr>
              <w:spacing w:before="0" w:beforeLines="0" w:after="0" w:afterLines="0" w:line="240" w:lineRule="auto"/>
              <w:jc w:val="center"/>
              <w:rPr>
                <w:rFonts w:hint="default" w:cs="Arial"/>
                <w:color w:val="000000"/>
                <w:sz w:val="22"/>
                <w:szCs w:val="22"/>
              </w:rPr>
            </w:pPr>
          </w:p>
        </w:tc>
      </w:tr>
    </w:tbl>
    <w:p w14:paraId="53F7A292">
      <w:pPr>
        <w:numPr>
          <w:ilvl w:val="0"/>
          <w:numId w:val="5"/>
        </w:numPr>
        <w:spacing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Style w:val="4"/>
        <w:tblW w:w="0" w:type="auto"/>
        <w:tblInd w:w="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8"/>
        <w:gridCol w:w="1822"/>
        <w:gridCol w:w="1368"/>
        <w:gridCol w:w="1481"/>
        <w:gridCol w:w="1504"/>
        <w:gridCol w:w="1746"/>
      </w:tblGrid>
      <w:tr w14:paraId="11530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6B2ACB">
            <w:pPr>
              <w:keepNext/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968C30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8D8529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0A1D32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50C7A9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BFB648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5344D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AFC42D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888106F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C26DA7B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671B2AB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E4EA495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3D39065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</w:tr>
      <w:tr w14:paraId="07E78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D422A1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19FA562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E304964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0BF2EDC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C56BCF8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583EC5B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</w:tr>
      <w:tr w14:paraId="48F52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0E7E58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659ED36">
            <w:pPr>
              <w:spacing w:before="0" w:beforeLines="0" w:after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E281777">
            <w:pPr>
              <w:spacing w:before="0" w:beforeLines="0" w:after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31ED170">
            <w:pPr>
              <w:spacing w:before="0" w:beforeLines="0" w:after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27A3BB9">
            <w:pPr>
              <w:spacing w:before="0" w:beforeLines="0" w:after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CCDA7AA">
            <w:pPr>
              <w:spacing w:before="0" w:beforeLines="0" w:after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</w:p>
        </w:tc>
      </w:tr>
      <w:tr w14:paraId="26907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C37D2E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10286AD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4C51FB1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6A47A68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2F1A4B6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8B3DDA7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</w:tr>
      <w:tr w14:paraId="49078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F5BC1E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E8E8AE8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9B5FC20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4E52057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F09C5F3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3836B2E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</w:tr>
      <w:tr w14:paraId="5F7FA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71B30D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D764BB4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A564732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C9603DE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7B6F6D0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572F2BB">
            <w:pPr>
              <w:spacing w:before="0" w:beforeLines="0" w:after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</w:tr>
      <w:tr w14:paraId="7D55D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FE2078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90B0EC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EC6142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D67B78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CCAD5B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045B87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6EFDE09A">
      <w:pPr>
        <w:keepNext/>
        <w:numPr>
          <w:ilvl w:val="0"/>
          <w:numId w:val="5"/>
        </w:numPr>
        <w:spacing w:beforeLines="0" w:afterLines="0" w:line="240" w:lineRule="auto"/>
        <w:ind w:left="142" w:hanging="142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Údaje o významných sumách záväzkov v nadväznosti na položky súvahy, v členení na záväzky za hlavnú nezdaňovanú činnosť a zdaňovanú činnosť.</w:t>
      </w:r>
    </w:p>
    <w:tbl>
      <w:tblPr>
        <w:tblStyle w:val="4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8"/>
        <w:gridCol w:w="3111"/>
        <w:gridCol w:w="2538"/>
      </w:tblGrid>
      <w:tr w14:paraId="6FDFE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50D0D21">
            <w:pPr>
              <w:keepNext/>
              <w:spacing w:before="0" w:beforeLines="0" w:afterLines="0" w:line="240" w:lineRule="auto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53AD10"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A6B64B"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Zdaňovaná činnosť</w:t>
            </w:r>
          </w:p>
        </w:tc>
      </w:tr>
      <w:tr w14:paraId="72397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8ECAAE8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46F35B7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21ECCC3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14E5D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D1C540C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77D047B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2F7227D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2827D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1C89FE7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25648D9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92CE933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38EA880A">
      <w:pPr>
        <w:keepNext/>
        <w:numPr>
          <w:ilvl w:val="0"/>
          <w:numId w:val="5"/>
        </w:numPr>
        <w:spacing w:before="240" w:beforeLines="0" w:afterLines="0" w:line="240" w:lineRule="auto"/>
        <w:ind w:left="142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záväzkov do uplynutia lehoty splatnosti a po uplynutí lehoty splatnosti.</w:t>
      </w:r>
    </w:p>
    <w:tbl>
      <w:tblPr>
        <w:tblStyle w:val="4"/>
        <w:tblW w:w="991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2"/>
        <w:gridCol w:w="2749"/>
        <w:gridCol w:w="3044"/>
      </w:tblGrid>
      <w:tr w14:paraId="5EC29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B7697C">
            <w:pPr>
              <w:keepNext/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3819593">
            <w:pPr>
              <w:keepNext/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77D07D">
            <w:pPr>
              <w:keepNext/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59375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4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0DE0F7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748812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C76BF7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  <w:lang w:eastAsia="sk-SK"/>
              </w:rPr>
            </w:pPr>
          </w:p>
        </w:tc>
      </w:tr>
      <w:tr w14:paraId="0F157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4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508C01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D9D871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744490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 w14:paraId="6235C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4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48163B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B57E59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46E72C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3AD502BB">
      <w:pPr>
        <w:numPr>
          <w:ilvl w:val="0"/>
          <w:numId w:val="5"/>
        </w:numPr>
        <w:spacing w:before="240" w:beforeLines="0" w:afterLines="0" w:line="240" w:lineRule="auto"/>
        <w:ind w:left="142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o začiatočnom stave, tvorbe, čerpaní a konečnom zostatku sociálneho fondu v priebehu bežného účtovného obdobia. </w:t>
      </w:r>
    </w:p>
    <w:tbl>
      <w:tblPr>
        <w:tblStyle w:val="4"/>
        <w:tblW w:w="0" w:type="auto"/>
        <w:tblInd w:w="2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0"/>
        <w:gridCol w:w="3686"/>
      </w:tblGrid>
      <w:tr w14:paraId="4BE7F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5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3E119A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C00315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14:paraId="5FEEA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5A48C7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FC11DE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</w:tr>
      <w:tr w14:paraId="351D8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C60AB0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4E5C6F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 w14:paraId="6F609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DA5A82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049576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 w14:paraId="52B1B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E323A2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6382EB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 w14:paraId="736C2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D82DFD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1BB9E5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</w:tr>
    </w:tbl>
    <w:p w14:paraId="6748D415">
      <w:pPr>
        <w:numPr>
          <w:ilvl w:val="0"/>
          <w:numId w:val="5"/>
        </w:numPr>
        <w:spacing w:before="240" w:beforeLines="0" w:afterLines="0" w:line="240" w:lineRule="auto"/>
        <w:ind w:left="142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o bankových úveroch, pôžičkách a návratných finančných výpomociach s uvedením meny. </w:t>
      </w:r>
    </w:p>
    <w:tbl>
      <w:tblPr>
        <w:tblStyle w:val="4"/>
        <w:tblW w:w="0" w:type="auto"/>
        <w:tblInd w:w="2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851"/>
        <w:gridCol w:w="1134"/>
        <w:gridCol w:w="1275"/>
        <w:gridCol w:w="1843"/>
        <w:gridCol w:w="1985"/>
      </w:tblGrid>
      <w:tr w14:paraId="11698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8CCF7D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23EE33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E2C9E5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DD97F7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6F03A4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A0FBDE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14:paraId="5B811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5FE57B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A03123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7D1A2D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6CF2FE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5D036E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F23DF6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 w14:paraId="05E0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8E1355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426AA6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C1A18B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D4F595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D8E083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BA7E1D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 w14:paraId="0AE69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95621B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A8211B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1D9FB4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410A9C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3E212F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FAF8BF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 w14:paraId="14B80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9A4434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98D248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45A567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AC4FB8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7DCDD5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5EB5C9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</w:tr>
      <w:tr w14:paraId="2DA98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A64A10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550150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2193EC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16ABD4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2304F8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B42F2C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</w:tr>
    </w:tbl>
    <w:p w14:paraId="458B7024">
      <w:pPr>
        <w:numPr>
          <w:ilvl w:val="0"/>
          <w:numId w:val="5"/>
        </w:numPr>
        <w:spacing w:before="240" w:beforeLines="0" w:afterLines="0" w:line="240" w:lineRule="auto"/>
        <w:ind w:left="142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o významných položkách časového rozlíšenia výdavkov budúcich období.</w:t>
      </w:r>
    </w:p>
    <w:p w14:paraId="32C6E88B">
      <w:pPr>
        <w:keepNext/>
        <w:numPr>
          <w:ilvl w:val="0"/>
          <w:numId w:val="5"/>
        </w:numPr>
        <w:spacing w:before="0" w:beforeLines="0" w:afterLines="0" w:line="240" w:lineRule="auto"/>
        <w:ind w:left="142" w:firstLine="0"/>
        <w:rPr>
          <w:rFonts w:hint="default" w:cs="Arial"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 xml:space="preserve"> </w:t>
      </w:r>
      <w:r>
        <w:rPr>
          <w:rFonts w:hint="default"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Style w:val="4"/>
        <w:tblW w:w="0" w:type="auto"/>
        <w:tblInd w:w="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1"/>
        <w:gridCol w:w="2977"/>
        <w:gridCol w:w="3118"/>
      </w:tblGrid>
      <w:tr w14:paraId="7F7B6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BC9821"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961039D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4F4E1C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39765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7B3C7E2"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885BF6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782171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2BECA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342E4B5"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3A5F21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2F5152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362A1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DD56FEF"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EC805E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52D2DF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5391D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9CFB82D"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C8EF16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6562D5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087C7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6D8B4AD"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6A51B9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941A03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62B56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F71D8D3"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44E81B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A5A892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6BBF9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2EE5F54"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F99E08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EE0793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727A9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6E98608"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1E85BB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095680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34269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EC97144"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98CF95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64A7A7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6E0C6C4E">
      <w:pPr>
        <w:spacing w:before="240" w:beforeLines="0" w:afterLines="0" w:line="240" w:lineRule="auto"/>
        <w:ind w:left="142"/>
        <w:rPr>
          <w:rFonts w:hint="default" w:cs="Arial"/>
          <w:sz w:val="22"/>
          <w:szCs w:val="22"/>
        </w:rPr>
      </w:pPr>
    </w:p>
    <w:tbl>
      <w:tblPr>
        <w:tblStyle w:val="4"/>
        <w:tblW w:w="0" w:type="auto"/>
        <w:tblInd w:w="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1"/>
        <w:gridCol w:w="2977"/>
        <w:gridCol w:w="3118"/>
      </w:tblGrid>
      <w:tr w14:paraId="203C8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4C6F30"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0B5B5A2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lang w:eastAsia="sk-SK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251701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0966A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560BB9"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B2A22E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F023D4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66EC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9AED36"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B64FA4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A5483C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4660F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57FD794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DAAFDA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1963E3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458ED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63339D2"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2DFD48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373309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423DE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DF4FA32"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  <w:r>
              <w:rPr>
                <w:rFonts w:hint="default"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A41CC5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D9201C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14A9F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0989BC6">
            <w:pPr>
              <w:spacing w:before="0" w:beforeLines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BA8524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ED76D8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10F5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5181051"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4AEA5F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FE8C9A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16660B50">
      <w:pPr>
        <w:keepNext/>
        <w:numPr>
          <w:ilvl w:val="0"/>
          <w:numId w:val="5"/>
        </w:numPr>
        <w:spacing w:before="240" w:beforeLines="0" w:afterLines="0" w:line="240" w:lineRule="auto"/>
        <w:ind w:left="142" w:hanging="142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Údaje o druhoch majetku a záväzkoch z lízingových zmlúv.</w:t>
      </w:r>
    </w:p>
    <w:tbl>
      <w:tblPr>
        <w:tblStyle w:val="4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7"/>
        <w:gridCol w:w="3082"/>
        <w:gridCol w:w="2515"/>
      </w:tblGrid>
      <w:tr w14:paraId="4737C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BEA1EC">
            <w:pPr>
              <w:keepNext/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C8EE76"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Hodnota záväzku</w:t>
            </w:r>
          </w:p>
        </w:tc>
      </w:tr>
      <w:tr w14:paraId="5903A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9869560">
            <w:pPr>
              <w:keepNext/>
              <w:spacing w:before="0" w:beforeLines="0" w:afterLines="0" w:line="240" w:lineRule="auto"/>
              <w:rPr>
                <w:rFonts w:hint="default"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9844F71"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03381E"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04644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D9D6ACE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9347898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DA195FD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4D91F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E577396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5AF16B0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ABB59B0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0F329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2D8F187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726B54B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5CAB9EF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2B624E03">
      <w:pPr>
        <w:keepNext/>
        <w:spacing w:before="240" w:beforeLines="0" w:afterLines="0" w:line="240" w:lineRule="auto"/>
        <w:jc w:val="center"/>
        <w:outlineLvl w:val="0"/>
        <w:rPr>
          <w:rFonts w:hint="default" w:cs="Arial"/>
          <w:b/>
          <w:kern w:val="32"/>
          <w:sz w:val="22"/>
          <w:szCs w:val="22"/>
        </w:rPr>
      </w:pPr>
      <w:r>
        <w:rPr>
          <w:rFonts w:hint="default" w:cs="Arial"/>
          <w:b/>
          <w:kern w:val="32"/>
          <w:sz w:val="22"/>
          <w:szCs w:val="22"/>
        </w:rPr>
        <w:t>Čl. IV</w:t>
      </w:r>
    </w:p>
    <w:p w14:paraId="66EE0EC8">
      <w:pPr>
        <w:keepNext/>
        <w:spacing w:before="0" w:beforeLines="0" w:afterLines="0" w:line="240" w:lineRule="auto"/>
        <w:jc w:val="center"/>
        <w:outlineLvl w:val="1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Informácie, ktoré dopĺňajú a vysvetľujú údaje vo výkaze ziskov a strát</w:t>
      </w:r>
    </w:p>
    <w:p w14:paraId="7F1E6528">
      <w:pPr>
        <w:numPr>
          <w:ilvl w:val="0"/>
          <w:numId w:val="6"/>
        </w:numPr>
        <w:spacing w:before="0" w:beforeLines="0" w:afterLines="0" w:line="240" w:lineRule="auto"/>
        <w:ind w:left="284" w:hanging="284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Style w:val="4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8"/>
        <w:gridCol w:w="3112"/>
        <w:gridCol w:w="2397"/>
      </w:tblGrid>
      <w:tr w14:paraId="17597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438626"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9BB796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4E6385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Zdaňovaná činnosť</w:t>
            </w:r>
          </w:p>
        </w:tc>
      </w:tr>
      <w:tr w14:paraId="0C0D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F031679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14E480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7E25F0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6A57F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316A438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F9D4DF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4A7767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59A29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4551854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900080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3D7B65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1696CCBD">
      <w:pPr>
        <w:numPr>
          <w:ilvl w:val="0"/>
          <w:numId w:val="6"/>
        </w:numPr>
        <w:spacing w:before="240" w:beforeLines="0" w:afterLines="0" w:line="240" w:lineRule="auto"/>
        <w:ind w:left="284" w:hanging="284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Style w:val="4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2"/>
        <w:gridCol w:w="2467"/>
        <w:gridCol w:w="2758"/>
      </w:tblGrid>
      <w:tr w14:paraId="11E87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20692B"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F73123E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8498DE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794CD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433E744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1AF8CB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606A8E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1B56E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07FE8B3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B1FEF4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173897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673D2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41B1463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C76F736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7801F26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7D632558">
      <w:pPr>
        <w:keepNext/>
        <w:numPr>
          <w:ilvl w:val="0"/>
          <w:numId w:val="6"/>
        </w:numPr>
        <w:spacing w:before="240" w:beforeLines="0" w:afterLines="0" w:line="240" w:lineRule="auto"/>
        <w:ind w:left="284" w:hanging="284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Style w:val="4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2"/>
        <w:gridCol w:w="2829"/>
        <w:gridCol w:w="2396"/>
      </w:tblGrid>
      <w:tr w14:paraId="2DCCC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CF4DC7"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AA77E9F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44BE9C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03C5A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FECB25A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C6BE784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BB23C36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14FF0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E37EB60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23531E1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A5E469F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3FD02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7F23907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3A0E248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FA59A2B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5421CA0A">
      <w:pPr>
        <w:keepNext/>
        <w:numPr>
          <w:ilvl w:val="0"/>
          <w:numId w:val="6"/>
        </w:numPr>
        <w:spacing w:before="240" w:beforeLines="0" w:afterLines="0" w:line="240" w:lineRule="auto"/>
        <w:ind w:left="284" w:hanging="284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Style w:val="4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1"/>
        <w:gridCol w:w="2830"/>
        <w:gridCol w:w="2396"/>
      </w:tblGrid>
      <w:tr w14:paraId="06EDC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87C85F">
            <w:pPr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8BA519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794228">
            <w:pPr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7AAA0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5AA925C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FF20A16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1938039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68E85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5A2A86F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A1F0B9C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DE49788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462D5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8B57CD5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227D733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7C59A12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31BB4686">
      <w:pPr>
        <w:numPr>
          <w:ilvl w:val="0"/>
          <w:numId w:val="6"/>
        </w:numPr>
        <w:spacing w:before="240"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Style w:val="4"/>
        <w:tblW w:w="0" w:type="auto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4"/>
        <w:gridCol w:w="2407"/>
        <w:gridCol w:w="2396"/>
      </w:tblGrid>
      <w:tr w14:paraId="16440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E060CC">
            <w:pPr>
              <w:keepNext/>
              <w:spacing w:before="0" w:beforeLines="0" w:afterLines="0" w:line="240" w:lineRule="auto"/>
              <w:jc w:val="left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D19073"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  <w:highlight w:val="yellow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hint="default"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F9818A">
            <w:pPr>
              <w:keepNext/>
              <w:spacing w:before="0" w:beforeLines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3F188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1C3B0DE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B3E18DA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5E7144F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6020B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D499140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DA9EEC5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8008419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27FF2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C7F30BB">
            <w:pPr>
              <w:spacing w:before="0" w:beforeLines="0" w:afterLines="0" w:line="240" w:lineRule="auto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FE8C0C9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71ACDE">
            <w:pPr>
              <w:spacing w:before="0" w:beforeLines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</w:tbl>
    <w:p w14:paraId="0ECA16CF">
      <w:pPr>
        <w:numPr>
          <w:ilvl w:val="0"/>
          <w:numId w:val="6"/>
        </w:numPr>
        <w:spacing w:before="240" w:beforeLines="0" w:afterLines="0" w:line="240" w:lineRule="auto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 xml:space="preserve"> Prehľad o účele a výške použitia zostatku prijatého podielu zaplatenej dane v minulých účtovných obdobiach a prijatého podielu zaplatenej dane v bežnom účtovnom období.</w:t>
      </w:r>
    </w:p>
    <w:tbl>
      <w:tblPr>
        <w:tblStyle w:val="4"/>
        <w:tblW w:w="10276" w:type="dxa"/>
        <w:tblInd w:w="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9"/>
        <w:gridCol w:w="2239"/>
        <w:gridCol w:w="2268"/>
      </w:tblGrid>
      <w:tr w14:paraId="774B0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6CA1BB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B480A7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77F714">
            <w:pPr>
              <w:spacing w:before="0" w:beforeLines="0" w:after="0" w:afterLines="0" w:line="240" w:lineRule="auto"/>
              <w:jc w:val="center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14:paraId="21F26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81ADE1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03C821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20C5FA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262F8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C4D4FF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A98231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CC5F15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0ACCB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9514CE">
            <w:pPr>
              <w:spacing w:before="0" w:beforeLines="0" w:after="0" w:afterLines="0" w:line="240" w:lineRule="auto"/>
              <w:jc w:val="left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962608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06F120">
            <w:pPr>
              <w:spacing w:before="0" w:beforeLines="0" w:after="0" w:afterLines="0" w:line="240" w:lineRule="auto"/>
              <w:jc w:val="center"/>
              <w:rPr>
                <w:rFonts w:hint="default" w:cs="Arial"/>
                <w:sz w:val="22"/>
                <w:szCs w:val="22"/>
              </w:rPr>
            </w:pPr>
          </w:p>
        </w:tc>
      </w:tr>
      <w:tr w14:paraId="43C3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535C87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  <w:r>
              <w:rPr>
                <w:rFonts w:hint="default"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7434F5">
            <w:pPr>
              <w:spacing w:before="0" w:beforeLines="0" w:after="0" w:afterLines="0" w:line="240" w:lineRule="auto"/>
              <w:jc w:val="left"/>
              <w:rPr>
                <w:rFonts w:hint="default" w:cs="Arial"/>
                <w:b/>
                <w:sz w:val="22"/>
                <w:szCs w:val="22"/>
              </w:rPr>
            </w:pPr>
          </w:p>
        </w:tc>
      </w:tr>
    </w:tbl>
    <w:p w14:paraId="26B40C21">
      <w:pPr>
        <w:keepNext/>
        <w:spacing w:before="240" w:beforeLines="0" w:afterLines="0" w:line="240" w:lineRule="auto"/>
        <w:jc w:val="center"/>
        <w:outlineLvl w:val="0"/>
        <w:rPr>
          <w:rFonts w:hint="default" w:cs="Arial"/>
          <w:b/>
          <w:kern w:val="32"/>
          <w:sz w:val="22"/>
          <w:szCs w:val="22"/>
        </w:rPr>
      </w:pPr>
      <w:r>
        <w:rPr>
          <w:rFonts w:hint="default" w:cs="Arial"/>
          <w:b/>
          <w:kern w:val="32"/>
          <w:sz w:val="22"/>
          <w:szCs w:val="22"/>
        </w:rPr>
        <w:t>Čl. V</w:t>
      </w:r>
    </w:p>
    <w:p w14:paraId="4440FE0F">
      <w:pPr>
        <w:keepNext/>
        <w:spacing w:before="0" w:beforeLines="0" w:afterLines="0" w:line="240" w:lineRule="auto"/>
        <w:jc w:val="center"/>
        <w:outlineLvl w:val="1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Opis údajov na podsúvahových účtoch</w:t>
      </w:r>
    </w:p>
    <w:p w14:paraId="2FF08230"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p w14:paraId="4173AEC6">
      <w:pPr>
        <w:keepNext/>
        <w:spacing w:before="240" w:beforeLines="0" w:afterLines="0" w:line="240" w:lineRule="auto"/>
        <w:jc w:val="center"/>
        <w:outlineLvl w:val="1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Čl. VI</w:t>
      </w:r>
    </w:p>
    <w:p w14:paraId="04516E7A">
      <w:pPr>
        <w:keepNext/>
        <w:spacing w:before="0" w:beforeLines="0" w:afterLines="0" w:line="240" w:lineRule="auto"/>
        <w:jc w:val="center"/>
        <w:outlineLvl w:val="1"/>
        <w:rPr>
          <w:rFonts w:hint="default" w:cs="Arial"/>
          <w:b/>
          <w:sz w:val="22"/>
          <w:szCs w:val="22"/>
        </w:rPr>
      </w:pPr>
      <w:r>
        <w:rPr>
          <w:rFonts w:hint="default" w:cs="Arial"/>
          <w:b/>
          <w:sz w:val="22"/>
          <w:szCs w:val="22"/>
        </w:rPr>
        <w:t>Ďalšie informácie</w:t>
      </w:r>
    </w:p>
    <w:p w14:paraId="7DDB238A"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C9E7598"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4AD7298B"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910235C"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9B67649"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450C573"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a) povinnosť z devízových termínovaných obchodov a iných finančných derivátov,</w:t>
      </w:r>
    </w:p>
    <w:p w14:paraId="03EC3AA3"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b) povinnosť z opčných obchodov,</w:t>
      </w:r>
    </w:p>
    <w:p w14:paraId="6D74653B"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c) zákonná povinnosť alebo zmluvná povinnosť odobrať určité produkty alebo služby, napríklad z dodávateľských zmlúv alebo odberateľských zmlúv,</w:t>
      </w:r>
    </w:p>
    <w:p w14:paraId="5B37A032"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d) povinnosť z lízingových zmlúv, nájomných zmlúv, servisných zmlúv, poistných zmlúv, koncesionárskych zmlúv, licenčných zmlúv a podobných zmlúv,</w:t>
      </w:r>
    </w:p>
    <w:p w14:paraId="538FB109">
      <w:pPr>
        <w:pStyle w:val="20"/>
        <w:numPr>
          <w:ilvl w:val="0"/>
          <w:numId w:val="0"/>
        </w:numPr>
        <w:tabs>
          <w:tab w:val="clear" w:pos="1440"/>
        </w:tabs>
        <w:spacing w:beforeLines="0" w:afterLines="0"/>
        <w:ind w:left="0" w:firstLine="0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e) iné povinnosti.</w:t>
      </w:r>
    </w:p>
    <w:p w14:paraId="1262FB4D"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14:paraId="10D5464B">
      <w:pPr>
        <w:spacing w:before="0" w:beforeLines="0" w:afterLines="0" w:line="240" w:lineRule="auto"/>
        <w:rPr>
          <w:rFonts w:hint="default" w:cs="Arial"/>
          <w:sz w:val="22"/>
          <w:szCs w:val="22"/>
        </w:rPr>
      </w:pPr>
      <w:r>
        <w:rPr>
          <w:rFonts w:hint="default"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sectPr>
      <w:headerReference r:id="rId5" w:type="first"/>
      <w:footerReference r:id="rId7" w:type="first"/>
      <w:footerReference r:id="rId6" w:type="default"/>
      <w:pgSz w:w="11906" w:h="16838"/>
      <w:pgMar w:top="851" w:right="851" w:bottom="851" w:left="993" w:header="709" w:footer="709" w:gutter="0"/>
      <w:pgNumType w:start="7"/>
      <w:cols w:space="708" w:num="1"/>
      <w:titlePg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6AF3F">
    <w:pPr>
      <w:pStyle w:val="9"/>
      <w:spacing w:beforeLines="0" w:afterLines="0"/>
      <w:jc w:val="right"/>
      <w:rPr>
        <w:rFonts w:hint="default" w:cs="Arial"/>
        <w:sz w:val="20"/>
        <w:szCs w:val="24"/>
      </w:rPr>
    </w:pPr>
    <w:r>
      <w:rPr>
        <w:rFonts w:hint="default" w:cs="Arial"/>
        <w:sz w:val="20"/>
        <w:szCs w:val="24"/>
      </w:rPr>
      <w:t xml:space="preserve">Strana </w:t>
    </w:r>
    <w:r>
      <w:rPr>
        <w:rFonts w:hint="default" w:cs="Arial"/>
        <w:sz w:val="20"/>
        <w:szCs w:val="24"/>
      </w:rPr>
      <w:fldChar w:fldCharType="begin"/>
    </w:r>
    <w:r>
      <w:rPr>
        <w:rFonts w:hint="default" w:cs="Arial"/>
        <w:sz w:val="20"/>
        <w:szCs w:val="24"/>
      </w:rPr>
      <w:instrText xml:space="preserve">PAGE   \* MERGEFORMAT</w:instrText>
    </w:r>
    <w:r>
      <w:rPr>
        <w:rFonts w:hint="default" w:cs="Arial"/>
        <w:sz w:val="20"/>
        <w:szCs w:val="24"/>
      </w:rPr>
      <w:fldChar w:fldCharType="separate"/>
    </w:r>
    <w:r>
      <w:rPr>
        <w:rFonts w:hint="default" w:cs="Arial"/>
        <w:sz w:val="20"/>
        <w:szCs w:val="24"/>
      </w:rPr>
      <w:t>9</w:t>
    </w:r>
    <w:r>
      <w:rPr>
        <w:rFonts w:hint="default" w:cs="Arial"/>
        <w:sz w:val="20"/>
        <w:szCs w:val="24"/>
      </w:rPr>
      <w:fldChar w:fldCharType="end"/>
    </w:r>
  </w:p>
  <w:p w14:paraId="24690648">
    <w:pPr>
      <w:pStyle w:val="9"/>
      <w:tabs>
        <w:tab w:val="center" w:pos="5102"/>
        <w:tab w:val="right" w:pos="10204"/>
        <w:tab w:val="clear" w:pos="4536"/>
        <w:tab w:val="clear" w:pos="9072"/>
      </w:tabs>
      <w:spacing w:beforeLines="0" w:afterLines="0"/>
      <w:ind w:right="360"/>
      <w:rPr>
        <w:rFonts w:hint="default" w:cs="Arial"/>
        <w:sz w:val="20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001BE">
    <w:pPr>
      <w:pStyle w:val="9"/>
      <w:spacing w:beforeLines="0" w:afterLines="0"/>
      <w:jc w:val="right"/>
      <w:rPr>
        <w:rFonts w:hint="default" w:cs="Arial"/>
        <w:sz w:val="20"/>
        <w:szCs w:val="24"/>
      </w:rPr>
    </w:pPr>
    <w:r>
      <w:rPr>
        <w:rFonts w:hint="default" w:cs="Arial"/>
        <w:sz w:val="20"/>
        <w:szCs w:val="24"/>
      </w:rPr>
      <w:t>Strana 7</w:t>
    </w:r>
  </w:p>
  <w:p w14:paraId="351B4D59">
    <w:pPr>
      <w:pStyle w:val="9"/>
      <w:spacing w:beforeLines="0" w:afterLines="0"/>
      <w:rPr>
        <w:rFonts w:hint="default" w:cs="Arial"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6E7D2">
    <w:pPr>
      <w:pStyle w:val="10"/>
      <w:spacing w:beforeLines="0" w:afterLines="0"/>
      <w:jc w:val="right"/>
      <w:rPr>
        <w:rFonts w:hint="default" w:cs="Arial"/>
        <w:sz w:val="20"/>
        <w:szCs w:val="24"/>
      </w:rPr>
    </w:pPr>
  </w:p>
  <w:p w14:paraId="5955B304">
    <w:pPr>
      <w:pStyle w:val="10"/>
      <w:spacing w:beforeLines="0" w:afterLines="0"/>
      <w:rPr>
        <w:rFonts w:hint="default" w:cs="Arial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E361E5"/>
    <w:multiLevelType w:val="multilevel"/>
    <w:tmpl w:val="0AE361E5"/>
    <w:lvl w:ilvl="0" w:tentative="0">
      <w:start w:val="1"/>
      <w:numFmt w:val="decimal"/>
      <w:pStyle w:val="16"/>
      <w:lvlText w:val="K bodu %1"/>
      <w:lvlJc w:val="left"/>
      <w:pPr>
        <w:tabs>
          <w:tab w:val="left" w:pos="0"/>
        </w:tabs>
      </w:pPr>
      <w:rPr>
        <w:rFonts w:hint="default" w:cs="Times New Roman"/>
        <w:b/>
        <w:u w:val="none" w:color="auto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hint="default" w:cs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 w:cs="Times New Roman"/>
        <w:u w:val="none" w:color="auto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 w:cs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 w:cs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 w:cs="Times New Roman"/>
        <w:u w:val="none" w:color="auto"/>
      </w:rPr>
    </w:lvl>
  </w:abstractNum>
  <w:abstractNum w:abstractNumId="1">
    <w:nsid w:val="0B253E27"/>
    <w:multiLevelType w:val="multilevel"/>
    <w:tmpl w:val="0B253E27"/>
    <w:lvl w:ilvl="0" w:tentative="0">
      <w:start w:val="1"/>
      <w:numFmt w:val="decimal"/>
      <w:lvlText w:val="(%1)"/>
      <w:lvlJc w:val="left"/>
      <w:pPr>
        <w:ind w:left="644" w:hanging="360"/>
      </w:pPr>
      <w:rPr>
        <w:rFonts w:hint="default" w:cs="Times New Roman"/>
        <w:u w:val="none" w:color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cs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cs="Times New Roman"/>
        <w:u w:val="none" w:color="auto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cs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  <w:u w:val="none" w:color="auto"/>
      </w:rPr>
    </w:lvl>
  </w:abstractNum>
  <w:abstractNum w:abstractNumId="2">
    <w:nsid w:val="484256DF"/>
    <w:multiLevelType w:val="multilevel"/>
    <w:tmpl w:val="484256DF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 w:ascii="Arial Narrow" w:cs="Arial Narrow"/>
        <w:u w:val="none" w:color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cs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cs="Times New Roman"/>
        <w:u w:val="none" w:color="auto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cs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  <w:u w:val="none" w:color="auto"/>
      </w:rPr>
    </w:lvl>
  </w:abstractNum>
  <w:abstractNum w:abstractNumId="3">
    <w:nsid w:val="52A01D22"/>
    <w:multiLevelType w:val="multilevel"/>
    <w:tmpl w:val="52A01D22"/>
    <w:lvl w:ilvl="0" w:tentative="0">
      <w:start w:val="1"/>
      <w:numFmt w:val="upperRoman"/>
      <w:pStyle w:val="13"/>
      <w:suff w:val="nothing"/>
      <w:lvlText w:val="Čl. %1."/>
      <w:lvlJc w:val="center"/>
      <w:rPr>
        <w:rFonts w:hint="default" w:ascii="Arial" w:cs="Arial"/>
        <w:b/>
        <w:sz w:val="24"/>
        <w:szCs w:val="24"/>
        <w:u w:val="none" w:color="auto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 w:cs="Times New Roman"/>
        <w:u w:val="none" w:color="auto"/>
      </w:r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 w:cs="Times New Roman"/>
        <w:u w:val="none" w:color="auto"/>
      </w:r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 w:cs="Times New Roman"/>
        <w:u w:val="none" w:color="auto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 w:cs="Times New Roman"/>
        <w:u w:val="none" w:color="auto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 w:cs="Times New Roman"/>
        <w:u w:val="none" w:color="auto"/>
      </w:rPr>
    </w:lvl>
  </w:abstractNum>
  <w:abstractNum w:abstractNumId="4">
    <w:nsid w:val="62FA66D6"/>
    <w:multiLevelType w:val="multilevel"/>
    <w:tmpl w:val="62FA66D6"/>
    <w:lvl w:ilvl="0" w:tentative="0">
      <w:start w:val="1"/>
      <w:numFmt w:val="decimal"/>
      <w:pStyle w:val="20"/>
      <w:lvlText w:val="(%1)"/>
      <w:lvlJc w:val="left"/>
      <w:pPr>
        <w:tabs>
          <w:tab w:val="left" w:pos="1440"/>
        </w:tabs>
        <w:ind w:left="1440" w:hanging="360"/>
      </w:pPr>
      <w:rPr>
        <w:rFonts w:hint="default" w:ascii="Arial Narrow" w:cs="Arial Narrow"/>
        <w:color w:val="auto"/>
        <w:sz w:val="24"/>
        <w:szCs w:val="24"/>
        <w:u w:val="none" w:color="auto"/>
      </w:rPr>
    </w:lvl>
    <w:lvl w:ilvl="1" w:tentative="0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hint="default" w:cs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hint="default" w:cs="Times New Roman"/>
        <w:u w:val="none" w:color="auto"/>
      </w:rPr>
    </w:lvl>
    <w:lvl w:ilvl="4" w:tentative="0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hint="default" w:cs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hint="default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hint="default" w:cs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hint="default" w:cs="Times New Roman"/>
        <w:u w:val="none" w:color="auto"/>
      </w:rPr>
    </w:lvl>
  </w:abstractNum>
  <w:abstractNum w:abstractNumId="5">
    <w:nsid w:val="764178F5"/>
    <w:multiLevelType w:val="multilevel"/>
    <w:tmpl w:val="764178F5"/>
    <w:lvl w:ilvl="0" w:tentative="0">
      <w:start w:val="1"/>
      <w:numFmt w:val="decimal"/>
      <w:pStyle w:val="18"/>
      <w:lvlText w:val="(%1)"/>
      <w:lvlJc w:val="left"/>
      <w:pPr>
        <w:tabs>
          <w:tab w:val="left" w:pos="0"/>
        </w:tabs>
      </w:pPr>
      <w:rPr>
        <w:rFonts w:hint="default" w:cs="Times New Roman"/>
        <w:u w:val="none" w:color="auto"/>
      </w:rPr>
    </w:lvl>
    <w:lvl w:ilvl="1" w:tentative="0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hint="default" w:cs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hint="default" w:cs="Times New Roman"/>
        <w:u w:val="none" w:color="auto"/>
      </w:rPr>
    </w:lvl>
    <w:lvl w:ilvl="3" w:tentative="0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hint="default" w:cs="Times New Roman"/>
        <w:u w:val="none" w:color="auto"/>
      </w:rPr>
    </w:lvl>
    <w:lvl w:ilvl="4" w:tentative="0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hint="default" w:cs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hint="default" w:cs="Times New Roman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hint="default" w:cs="Times New Roman"/>
        <w:u w:val="none" w:color="auto"/>
      </w:rPr>
    </w:lvl>
    <w:lvl w:ilvl="7" w:tentative="0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hint="default" w:cs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hint="default" w:cs="Times New Roman"/>
        <w:u w:val="none" w:color="auto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C203E6D"/>
    <w:rsid w:val="3EAD38D4"/>
    <w:rsid w:val="70FF54BF"/>
    <w:rsid w:val="734926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9" w:name="heading 1"/>
    <w:lsdException w:qFormat="1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qFormat="1" w:uiPriority="39" w:name="toc 1"/>
    <w:lsdException w:qFormat="1" w:uiPriority="39" w:name="toc 2"/>
    <w:lsdException w:qFormat="1" w:uiPriority="39" w:name="toc 3"/>
    <w:lsdException w:qFormat="1" w:uiPriority="39" w:name="toc 4"/>
    <w:lsdException w:qFormat="1" w:uiPriority="39" w:name="toc 5"/>
    <w:lsdException w:qFormat="1" w:uiPriority="39" w:name="toc 6"/>
    <w:lsdException w:qFormat="1" w:uiPriority="39" w:name="toc 7"/>
    <w:lsdException w:qFormat="1" w:uiPriority="39" w:name="toc 8"/>
    <w:lsdException w:qFormat="1" w:uiPriority="39" w:name="toc 9"/>
    <w:lsdException w:unhideWhenUsed="0" w:uiPriority="99" w:semiHidden="0" w:name="Normal Indent"/>
    <w:lsdException w:unhideWhenUsed="0" w:uiPriority="99" w:semiHidden="0" w:name="footnote text"/>
    <w:lsdException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iPriority="99" w:semiHidden="0" w:name="annotation reference"/>
    <w:lsdException w:unhideWhenUsed="0" w:uiPriority="99" w:semiHidden="0" w:name="line number"/>
    <w:lsdException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qFormat="1" w:uiPriority="99" w:name="List Number"/>
    <w:lsdException w:unhideWhenUsed="0" w:uiPriority="99" w:semiHidden="0" w:name="List 2"/>
    <w:lsdException w:unhideWhenUsed="0" w:uiPriority="99" w:semiHidden="0" w:name="List 3"/>
    <w:lsdException w:qFormat="1" w:uiPriority="99" w:name="List 4"/>
    <w:lsdException w:qFormat="1"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iPriority="10" w:name="Title"/>
    <w:lsdException w:unhideWhenUsed="0" w:uiPriority="99" w:semiHidden="0" w:name="Closing"/>
    <w:lsdException w:unhideWhenUsed="0" w:uiPriority="99" w:semiHidden="0" w:name="Signature"/>
    <w:lsdException w:uiPriority="1" w:semiHidden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iPriority="11" w:name="Subtitle"/>
    <w:lsdException w:qFormat="1" w:uiPriority="99" w:name="Salutation"/>
    <w:lsdException w:qFormat="1" w:uiPriority="99" w:name="Date"/>
    <w:lsdException w:qFormat="1"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iPriority="22" w:semiHidden="0" w:name="Strong"/>
    <w:lsdException w:qFormat="1" w:uiPriority="2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iPriority="99" w:semiHidden="0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iPriority="99" w:name="Table Subtle 1"/>
    <w:lsdException w:qFormat="1" w:uiPriority="99" w:name="Table Subtle 2"/>
    <w:lsdException w:qFormat="1" w:uiPriority="99" w:name="Table Web 1"/>
    <w:lsdException w:qFormat="1" w:uiPriority="99" w:name="Table Web 2"/>
    <w:lsdException w:qFormat="1" w:uiPriority="99" w:name="Table Web 3"/>
    <w:lsdException w:uiPriority="99" w:semiHidden="0" w:name="Balloon Text"/>
    <w:lsdException w:unhideWhenUsed="0" w:uiPriority="99" w:semiHidden="0" w:name="Table Grid"/>
    <w:lsdException w:qFormat="1"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spacing w:before="120" w:beforeLines="0" w:after="120" w:afterLines="0" w:line="360" w:lineRule="auto"/>
      <w:jc w:val="both"/>
    </w:pPr>
    <w:rPr>
      <w:rFonts w:hint="default" w:ascii="Arial Narrow" w:hAnsi="Times New Roman" w:eastAsia="SimSun" w:cs="Arial Narrow"/>
      <w:sz w:val="20"/>
      <w:szCs w:val="24"/>
      <w:lang w:val="sk-SK" w:eastAsia="cs-CZ" w:bidi="ar-SA"/>
    </w:rPr>
  </w:style>
  <w:style w:type="paragraph" w:styleId="2">
    <w:name w:val="heading 2"/>
    <w:basedOn w:val="1"/>
    <w:next w:val="1"/>
    <w:link w:val="23"/>
    <w:unhideWhenUsed/>
    <w:qFormat/>
    <w:uiPriority w:val="99"/>
    <w:pPr>
      <w:keepNext/>
      <w:spacing w:before="240" w:beforeLines="0" w:after="60" w:afterLines="0"/>
      <w:outlineLvl w:val="1"/>
    </w:pPr>
    <w:rPr>
      <w:rFonts w:hint="default"/>
      <w:b/>
      <w:i/>
      <w:sz w:val="28"/>
      <w:szCs w:val="28"/>
    </w:rPr>
  </w:style>
  <w:style w:type="character" w:default="1" w:styleId="3">
    <w:name w:val="Default Paragraph Font"/>
    <w:unhideWhenUsed/>
    <w:uiPriority w:val="1"/>
    <w:rPr>
      <w:rFonts w:hint="default"/>
      <w:sz w:val="24"/>
      <w:szCs w:val="24"/>
    </w:rPr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6"/>
    <w:unhideWhenUsed/>
    <w:uiPriority w:val="99"/>
    <w:pPr>
      <w:spacing w:before="0" w:beforeLines="0" w:after="0" w:afterLines="0" w:line="240" w:lineRule="auto"/>
    </w:pPr>
    <w:rPr>
      <w:rFonts w:hint="default" w:ascii="Tahoma" w:cs="Tahoma"/>
      <w:sz w:val="16"/>
      <w:szCs w:val="16"/>
    </w:rPr>
  </w:style>
  <w:style w:type="character" w:styleId="6">
    <w:name w:val="annotation reference"/>
    <w:basedOn w:val="3"/>
    <w:unhideWhenUsed/>
    <w:uiPriority w:val="99"/>
    <w:rPr>
      <w:rFonts w:hint="default" w:cs="Times New Roman"/>
      <w:sz w:val="16"/>
      <w:szCs w:val="16"/>
    </w:rPr>
  </w:style>
  <w:style w:type="paragraph" w:styleId="7">
    <w:name w:val="annotation text"/>
    <w:basedOn w:val="1"/>
    <w:link w:val="28"/>
    <w:unhideWhenUsed/>
    <w:uiPriority w:val="99"/>
    <w:pPr>
      <w:spacing w:beforeLines="0" w:afterLines="0"/>
    </w:pPr>
    <w:rPr>
      <w:rFonts w:hint="default"/>
      <w:sz w:val="20"/>
      <w:szCs w:val="20"/>
    </w:rPr>
  </w:style>
  <w:style w:type="paragraph" w:styleId="8">
    <w:name w:val="annotation subject"/>
    <w:basedOn w:val="7"/>
    <w:next w:val="7"/>
    <w:link w:val="29"/>
    <w:unhideWhenUsed/>
    <w:uiPriority w:val="99"/>
    <w:pPr>
      <w:spacing w:beforeLines="0" w:afterLines="0"/>
    </w:pPr>
    <w:rPr>
      <w:rFonts w:hint="default"/>
      <w:b/>
      <w:sz w:val="20"/>
      <w:szCs w:val="20"/>
    </w:rPr>
  </w:style>
  <w:style w:type="paragraph" w:styleId="9">
    <w:name w:val="footer"/>
    <w:basedOn w:val="1"/>
    <w:link w:val="25"/>
    <w:unhideWhenUsed/>
    <w:uiPriority w:val="99"/>
    <w:pPr>
      <w:tabs>
        <w:tab w:val="center" w:pos="4536"/>
        <w:tab w:val="right" w:pos="9072"/>
      </w:tabs>
      <w:spacing w:beforeLines="0" w:afterLines="0"/>
    </w:pPr>
    <w:rPr>
      <w:rFonts w:hint="default"/>
      <w:sz w:val="20"/>
      <w:szCs w:val="24"/>
    </w:rPr>
  </w:style>
  <w:style w:type="paragraph" w:styleId="10">
    <w:name w:val="header"/>
    <w:basedOn w:val="1"/>
    <w:link w:val="27"/>
    <w:unhideWhenUsed/>
    <w:uiPriority w:val="99"/>
    <w:pPr>
      <w:tabs>
        <w:tab w:val="center" w:pos="4536"/>
        <w:tab w:val="right" w:pos="9072"/>
      </w:tabs>
      <w:spacing w:beforeLines="0" w:afterLines="0"/>
    </w:pPr>
    <w:rPr>
      <w:rFonts w:hint="default"/>
      <w:sz w:val="20"/>
      <w:szCs w:val="24"/>
    </w:rPr>
  </w:style>
  <w:style w:type="character" w:styleId="11">
    <w:name w:val="page number"/>
    <w:basedOn w:val="3"/>
    <w:unhideWhenUsed/>
    <w:uiPriority w:val="99"/>
    <w:rPr>
      <w:rFonts w:hint="default" w:cs="Times New Roman"/>
      <w:sz w:val="24"/>
      <w:szCs w:val="24"/>
    </w:rPr>
  </w:style>
  <w:style w:type="character" w:styleId="12">
    <w:name w:val="Strong"/>
    <w:basedOn w:val="3"/>
    <w:unhideWhenUsed/>
    <w:qFormat/>
    <w:uiPriority w:val="22"/>
    <w:rPr>
      <w:rFonts w:hint="default" w:cs="Times New Roman"/>
      <w:b/>
      <w:sz w:val="24"/>
      <w:szCs w:val="24"/>
    </w:rPr>
  </w:style>
  <w:style w:type="paragraph" w:customStyle="1" w:styleId="13">
    <w:name w:val="heading 1"/>
    <w:basedOn w:val="1"/>
    <w:next w:val="2"/>
    <w:link w:val="22"/>
    <w:unhideWhenUsed/>
    <w:qFormat/>
    <w:uiPriority w:val="99"/>
    <w:pPr>
      <w:keepNext/>
      <w:numPr>
        <w:ilvl w:val="0"/>
        <w:numId w:val="1"/>
      </w:numPr>
      <w:spacing w:beforeLines="0" w:afterLines="0" w:line="240" w:lineRule="auto"/>
      <w:jc w:val="center"/>
      <w:outlineLvl w:val="0"/>
    </w:pPr>
    <w:rPr>
      <w:rFonts w:hint="default"/>
      <w:b/>
      <w:sz w:val="20"/>
      <w:szCs w:val="24"/>
      <w:lang w:eastAsia="sk-SK"/>
    </w:rPr>
  </w:style>
  <w:style w:type="paragraph" w:customStyle="1" w:styleId="14">
    <w:name w:val="Štýl 11 pt Tučné Čierna Podľa okraja Vľavo:  019 cm Riadkova..."/>
    <w:next w:val="1"/>
    <w:unhideWhenUsed/>
    <w:uiPriority w:val="99"/>
    <w:pPr>
      <w:spacing w:beforeLines="0" w:afterLines="0" w:line="360" w:lineRule="auto"/>
      <w:jc w:val="both"/>
    </w:pPr>
    <w:rPr>
      <w:rFonts w:hint="default" w:ascii="Arial" w:hAnsi="Times New Roman" w:eastAsia="SimSun" w:cs="Arial"/>
      <w:color w:val="000000"/>
      <w:sz w:val="24"/>
      <w:szCs w:val="24"/>
      <w:lang w:val="sk-SK" w:eastAsia="cs-CZ" w:bidi="ar-SA"/>
    </w:rPr>
  </w:style>
  <w:style w:type="paragraph" w:customStyle="1" w:styleId="15">
    <w:name w:val="Štýl Podľa okraja Vľavo:  019 cm Riadkovanie:  15 riadka"/>
    <w:basedOn w:val="1"/>
    <w:unhideWhenUsed/>
    <w:uiPriority w:val="99"/>
    <w:pPr>
      <w:spacing w:beforeLines="0" w:afterLines="0"/>
      <w:ind w:left="108"/>
    </w:pPr>
    <w:rPr>
      <w:rFonts w:hint="default"/>
      <w:sz w:val="20"/>
      <w:szCs w:val="24"/>
    </w:rPr>
  </w:style>
  <w:style w:type="paragraph" w:customStyle="1" w:styleId="16">
    <w:name w:val="Bod odôvodnenie"/>
    <w:unhideWhenUsed/>
    <w:uiPriority w:val="99"/>
    <w:pPr>
      <w:numPr>
        <w:ilvl w:val="0"/>
        <w:numId w:val="2"/>
      </w:numPr>
      <w:spacing w:before="120" w:beforeLines="0" w:after="120" w:afterLines="0"/>
    </w:pPr>
    <w:rPr>
      <w:rFonts w:hint="default" w:ascii="Arial" w:hAnsi="Times New Roman" w:eastAsia="SimSun" w:cs="Arial"/>
      <w:b/>
      <w:sz w:val="24"/>
      <w:szCs w:val="24"/>
      <w:lang w:val="sk-SK" w:eastAsia="cs-CZ" w:bidi="ar-SA"/>
    </w:rPr>
  </w:style>
  <w:style w:type="paragraph" w:customStyle="1" w:styleId="17">
    <w:name w:val="Štýl Arial Podľa okraja"/>
    <w:unhideWhenUsed/>
    <w:uiPriority w:val="99"/>
    <w:pPr>
      <w:spacing w:beforeLines="0" w:afterLines="0"/>
      <w:jc w:val="both"/>
    </w:pPr>
    <w:rPr>
      <w:rFonts w:hint="default" w:ascii="Arial" w:hAnsi="Times New Roman" w:eastAsia="SimSun" w:cs="Arial"/>
      <w:sz w:val="16"/>
      <w:szCs w:val="16"/>
      <w:lang w:val="sk-SK" w:eastAsia="cs-CZ" w:bidi="ar-SA"/>
    </w:rPr>
  </w:style>
  <w:style w:type="paragraph" w:customStyle="1" w:styleId="18">
    <w:name w:val="Text poznámky"/>
    <w:basedOn w:val="1"/>
    <w:unhideWhenUsed/>
    <w:uiPriority w:val="99"/>
    <w:pPr>
      <w:numPr>
        <w:ilvl w:val="0"/>
        <w:numId w:val="3"/>
      </w:numPr>
      <w:spacing w:beforeLines="0" w:afterLines="0" w:line="240" w:lineRule="auto"/>
    </w:pPr>
    <w:rPr>
      <w:rFonts w:hint="default"/>
      <w:sz w:val="20"/>
      <w:szCs w:val="24"/>
    </w:rPr>
  </w:style>
  <w:style w:type="paragraph" w:customStyle="1" w:styleId="19">
    <w:name w:val="Normálny1"/>
    <w:next w:val="1"/>
    <w:unhideWhenUsed/>
    <w:qFormat/>
    <w:uiPriority w:val="0"/>
    <w:pPr>
      <w:spacing w:before="120" w:beforeLines="0" w:after="120" w:afterLines="0" w:line="360" w:lineRule="auto"/>
      <w:ind w:firstLine="709"/>
      <w:jc w:val="both"/>
    </w:pPr>
    <w:rPr>
      <w:rFonts w:hint="default" w:ascii="Arial" w:hAnsi="Times New Roman" w:eastAsia="SimSun" w:cs="Arial"/>
      <w:sz w:val="24"/>
      <w:szCs w:val="24"/>
      <w:lang w:val="sk-SK" w:eastAsia="cs-CZ" w:bidi="ar-SA"/>
    </w:rPr>
  </w:style>
  <w:style w:type="paragraph" w:customStyle="1" w:styleId="20">
    <w:name w:val="Text opatrenia"/>
    <w:unhideWhenUsed/>
    <w:uiPriority w:val="0"/>
    <w:pPr>
      <w:numPr>
        <w:ilvl w:val="0"/>
        <w:numId w:val="4"/>
      </w:numPr>
      <w:spacing w:before="120" w:beforeLines="0" w:after="120" w:afterLines="0"/>
      <w:ind w:left="1440" w:hanging="360"/>
      <w:jc w:val="both"/>
    </w:pPr>
    <w:rPr>
      <w:rFonts w:hint="default" w:ascii="Arial Narrow" w:hAnsi="Times New Roman" w:eastAsia="SimSun" w:cs="Arial Narrow"/>
      <w:sz w:val="22"/>
      <w:szCs w:val="22"/>
      <w:lang w:val="sk-SK" w:eastAsia="cs-CZ" w:bidi="ar-SA"/>
    </w:rPr>
  </w:style>
  <w:style w:type="paragraph" w:customStyle="1" w:styleId="21">
    <w:name w:val="Top Header"/>
    <w:basedOn w:val="1"/>
    <w:unhideWhenUsed/>
    <w:qFormat/>
    <w:uiPriority w:val="0"/>
    <w:pPr>
      <w:spacing w:before="0" w:beforeLines="0" w:after="0" w:afterLines="0" w:line="240" w:lineRule="auto"/>
      <w:jc w:val="center"/>
    </w:pPr>
    <w:rPr>
      <w:rFonts w:hint="default"/>
      <w:b/>
      <w:sz w:val="22"/>
      <w:szCs w:val="22"/>
      <w:lang w:eastAsia="en-US"/>
    </w:rPr>
  </w:style>
  <w:style w:type="character" w:customStyle="1" w:styleId="22">
    <w:name w:val="Nadpis 1 Char"/>
    <w:basedOn w:val="3"/>
    <w:link w:val="13"/>
    <w:unhideWhenUsed/>
    <w:locked/>
    <w:uiPriority w:val="9"/>
    <w:rPr>
      <w:rFonts w:hint="eastAsia" w:ascii="Cambria" w:hAnsi="Cambria" w:eastAsia="Times New Roman" w:cs="Times New Roman"/>
      <w:b/>
      <w:kern w:val="32"/>
      <w:sz w:val="32"/>
      <w:szCs w:val="32"/>
      <w:lang w:eastAsia="cs-CZ"/>
    </w:rPr>
  </w:style>
  <w:style w:type="character" w:customStyle="1" w:styleId="23">
    <w:name w:val="Nadpis 2 Char"/>
    <w:basedOn w:val="3"/>
    <w:link w:val="2"/>
    <w:unhideWhenUsed/>
    <w:locked/>
    <w:uiPriority w:val="9"/>
    <w:rPr>
      <w:rFonts w:hint="eastAsia" w:ascii="Cambria" w:hAnsi="Cambria" w:eastAsia="Times New Roman" w:cs="Times New Roman"/>
      <w:b/>
      <w:i/>
      <w:sz w:val="28"/>
      <w:szCs w:val="28"/>
      <w:lang w:eastAsia="cs-CZ"/>
    </w:rPr>
  </w:style>
  <w:style w:type="character" w:customStyle="1" w:styleId="24">
    <w:name w:val="Štýl Štýl § názov Char + 115 pt + Antique Olive Nie je Tučné"/>
    <w:basedOn w:val="3"/>
    <w:unhideWhenUsed/>
    <w:uiPriority w:val="99"/>
    <w:rPr>
      <w:rFonts w:hint="default" w:ascii="Arial" w:cs="Arial"/>
      <w:b/>
      <w:sz w:val="20"/>
      <w:szCs w:val="20"/>
      <w:lang w:val="sk-SK" w:eastAsia="sk-SK"/>
    </w:rPr>
  </w:style>
  <w:style w:type="character" w:customStyle="1" w:styleId="25">
    <w:name w:val="Päta Char"/>
    <w:basedOn w:val="3"/>
    <w:link w:val="9"/>
    <w:unhideWhenUsed/>
    <w:qFormat/>
    <w:locked/>
    <w:uiPriority w:val="99"/>
    <w:rPr>
      <w:rFonts w:hint="default" w:ascii="Arial" w:cs="Arial"/>
      <w:sz w:val="24"/>
      <w:szCs w:val="24"/>
      <w:lang w:eastAsia="cs-CZ"/>
    </w:rPr>
  </w:style>
  <w:style w:type="character" w:customStyle="1" w:styleId="26">
    <w:name w:val="Text bubliny Char"/>
    <w:basedOn w:val="3"/>
    <w:link w:val="5"/>
    <w:unhideWhenUsed/>
    <w:locked/>
    <w:uiPriority w:val="99"/>
    <w:rPr>
      <w:rFonts w:hint="default" w:ascii="Tahoma" w:cs="Tahoma"/>
      <w:sz w:val="16"/>
      <w:szCs w:val="16"/>
      <w:lang w:eastAsia="cs-CZ"/>
    </w:rPr>
  </w:style>
  <w:style w:type="character" w:customStyle="1" w:styleId="27">
    <w:name w:val="Hlavička Char"/>
    <w:basedOn w:val="3"/>
    <w:link w:val="10"/>
    <w:unhideWhenUsed/>
    <w:locked/>
    <w:uiPriority w:val="99"/>
    <w:rPr>
      <w:rFonts w:hint="default" w:ascii="Arial Narrow" w:cs="Arial Narrow"/>
      <w:sz w:val="24"/>
      <w:szCs w:val="24"/>
      <w:lang w:eastAsia="cs-CZ"/>
    </w:rPr>
  </w:style>
  <w:style w:type="character" w:customStyle="1" w:styleId="28">
    <w:name w:val="Text komentára Char"/>
    <w:basedOn w:val="3"/>
    <w:link w:val="7"/>
    <w:unhideWhenUsed/>
    <w:locked/>
    <w:uiPriority w:val="99"/>
    <w:rPr>
      <w:rFonts w:hint="default" w:ascii="Arial Narrow" w:cs="Arial Narrow"/>
      <w:sz w:val="24"/>
      <w:szCs w:val="24"/>
      <w:lang w:eastAsia="cs-CZ"/>
    </w:rPr>
  </w:style>
  <w:style w:type="character" w:customStyle="1" w:styleId="29">
    <w:name w:val="Predmet komentára Char"/>
    <w:basedOn w:val="28"/>
    <w:link w:val="8"/>
    <w:unhideWhenUsed/>
    <w:locked/>
    <w:uiPriority w:val="99"/>
    <w:rPr>
      <w:rFonts w:hint="default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TotalTime>5</TotalTime>
  <ScaleCrop>false</ScaleCrop>
  <LinksUpToDate>false</LinksUpToDate>
  <Application>WPS Office_12.2.0.20326_F1E327BC-269C-435d-A152-05C5408002CA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2023-03-28T18:33:00Z</dcterms:created>
  <dc:creator>katat</dc:creator>
  <cp:lastModifiedBy>Ala Pug</cp:lastModifiedBy>
  <dcterms:modified xsi:type="dcterms:W3CDTF">2025-03-26T17:38:24Z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E881D453DD89478787F6BF1C1E31A43E_13</vt:lpwstr>
  </property>
</Properties>
</file>