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tbl>
      <w:tblPr>
        <w:tblStyle w:val="4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</w:tblGrid>
      <w:tr w14:paraId="2706A0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06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549B22B3">
            <w:pPr>
              <w:keepNext/>
              <w:spacing w:before="0" w:beforeLines="0" w:afterLines="0" w:line="240" w:lineRule="auto"/>
              <w:jc w:val="left"/>
              <w:outlineLvl w:val="2"/>
              <w:rPr>
                <w:rFonts w:hint="default" w:cs="Arial"/>
                <w:b/>
                <w:sz w:val="22"/>
                <w:szCs w:val="22"/>
              </w:rPr>
            </w:pPr>
            <w:bookmarkStart w:id="0" w:name="_GoBack"/>
            <w:bookmarkEnd w:id="0"/>
            <w:r>
              <w:rPr>
                <w:rFonts w:hint="default" w:cs="Arial"/>
                <w:sz w:val="22"/>
                <w:szCs w:val="22"/>
                <w:lang w:eastAsia="sk-SK"/>
              </w:rPr>
              <w:t>Poznámky (Úč  NUJ 3 – 01)</w:t>
            </w:r>
          </w:p>
        </w:tc>
        <w:tc>
          <w:tcPr>
            <w:tcW w:w="2665" w:type="dxa"/>
            <w:tcBorders>
              <w:top w:val="nil"/>
              <w:left w:val="single" w:color="auto" w:sz="4" w:space="0"/>
              <w:bottom w:val="nil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0C8D4E9F">
            <w:pPr>
              <w:keepNext/>
              <w:spacing w:before="0" w:beforeLines="0" w:afterLines="0" w:line="240" w:lineRule="auto"/>
              <w:jc w:val="right"/>
              <w:outlineLvl w:val="2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 xml:space="preserve">IČO </w:t>
            </w: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A916144">
            <w:pPr>
              <w:keepNext/>
              <w:spacing w:before="0" w:beforeLines="0" w:afterLines="0" w:line="240" w:lineRule="auto"/>
              <w:outlineLvl w:val="2"/>
              <w:rPr>
                <w:rFonts w:hint="default" w:cs="Arial"/>
                <w:b/>
                <w:sz w:val="22"/>
                <w:szCs w:val="22"/>
                <w:lang w:val="sk-SK"/>
              </w:rPr>
            </w:pPr>
            <w:r>
              <w:rPr>
                <w:rFonts w:hint="default" w:cs="Arial"/>
                <w:b/>
                <w:sz w:val="22"/>
                <w:szCs w:val="22"/>
                <w:lang w:val="sk-SK"/>
              </w:rPr>
              <w:t>4</w:t>
            </w: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0B9A827">
            <w:pPr>
              <w:keepNext/>
              <w:spacing w:before="0" w:beforeLines="0" w:afterLines="0" w:line="240" w:lineRule="auto"/>
              <w:outlineLvl w:val="2"/>
              <w:rPr>
                <w:rFonts w:hint="default" w:cs="Arial"/>
                <w:b/>
                <w:sz w:val="22"/>
                <w:szCs w:val="22"/>
                <w:lang w:val="sk-SK"/>
              </w:rPr>
            </w:pPr>
            <w:r>
              <w:rPr>
                <w:rFonts w:hint="default" w:cs="Arial"/>
                <w:b/>
                <w:sz w:val="22"/>
                <w:szCs w:val="22"/>
                <w:lang w:val="sk-SK"/>
              </w:rPr>
              <w:t>6</w:t>
            </w: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2DDEBA8">
            <w:pPr>
              <w:keepNext/>
              <w:spacing w:before="0" w:beforeLines="0" w:afterLines="0" w:line="240" w:lineRule="auto"/>
              <w:outlineLvl w:val="2"/>
              <w:rPr>
                <w:rFonts w:hint="default" w:cs="Arial"/>
                <w:b/>
                <w:sz w:val="22"/>
                <w:szCs w:val="22"/>
                <w:lang w:val="sk-SK"/>
              </w:rPr>
            </w:pPr>
            <w:r>
              <w:rPr>
                <w:rFonts w:hint="default" w:cs="Arial"/>
                <w:b/>
                <w:sz w:val="22"/>
                <w:szCs w:val="22"/>
                <w:lang w:val="sk-SK"/>
              </w:rPr>
              <w:t>7</w:t>
            </w: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767993B2">
            <w:pPr>
              <w:keepNext/>
              <w:spacing w:before="0" w:beforeLines="0" w:afterLines="0" w:line="240" w:lineRule="auto"/>
              <w:outlineLvl w:val="2"/>
              <w:rPr>
                <w:rFonts w:hint="default" w:cs="Arial"/>
                <w:b/>
                <w:sz w:val="22"/>
                <w:szCs w:val="22"/>
                <w:lang w:val="sk-SK"/>
              </w:rPr>
            </w:pPr>
            <w:r>
              <w:rPr>
                <w:rFonts w:hint="default" w:cs="Arial"/>
                <w:b/>
                <w:sz w:val="22"/>
                <w:szCs w:val="22"/>
                <w:lang w:val="sk-SK"/>
              </w:rPr>
              <w:t>6</w:t>
            </w: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584CB38A">
            <w:pPr>
              <w:keepNext/>
              <w:spacing w:before="0" w:beforeLines="0" w:afterLines="0" w:line="240" w:lineRule="auto"/>
              <w:outlineLvl w:val="2"/>
              <w:rPr>
                <w:rFonts w:hint="default" w:cs="Arial"/>
                <w:b/>
                <w:sz w:val="22"/>
                <w:szCs w:val="22"/>
                <w:lang w:val="sk-SK"/>
              </w:rPr>
            </w:pPr>
            <w:r>
              <w:rPr>
                <w:rFonts w:hint="default" w:cs="Arial"/>
                <w:b/>
                <w:sz w:val="22"/>
                <w:szCs w:val="22"/>
                <w:lang w:val="sk-SK"/>
              </w:rPr>
              <w:t>9</w:t>
            </w: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5D5E956E">
            <w:pPr>
              <w:keepNext/>
              <w:spacing w:before="0" w:beforeLines="0" w:afterLines="0" w:line="240" w:lineRule="auto"/>
              <w:outlineLvl w:val="2"/>
              <w:rPr>
                <w:rFonts w:hint="default" w:cs="Arial"/>
                <w:b/>
                <w:sz w:val="22"/>
                <w:szCs w:val="22"/>
                <w:lang w:val="sk-SK"/>
              </w:rPr>
            </w:pPr>
            <w:r>
              <w:rPr>
                <w:rFonts w:hint="default" w:cs="Arial"/>
                <w:b/>
                <w:sz w:val="22"/>
                <w:szCs w:val="22"/>
                <w:lang w:val="sk-SK"/>
              </w:rPr>
              <w:t>2</w:t>
            </w: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8BF7CA4">
            <w:pPr>
              <w:keepNext/>
              <w:spacing w:before="0" w:beforeLines="0" w:afterLines="0" w:line="240" w:lineRule="auto"/>
              <w:outlineLvl w:val="2"/>
              <w:rPr>
                <w:rFonts w:hint="default" w:cs="Arial"/>
                <w:b/>
                <w:sz w:val="22"/>
                <w:szCs w:val="22"/>
                <w:lang w:val="sk-SK"/>
              </w:rPr>
            </w:pPr>
            <w:r>
              <w:rPr>
                <w:rFonts w:hint="default" w:cs="Arial"/>
                <w:b/>
                <w:sz w:val="22"/>
                <w:szCs w:val="22"/>
                <w:lang w:val="sk-SK"/>
              </w:rPr>
              <w:t>4</w:t>
            </w: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4E1C2F09">
            <w:pPr>
              <w:keepNext/>
              <w:spacing w:before="0" w:beforeLines="0" w:afterLines="0" w:line="240" w:lineRule="auto"/>
              <w:outlineLvl w:val="2"/>
              <w:rPr>
                <w:rFonts w:hint="default" w:cs="Arial"/>
                <w:b/>
                <w:sz w:val="22"/>
                <w:szCs w:val="22"/>
                <w:lang w:val="sk-SK"/>
              </w:rPr>
            </w:pPr>
            <w:r>
              <w:rPr>
                <w:rFonts w:hint="default" w:cs="Arial"/>
                <w:b/>
                <w:sz w:val="22"/>
                <w:szCs w:val="22"/>
                <w:lang w:val="sk-SK"/>
              </w:rPr>
              <w:t>2</w:t>
            </w: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49CE6E8A">
            <w:pPr>
              <w:keepNext/>
              <w:spacing w:before="0" w:beforeLines="0" w:afterLines="0" w:line="240" w:lineRule="auto"/>
              <w:outlineLvl w:val="2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F93FB62">
            <w:pPr>
              <w:keepNext/>
              <w:spacing w:before="0" w:beforeLines="0" w:afterLines="0" w:line="240" w:lineRule="auto"/>
              <w:outlineLvl w:val="2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5DB5E26A">
            <w:pPr>
              <w:keepNext/>
              <w:spacing w:before="0" w:beforeLines="0" w:afterLines="0" w:line="240" w:lineRule="auto"/>
              <w:outlineLvl w:val="2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3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810444D">
            <w:pPr>
              <w:keepNext/>
              <w:spacing w:before="0" w:beforeLines="0" w:afterLines="0" w:line="240" w:lineRule="auto"/>
              <w:outlineLvl w:val="2"/>
              <w:rPr>
                <w:rFonts w:hint="default" w:cs="Arial"/>
                <w:b/>
                <w:sz w:val="22"/>
                <w:szCs w:val="22"/>
              </w:rPr>
            </w:pPr>
          </w:p>
        </w:tc>
      </w:tr>
    </w:tbl>
    <w:p w14:paraId="7D225602">
      <w:pPr>
        <w:keepNext/>
        <w:spacing w:before="0" w:beforeLines="0" w:afterLines="0" w:line="240" w:lineRule="auto"/>
        <w:outlineLvl w:val="2"/>
        <w:rPr>
          <w:rFonts w:hint="default" w:cs="Arial"/>
          <w:b/>
          <w:sz w:val="22"/>
          <w:szCs w:val="22"/>
        </w:rPr>
      </w:pPr>
    </w:p>
    <w:p w14:paraId="0F2D4B46">
      <w:pPr>
        <w:keepNext/>
        <w:spacing w:before="0" w:beforeLines="0" w:afterLines="0" w:line="240" w:lineRule="auto"/>
        <w:jc w:val="center"/>
        <w:outlineLvl w:val="2"/>
        <w:rPr>
          <w:rFonts w:hint="default" w:cs="Arial"/>
          <w:b/>
          <w:sz w:val="22"/>
          <w:szCs w:val="22"/>
        </w:rPr>
      </w:pPr>
      <w:r>
        <w:rPr>
          <w:rFonts w:hint="default" w:cs="Arial"/>
          <w:b/>
          <w:sz w:val="22"/>
          <w:szCs w:val="22"/>
        </w:rPr>
        <w:t>Čl. I</w:t>
      </w:r>
    </w:p>
    <w:p w14:paraId="6C3C10B6">
      <w:pPr>
        <w:keepNext/>
        <w:spacing w:before="0" w:beforeLines="0" w:afterLines="0" w:line="240" w:lineRule="auto"/>
        <w:jc w:val="center"/>
        <w:outlineLvl w:val="1"/>
        <w:rPr>
          <w:rFonts w:hint="default" w:cs="Arial"/>
          <w:b/>
          <w:sz w:val="22"/>
          <w:szCs w:val="22"/>
        </w:rPr>
      </w:pPr>
      <w:r>
        <w:rPr>
          <w:rFonts w:hint="default" w:cs="Arial"/>
          <w:b/>
          <w:sz w:val="22"/>
          <w:szCs w:val="22"/>
        </w:rPr>
        <w:t>Všeobecné informácie</w:t>
      </w:r>
    </w:p>
    <w:p w14:paraId="777218B4">
      <w:pPr>
        <w:spacing w:before="0" w:beforeLines="0" w:afterLines="0" w:line="240" w:lineRule="auto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14:paraId="0506E328">
      <w:pPr>
        <w:spacing w:before="0" w:beforeLines="0" w:afterLines="0" w:line="240" w:lineRule="auto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2C10B9B2">
      <w:pPr>
        <w:spacing w:before="0" w:beforeLines="0" w:afterLines="0" w:line="240" w:lineRule="auto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(3) Opis činnosti, na účel ktorej bola účtovná jednotka zriadená a opis druhu podnikateľskej činnosti, ak ju účtovná jednotka vykonáva.</w:t>
      </w:r>
    </w:p>
    <w:p w14:paraId="20088849">
      <w:pPr>
        <w:spacing w:before="0" w:beforeLines="0" w:afterLines="0" w:line="240" w:lineRule="auto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(4) Priemerný prepočítaný počet zamestnancov, a z toho počet vedúcich zamestnancov účtovnej jednotky za účtovné obdobie, za ktoré sa zostavuje účtovná závierka (ďalej len „bežné účtovné obdobie“). Počet dobrovoľníkov vyslaných účtovnou jednotkou a počet dobrovoľníkov, ktorí vykonávali dobrovoľnícku činnosť pre účtovnú jednotku počas bežného účtovného obdobia. </w:t>
      </w:r>
    </w:p>
    <w:tbl>
      <w:tblPr>
        <w:tblStyle w:val="4"/>
        <w:tblW w:w="0" w:type="auto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57"/>
        <w:gridCol w:w="1843"/>
        <w:gridCol w:w="2268"/>
      </w:tblGrid>
      <w:tr w14:paraId="18403B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4B42C27B">
            <w:pPr>
              <w:pStyle w:val="20"/>
              <w:numPr>
                <w:ilvl w:val="0"/>
                <w:numId w:val="0"/>
              </w:numPr>
              <w:tabs>
                <w:tab w:val="clear" w:pos="1440"/>
              </w:tabs>
              <w:spacing w:before="0" w:beforeLines="0" w:after="0" w:afterLines="0"/>
              <w:ind w:left="0" w:firstLine="0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0CF4992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  <w:lang w:eastAsia="sk-SK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508A7064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  <w:lang w:eastAsia="sk-SK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Počet hodín vykonávania dobrovoľníckej činnosti</w:t>
            </w:r>
          </w:p>
        </w:tc>
      </w:tr>
      <w:tr w14:paraId="26073CB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5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71241ACC">
            <w:pPr>
              <w:pStyle w:val="20"/>
              <w:numPr>
                <w:ilvl w:val="0"/>
                <w:numId w:val="0"/>
              </w:numPr>
              <w:tabs>
                <w:tab w:val="clear" w:pos="1440"/>
              </w:tabs>
              <w:spacing w:before="0" w:beforeLines="0" w:after="0" w:afterLines="0"/>
              <w:ind w:left="0" w:firstLine="0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161E849">
            <w:pPr>
              <w:pStyle w:val="20"/>
              <w:numPr>
                <w:ilvl w:val="0"/>
                <w:numId w:val="0"/>
              </w:numPr>
              <w:tabs>
                <w:tab w:val="clear" w:pos="1440"/>
              </w:tabs>
              <w:spacing w:before="0" w:beforeLines="0" w:after="0" w:afterLines="0"/>
              <w:ind w:left="0" w:firstLine="0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CF44AF1">
            <w:pPr>
              <w:pStyle w:val="20"/>
              <w:numPr>
                <w:ilvl w:val="0"/>
                <w:numId w:val="0"/>
              </w:numPr>
              <w:tabs>
                <w:tab w:val="clear" w:pos="1440"/>
              </w:tabs>
              <w:spacing w:before="0" w:beforeLines="0" w:after="0" w:afterLines="0"/>
              <w:ind w:left="0" w:firstLine="0"/>
              <w:jc w:val="center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x</w:t>
            </w:r>
          </w:p>
        </w:tc>
      </w:tr>
      <w:tr w14:paraId="64C68C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5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721B67C">
            <w:pPr>
              <w:pStyle w:val="20"/>
              <w:numPr>
                <w:ilvl w:val="0"/>
                <w:numId w:val="0"/>
              </w:numPr>
              <w:tabs>
                <w:tab w:val="clear" w:pos="1440"/>
              </w:tabs>
              <w:spacing w:before="0" w:beforeLines="0" w:after="0" w:afterLines="0"/>
              <w:ind w:left="0" w:firstLine="0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z toho  počet vedúcich zamestnancov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7DBFB67E">
            <w:pPr>
              <w:pStyle w:val="20"/>
              <w:numPr>
                <w:ilvl w:val="0"/>
                <w:numId w:val="0"/>
              </w:numPr>
              <w:tabs>
                <w:tab w:val="clear" w:pos="1440"/>
              </w:tabs>
              <w:spacing w:before="0" w:beforeLines="0" w:after="0" w:afterLines="0"/>
              <w:ind w:left="0" w:firstLine="0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ABEEFBC">
            <w:pPr>
              <w:pStyle w:val="20"/>
              <w:numPr>
                <w:ilvl w:val="0"/>
                <w:numId w:val="0"/>
              </w:numPr>
              <w:tabs>
                <w:tab w:val="clear" w:pos="1440"/>
              </w:tabs>
              <w:spacing w:before="0" w:beforeLines="0" w:after="0" w:afterLines="0"/>
              <w:ind w:left="0" w:firstLine="0"/>
              <w:jc w:val="center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x</w:t>
            </w:r>
          </w:p>
        </w:tc>
      </w:tr>
      <w:tr w14:paraId="61D2D3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5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9B9DF5D">
            <w:pPr>
              <w:pStyle w:val="20"/>
              <w:numPr>
                <w:ilvl w:val="0"/>
                <w:numId w:val="0"/>
              </w:numPr>
              <w:tabs>
                <w:tab w:val="clear" w:pos="1440"/>
              </w:tabs>
              <w:spacing w:before="0" w:beforeLines="0" w:after="0" w:afterLines="0"/>
              <w:ind w:left="0" w:firstLine="0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 xml:space="preserve">Počet dobrovoľníkov vyslaných účtovnou jednotkou 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271F460">
            <w:pPr>
              <w:pStyle w:val="20"/>
              <w:numPr>
                <w:ilvl w:val="0"/>
                <w:numId w:val="0"/>
              </w:numPr>
              <w:tabs>
                <w:tab w:val="clear" w:pos="1440"/>
              </w:tabs>
              <w:spacing w:before="0" w:beforeLines="0" w:after="0" w:afterLines="0"/>
              <w:ind w:left="0" w:firstLine="0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FEB87CA">
            <w:pPr>
              <w:pStyle w:val="20"/>
              <w:numPr>
                <w:ilvl w:val="0"/>
                <w:numId w:val="0"/>
              </w:numPr>
              <w:tabs>
                <w:tab w:val="clear" w:pos="1440"/>
              </w:tabs>
              <w:spacing w:before="0" w:beforeLines="0" w:after="0" w:afterLines="0"/>
              <w:ind w:left="0" w:firstLine="0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5C1067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555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4C5DECE">
            <w:pPr>
              <w:pStyle w:val="20"/>
              <w:numPr>
                <w:ilvl w:val="0"/>
                <w:numId w:val="0"/>
              </w:numPr>
              <w:tabs>
                <w:tab w:val="clear" w:pos="1440"/>
              </w:tabs>
              <w:spacing w:before="0" w:beforeLines="0" w:after="0" w:afterLines="0"/>
              <w:ind w:left="0" w:firstLine="0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4E0F67E">
            <w:pPr>
              <w:pStyle w:val="20"/>
              <w:numPr>
                <w:ilvl w:val="0"/>
                <w:numId w:val="0"/>
              </w:numPr>
              <w:tabs>
                <w:tab w:val="clear" w:pos="1440"/>
              </w:tabs>
              <w:spacing w:before="0" w:beforeLines="0" w:after="0" w:afterLines="0"/>
              <w:ind w:left="0" w:firstLine="0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E751315">
            <w:pPr>
              <w:pStyle w:val="20"/>
              <w:numPr>
                <w:ilvl w:val="0"/>
                <w:numId w:val="0"/>
              </w:numPr>
              <w:tabs>
                <w:tab w:val="clear" w:pos="1440"/>
              </w:tabs>
              <w:spacing w:before="0" w:beforeLines="0" w:after="0" w:afterLines="0"/>
              <w:ind w:left="0" w:firstLine="0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</w:tbl>
    <w:p w14:paraId="4F585AE4">
      <w:pPr>
        <w:spacing w:beforeLines="0" w:afterLines="0" w:line="240" w:lineRule="auto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(5) Organizačná štruktúra účtovnej jednotky.</w:t>
      </w:r>
    </w:p>
    <w:p w14:paraId="16BAED97">
      <w:pPr>
        <w:spacing w:before="0" w:beforeLines="0" w:afterLines="0" w:line="240" w:lineRule="auto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(6) Informácia o organizáciách v zriaďovateľskej pôsobnosti účtovnej jednotky. </w:t>
      </w:r>
    </w:p>
    <w:p w14:paraId="107F7E3E">
      <w:pPr>
        <w:spacing w:before="0" w:beforeLines="0" w:afterLines="0" w:line="240" w:lineRule="auto"/>
        <w:rPr>
          <w:rFonts w:hint="default" w:cs="Arial"/>
          <w:sz w:val="22"/>
          <w:szCs w:val="22"/>
        </w:rPr>
      </w:pPr>
    </w:p>
    <w:p w14:paraId="7D9BFFE5">
      <w:pPr>
        <w:keepNext/>
        <w:spacing w:before="0" w:beforeLines="0" w:afterLines="0" w:line="240" w:lineRule="auto"/>
        <w:jc w:val="center"/>
        <w:outlineLvl w:val="0"/>
        <w:rPr>
          <w:rFonts w:hint="default" w:cs="Arial"/>
          <w:b/>
          <w:kern w:val="32"/>
          <w:sz w:val="22"/>
          <w:szCs w:val="22"/>
        </w:rPr>
      </w:pPr>
      <w:r>
        <w:rPr>
          <w:rFonts w:hint="default" w:cs="Arial"/>
          <w:b/>
          <w:kern w:val="32"/>
          <w:sz w:val="22"/>
          <w:szCs w:val="22"/>
        </w:rPr>
        <w:t>Čl. II</w:t>
      </w:r>
    </w:p>
    <w:p w14:paraId="6FC518FE">
      <w:pPr>
        <w:keepNext/>
        <w:spacing w:before="0" w:beforeLines="0" w:afterLines="0" w:line="240" w:lineRule="auto"/>
        <w:jc w:val="center"/>
        <w:outlineLvl w:val="1"/>
        <w:rPr>
          <w:rFonts w:hint="default" w:cs="Arial"/>
          <w:b/>
          <w:sz w:val="22"/>
          <w:szCs w:val="22"/>
        </w:rPr>
      </w:pPr>
      <w:r>
        <w:rPr>
          <w:rFonts w:hint="default" w:cs="Arial"/>
          <w:b/>
          <w:sz w:val="22"/>
          <w:szCs w:val="22"/>
        </w:rPr>
        <w:t>Informácie o účtovných zásadách a účtovných metódach</w:t>
      </w:r>
    </w:p>
    <w:p w14:paraId="0823A405">
      <w:pPr>
        <w:spacing w:before="0" w:beforeLines="0" w:afterLines="0" w:line="240" w:lineRule="auto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(1) Informácia, či je účtovná závierka zostavená za splnenia predpokladu, že účtovná jednotka bude nepretržite pokračovať vo svojej činnosti. </w:t>
      </w:r>
    </w:p>
    <w:p w14:paraId="354EE983">
      <w:pPr>
        <w:spacing w:before="0" w:beforeLines="0" w:afterLines="0" w:line="240" w:lineRule="auto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jednotky.</w:t>
      </w:r>
    </w:p>
    <w:p w14:paraId="7D4E51AA">
      <w:pPr>
        <w:spacing w:before="0" w:beforeLines="0" w:afterLines="0" w:line="240" w:lineRule="auto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(3) Spôsoby ocenenia jednotlivých položiek majetku a záväzkov.</w:t>
      </w:r>
    </w:p>
    <w:p w14:paraId="08BE59B3">
      <w:pPr>
        <w:spacing w:before="0" w:beforeLines="0" w:after="240" w:afterLines="0" w:line="240" w:lineRule="auto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(4) Spôsob zostavenia odpisového plánu pre jednotlivé druhy dlhodobého hmotného majetku a dlhodobého nehmotného majetku, pričom sa uvádza doba odpisovania, použité sadzby odpisov a odpisové metódy pri určení odpisov. 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48"/>
        <w:gridCol w:w="2548"/>
        <w:gridCol w:w="2549"/>
        <w:gridCol w:w="2549"/>
      </w:tblGrid>
      <w:tr w14:paraId="2CDCF9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6" w:hRule="atLeast"/>
        </w:trPr>
        <w:tc>
          <w:tcPr>
            <w:tcW w:w="2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C23DB98">
            <w:pPr>
              <w:keepNext/>
              <w:spacing w:before="0" w:beforeLines="0" w:after="24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Druh dlhodobého majetku</w:t>
            </w:r>
          </w:p>
        </w:tc>
        <w:tc>
          <w:tcPr>
            <w:tcW w:w="2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A107628">
            <w:pPr>
              <w:keepNext/>
              <w:spacing w:before="0" w:beforeLines="0" w:after="24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Doba odpisovania</w:t>
            </w:r>
          </w:p>
        </w:tc>
        <w:tc>
          <w:tcPr>
            <w:tcW w:w="2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666FA39">
            <w:pPr>
              <w:keepNext/>
              <w:spacing w:before="0" w:beforeLines="0" w:after="24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Sadzba odpisov</w:t>
            </w:r>
          </w:p>
        </w:tc>
        <w:tc>
          <w:tcPr>
            <w:tcW w:w="2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77C7C03">
            <w:pPr>
              <w:keepNext/>
              <w:spacing w:before="0" w:beforeLines="0" w:after="24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Odpisová metóda</w:t>
            </w:r>
          </w:p>
        </w:tc>
      </w:tr>
      <w:tr w14:paraId="204B563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2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5C59BEAE"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4955137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4BC183B8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4265868B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6D08F0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2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7B0BE55E"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2D18E8D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E5AEE8E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AB2D4CF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05B496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2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CFC2B00"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5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1559BF0F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72005998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5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C3BF039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</w:tbl>
    <w:p w14:paraId="37B3F0A0">
      <w:pPr>
        <w:spacing w:before="0" w:beforeLines="0" w:afterLines="0" w:line="240" w:lineRule="auto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(5) Zásady pre zohľadnenie zníženia hodnoty majetku. Uvádza sa, či účtovná jednotka uplatňuje opravné položky a rezervy.</w:t>
      </w:r>
    </w:p>
    <w:p w14:paraId="54DF67CE">
      <w:pPr>
        <w:spacing w:before="0" w:beforeLines="0" w:afterLines="0" w:line="240" w:lineRule="auto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(6) Informácie o účtovaní opráv významných chýb minulých účtovných období v bežnom účtovnom období s uvedením vplyvu na výsledok hospodárenia minulých rokov; súčasne sa môže uviesť aj informácia o účtovaní opráv nevýznamných chýb minulých účtovných období v bežnom účtovnom období s uvedením vplyvu na výsledok hospodárenia bežného účtovného obdobia.</w:t>
      </w:r>
    </w:p>
    <w:p w14:paraId="3729C9AF">
      <w:pPr>
        <w:keepNext/>
        <w:spacing w:before="240" w:beforeLines="0" w:afterLines="0" w:line="240" w:lineRule="auto"/>
        <w:jc w:val="center"/>
        <w:outlineLvl w:val="0"/>
        <w:rPr>
          <w:rFonts w:hint="default" w:cs="Arial"/>
          <w:b/>
          <w:kern w:val="32"/>
          <w:sz w:val="22"/>
          <w:szCs w:val="22"/>
        </w:rPr>
      </w:pPr>
      <w:r>
        <w:rPr>
          <w:rFonts w:hint="default" w:cs="Arial"/>
          <w:b/>
          <w:kern w:val="32"/>
          <w:sz w:val="22"/>
          <w:szCs w:val="22"/>
        </w:rPr>
        <w:t>Čl. III</w:t>
      </w:r>
    </w:p>
    <w:p w14:paraId="65A63D70">
      <w:pPr>
        <w:keepNext/>
        <w:spacing w:before="0" w:beforeLines="0" w:afterLines="0" w:line="240" w:lineRule="auto"/>
        <w:jc w:val="center"/>
        <w:outlineLvl w:val="1"/>
        <w:rPr>
          <w:rFonts w:hint="default" w:cs="Arial"/>
          <w:b/>
          <w:sz w:val="22"/>
          <w:szCs w:val="22"/>
        </w:rPr>
      </w:pPr>
      <w:r>
        <w:rPr>
          <w:rFonts w:hint="default" w:cs="Arial"/>
          <w:b/>
          <w:sz w:val="22"/>
          <w:szCs w:val="22"/>
        </w:rPr>
        <w:t>Informácie, ktoré dopĺňajú a vysvetľujú údaje v súvahe</w:t>
      </w:r>
    </w:p>
    <w:p w14:paraId="0B401CDB">
      <w:pPr>
        <w:numPr>
          <w:ilvl w:val="0"/>
          <w:numId w:val="5"/>
        </w:numPr>
        <w:spacing w:before="0" w:beforeLines="0" w:afterLines="0" w:line="240" w:lineRule="auto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Významné sumy prírastkov a úbytkov dlhodobého nehmotného majetku a dlhodobého hmotného majetku.</w:t>
      </w:r>
    </w:p>
    <w:p w14:paraId="2C2CFCFA">
      <w:pPr>
        <w:numPr>
          <w:ilvl w:val="0"/>
          <w:numId w:val="5"/>
        </w:numPr>
        <w:spacing w:before="0" w:beforeLines="0" w:afterLines="0" w:line="240" w:lineRule="auto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Prehľad dlhodobého majetku, na ktorý je zriadené záložné právo a prehľad dlhodobého majetku, pri ktorom má účtovná jednotka obmedzené právo s ním nakladať.</w:t>
      </w:r>
    </w:p>
    <w:p w14:paraId="15BD6563">
      <w:pPr>
        <w:numPr>
          <w:ilvl w:val="0"/>
          <w:numId w:val="5"/>
        </w:numPr>
        <w:spacing w:before="0" w:beforeLines="0" w:afterLines="0" w:line="240" w:lineRule="auto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Údaje o štruktúre dlhodobého finančného majetku za bežné účtovné obdobie a jeho umiestnenie v členení podľa položiek súvahy v riadkoch 022 a 023.</w:t>
      </w:r>
    </w:p>
    <w:tbl>
      <w:tblPr>
        <w:tblStyle w:val="4"/>
        <w:tblW w:w="10022" w:type="dxa"/>
        <w:tblInd w:w="1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19"/>
        <w:gridCol w:w="2409"/>
        <w:gridCol w:w="2694"/>
      </w:tblGrid>
      <w:tr w14:paraId="4EA63B6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9" w:hRule="atLeast"/>
        </w:trPr>
        <w:tc>
          <w:tcPr>
            <w:tcW w:w="491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9BB3B14"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Názov účtovnej jednotky</w:t>
            </w:r>
          </w:p>
        </w:tc>
        <w:tc>
          <w:tcPr>
            <w:tcW w:w="2409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71FEE024"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Podiel na základnom imaní (v %)</w:t>
            </w:r>
          </w:p>
        </w:tc>
        <w:tc>
          <w:tcPr>
            <w:tcW w:w="269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F262FEF"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Podiel účtovnej jednotky na hlasovacích právach</w:t>
            </w:r>
          </w:p>
          <w:p w14:paraId="200AA8D0"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(v %)</w:t>
            </w:r>
          </w:p>
        </w:tc>
      </w:tr>
      <w:tr w14:paraId="7EE8EC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3" w:hRule="atLeast"/>
        </w:trPr>
        <w:tc>
          <w:tcPr>
            <w:tcW w:w="491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289FA47"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2409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18C9C52E"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269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A3A681C"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</w:p>
        </w:tc>
      </w:tr>
      <w:tr w14:paraId="1C57F6A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49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7BE1E5A7">
            <w:pPr>
              <w:spacing w:before="0" w:beforeLines="0" w:after="0" w:afterLines="0" w:line="240" w:lineRule="auto"/>
              <w:rPr>
                <w:rFonts w:hint="default" w:ascii="Arial" w:cs="Arial"/>
                <w:sz w:val="16"/>
                <w:szCs w:val="16"/>
                <w:lang w:val="sk-SK"/>
              </w:rPr>
            </w:pPr>
            <w:r>
              <w:rPr>
                <w:rFonts w:hint="default" w:ascii="Arial" w:cs="Arial"/>
                <w:sz w:val="16"/>
                <w:szCs w:val="16"/>
                <w:lang w:val="sk-SK"/>
              </w:rPr>
              <w:t>Solomon Stav s.r.o.</w:t>
            </w: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492B082">
            <w:pPr>
              <w:spacing w:before="0" w:beforeLines="0" w:after="0" w:afterLines="0" w:line="240" w:lineRule="auto"/>
              <w:jc w:val="center"/>
              <w:rPr>
                <w:rFonts w:hint="default" w:ascii="Arial" w:cs="Arial"/>
                <w:sz w:val="16"/>
                <w:szCs w:val="16"/>
                <w:lang w:val="sk-SK"/>
              </w:rPr>
            </w:pPr>
            <w:r>
              <w:rPr>
                <w:rFonts w:hint="default" w:ascii="Arial" w:cs="Arial"/>
                <w:sz w:val="16"/>
                <w:szCs w:val="16"/>
                <w:lang w:val="sk-SK"/>
              </w:rPr>
              <w:t>100</w:t>
            </w:r>
          </w:p>
        </w:tc>
        <w:tc>
          <w:tcPr>
            <w:tcW w:w="2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6A5D8BBC">
            <w:pPr>
              <w:spacing w:before="0" w:beforeLines="0" w:after="0" w:afterLines="0" w:line="240" w:lineRule="auto"/>
              <w:jc w:val="center"/>
              <w:rPr>
                <w:rFonts w:hint="default" w:ascii="Arial" w:cs="Arial"/>
                <w:sz w:val="16"/>
                <w:szCs w:val="16"/>
              </w:rPr>
            </w:pPr>
          </w:p>
        </w:tc>
      </w:tr>
      <w:tr w14:paraId="629818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49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E644081">
            <w:pPr>
              <w:spacing w:before="0" w:beforeLines="0" w:after="0" w:afterLines="0" w:line="240" w:lineRule="auto"/>
              <w:rPr>
                <w:rFonts w:hint="default" w:ascii="Arial" w:cs="Arial"/>
                <w:sz w:val="16"/>
                <w:szCs w:val="16"/>
              </w:rPr>
            </w:pPr>
          </w:p>
        </w:tc>
        <w:tc>
          <w:tcPr>
            <w:tcW w:w="240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A446811">
            <w:pPr>
              <w:spacing w:before="0" w:beforeLines="0" w:after="0" w:afterLines="0" w:line="240" w:lineRule="auto"/>
              <w:jc w:val="center"/>
              <w:rPr>
                <w:rFonts w:hint="default" w:ascii="Arial" w:cs="Arial"/>
                <w:sz w:val="16"/>
                <w:szCs w:val="16"/>
              </w:rPr>
            </w:pPr>
          </w:p>
        </w:tc>
        <w:tc>
          <w:tcPr>
            <w:tcW w:w="26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5CFFBAB">
            <w:pPr>
              <w:spacing w:before="0" w:beforeLines="0" w:after="0" w:afterLines="0" w:line="240" w:lineRule="auto"/>
              <w:jc w:val="center"/>
              <w:rPr>
                <w:rFonts w:hint="default" w:ascii="Arial" w:cs="Arial"/>
                <w:sz w:val="16"/>
                <w:szCs w:val="16"/>
              </w:rPr>
            </w:pPr>
          </w:p>
        </w:tc>
      </w:tr>
    </w:tbl>
    <w:p w14:paraId="0B435CD3">
      <w:pPr>
        <w:numPr>
          <w:ilvl w:val="0"/>
          <w:numId w:val="5"/>
        </w:numPr>
        <w:spacing w:beforeLines="0" w:afterLines="0" w:line="240" w:lineRule="auto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Údaje o štruktúre dlhodobého finančného majetku a krátkodobého finančného majetku v členení podľa položiek súvahy v riadkoch 024, 026 a 055.</w:t>
      </w:r>
    </w:p>
    <w:tbl>
      <w:tblPr>
        <w:tblStyle w:val="4"/>
        <w:tblW w:w="0" w:type="auto"/>
        <w:tblInd w:w="-5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55"/>
        <w:gridCol w:w="3351"/>
        <w:gridCol w:w="3351"/>
      </w:tblGrid>
      <w:tr w14:paraId="27A446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736FA80">
            <w:pPr>
              <w:keepNext/>
              <w:spacing w:beforeLines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 xml:space="preserve">Opis druhu finančného majetku </w:t>
            </w:r>
          </w:p>
        </w:tc>
        <w:tc>
          <w:tcPr>
            <w:tcW w:w="3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61237BBE">
            <w:pPr>
              <w:keepNext/>
              <w:spacing w:beforeLines="0" w:afterLines="0" w:line="240" w:lineRule="auto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hint="default"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D74B414">
            <w:pPr>
              <w:keepNext/>
              <w:spacing w:beforeLines="0" w:afterLines="0" w:line="240" w:lineRule="auto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14:paraId="250955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3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7C8F361D">
            <w:pPr>
              <w:spacing w:before="0" w:beforeLines="0" w:after="0" w:afterLines="0" w:line="240" w:lineRule="auto"/>
              <w:rPr>
                <w:rFonts w:hint="default" w:asci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3EC6893">
            <w:pPr>
              <w:spacing w:before="0" w:beforeLines="0" w:after="0" w:afterLines="0" w:line="240" w:lineRule="auto"/>
              <w:rPr>
                <w:rFonts w:hint="default" w:asci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9E27464">
            <w:pPr>
              <w:spacing w:before="0" w:beforeLines="0" w:after="0" w:afterLines="0" w:line="240" w:lineRule="auto"/>
              <w:rPr>
                <w:rFonts w:hint="default" w:ascii="Arial" w:cs="Arial"/>
                <w:sz w:val="16"/>
                <w:szCs w:val="16"/>
              </w:rPr>
            </w:pPr>
          </w:p>
        </w:tc>
      </w:tr>
      <w:tr w14:paraId="552F36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33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2EBAC08">
            <w:pPr>
              <w:spacing w:before="0" w:beforeLines="0" w:after="0" w:afterLines="0" w:line="240" w:lineRule="auto"/>
              <w:rPr>
                <w:rFonts w:hint="default" w:asci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F93EF73">
            <w:pPr>
              <w:spacing w:before="0" w:beforeLines="0" w:after="0" w:afterLines="0" w:line="240" w:lineRule="auto"/>
              <w:rPr>
                <w:rFonts w:hint="default" w:asci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247D61B">
            <w:pPr>
              <w:spacing w:before="0" w:beforeLines="0" w:after="0" w:afterLines="0" w:line="240" w:lineRule="auto"/>
              <w:rPr>
                <w:rFonts w:hint="default" w:ascii="Arial" w:cs="Arial"/>
                <w:sz w:val="16"/>
                <w:szCs w:val="16"/>
              </w:rPr>
            </w:pPr>
          </w:p>
        </w:tc>
      </w:tr>
    </w:tbl>
    <w:p w14:paraId="30FFF6AB">
      <w:pPr>
        <w:numPr>
          <w:ilvl w:val="0"/>
          <w:numId w:val="5"/>
        </w:numPr>
        <w:spacing w:beforeLines="0" w:afterLines="0" w:line="240" w:lineRule="auto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Údaje o štruktúre dlhodobých pôžičiek.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50"/>
        <w:gridCol w:w="3351"/>
        <w:gridCol w:w="3351"/>
      </w:tblGrid>
      <w:tr w14:paraId="37D7AE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751DF40">
            <w:pPr>
              <w:keepNext/>
              <w:spacing w:beforeLines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Poskytnuté dlhodobé pôžičky</w:t>
            </w:r>
          </w:p>
        </w:tc>
        <w:tc>
          <w:tcPr>
            <w:tcW w:w="3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4CD88758">
            <w:pPr>
              <w:keepNext/>
              <w:spacing w:beforeLines="0" w:afterLines="0" w:line="240" w:lineRule="auto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hint="default"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75FB8BCB">
            <w:pPr>
              <w:keepNext/>
              <w:spacing w:beforeLines="0" w:afterLines="0" w:line="240" w:lineRule="auto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14:paraId="0FCFF2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3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659A589">
            <w:pPr>
              <w:spacing w:before="0" w:beforeLines="0" w:after="0" w:afterLines="0" w:line="240" w:lineRule="auto"/>
              <w:rPr>
                <w:rFonts w:hint="default" w:asci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B82AF3D">
            <w:pPr>
              <w:spacing w:before="0" w:beforeLines="0" w:after="0" w:afterLines="0" w:line="240" w:lineRule="auto"/>
              <w:rPr>
                <w:rFonts w:hint="default" w:asci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45D186ED">
            <w:pPr>
              <w:spacing w:before="0" w:beforeLines="0" w:after="0" w:afterLines="0" w:line="240" w:lineRule="auto"/>
              <w:rPr>
                <w:rFonts w:hint="default" w:ascii="Arial" w:cs="Arial"/>
                <w:sz w:val="16"/>
                <w:szCs w:val="16"/>
              </w:rPr>
            </w:pPr>
          </w:p>
        </w:tc>
      </w:tr>
      <w:tr w14:paraId="086740D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33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ABAF70C">
            <w:pPr>
              <w:spacing w:before="0" w:beforeLines="0" w:after="0" w:afterLines="0" w:line="240" w:lineRule="auto"/>
              <w:rPr>
                <w:rFonts w:hint="default" w:asci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522CE4DC">
            <w:pPr>
              <w:spacing w:before="0" w:beforeLines="0" w:after="0" w:afterLines="0" w:line="240" w:lineRule="auto"/>
              <w:rPr>
                <w:rFonts w:hint="default" w:ascii="Arial" w:cs="Arial"/>
                <w:sz w:val="16"/>
                <w:szCs w:val="16"/>
              </w:rPr>
            </w:pPr>
          </w:p>
        </w:tc>
        <w:tc>
          <w:tcPr>
            <w:tcW w:w="33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7D801D33">
            <w:pPr>
              <w:spacing w:before="0" w:beforeLines="0" w:after="0" w:afterLines="0" w:line="240" w:lineRule="auto"/>
              <w:rPr>
                <w:rFonts w:hint="default" w:ascii="Arial" w:cs="Arial"/>
                <w:sz w:val="16"/>
                <w:szCs w:val="16"/>
              </w:rPr>
            </w:pPr>
          </w:p>
        </w:tc>
      </w:tr>
    </w:tbl>
    <w:p w14:paraId="49CC1D4F">
      <w:pPr>
        <w:keepNext/>
        <w:numPr>
          <w:ilvl w:val="0"/>
          <w:numId w:val="5"/>
        </w:numPr>
        <w:spacing w:beforeLines="0" w:afterLines="0" w:line="240" w:lineRule="auto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Prehľad  o vývoji významných súm opravných položiek podľa jednotlivých druhov majetku.</w:t>
      </w:r>
    </w:p>
    <w:tbl>
      <w:tblPr>
        <w:tblStyle w:val="4"/>
        <w:tblW w:w="10135" w:type="dxa"/>
        <w:tblInd w:w="1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7"/>
        <w:gridCol w:w="1984"/>
        <w:gridCol w:w="1843"/>
        <w:gridCol w:w="1984"/>
        <w:gridCol w:w="2127"/>
      </w:tblGrid>
      <w:tr w14:paraId="66B5C1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4F310AA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Druh majetku, ku ktorému sa tvorí opravná položka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E329A35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  <w:highlight w:val="yellow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 xml:space="preserve">Stav opravnej položky na </w:t>
            </w:r>
            <w:r>
              <w:rPr>
                <w:rFonts w:hint="default"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45BABCD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767281E7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Zúčtovanie opravnej položky</w:t>
            </w:r>
          </w:p>
          <w:p w14:paraId="2A4EEE4A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(použitie, zrušenie)</w:t>
            </w: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E65E732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Stav opravnej položky na konci bežného účtovného obdobia</w:t>
            </w:r>
          </w:p>
        </w:tc>
      </w:tr>
      <w:tr w14:paraId="245529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2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D4B468B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D5F2856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FF8A3AA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C981516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0E83A99C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1C2923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2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09D6857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5A76CD7E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5BAF164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59E05094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D987C96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59DCAC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21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0CC23E61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3694596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  <w:highlight w:val="yellow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582C3062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98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73E8D3A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12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C8F7014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</w:tbl>
    <w:p w14:paraId="6062569A">
      <w:pPr>
        <w:numPr>
          <w:ilvl w:val="0"/>
          <w:numId w:val="5"/>
        </w:numPr>
        <w:spacing w:beforeLines="0" w:afterLines="0" w:line="240" w:lineRule="auto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Opis významných súm pohľadávok</w:t>
      </w:r>
      <w:r>
        <w:rPr>
          <w:rFonts w:hint="default" w:cs="Arial"/>
          <w:b/>
          <w:sz w:val="22"/>
          <w:szCs w:val="22"/>
        </w:rPr>
        <w:t xml:space="preserve"> </w:t>
      </w:r>
      <w:r>
        <w:rPr>
          <w:rFonts w:hint="default" w:cs="Arial"/>
          <w:sz w:val="22"/>
          <w:szCs w:val="22"/>
        </w:rPr>
        <w:t>v nadväznosti na položky súvahy, v členení na pohľadávky za hlavnú nezdaňovanú činnosť a zdaňovanú činnosť za bežné účtovné obdobie.</w:t>
      </w:r>
    </w:p>
    <w:tbl>
      <w:tblPr>
        <w:tblStyle w:val="4"/>
        <w:tblW w:w="9738" w:type="dxa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68"/>
        <w:gridCol w:w="2977"/>
        <w:gridCol w:w="2693"/>
      </w:tblGrid>
      <w:tr w14:paraId="71FE1A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570841CB">
            <w:pPr>
              <w:spacing w:before="0" w:beforeLines="0" w:afterLines="0" w:line="240" w:lineRule="auto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 xml:space="preserve">Druh a opis významných položiek pohľadávok 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31EBE4A"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E39F54E"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Zdaňovaná činnosť</w:t>
            </w:r>
          </w:p>
        </w:tc>
      </w:tr>
      <w:tr w14:paraId="0E595A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C9126C9"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05A8234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DC6DFBF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003159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6BA8D83B"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74F116B2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7D176FB1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3A4E0B0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0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7555F38C"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BFD18E3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6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498B72E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</w:tbl>
    <w:p w14:paraId="20082C84">
      <w:pPr>
        <w:keepNext/>
        <w:numPr>
          <w:ilvl w:val="0"/>
          <w:numId w:val="5"/>
        </w:numPr>
        <w:spacing w:beforeLines="0" w:afterLines="0" w:line="240" w:lineRule="auto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b/>
          <w:sz w:val="22"/>
          <w:szCs w:val="22"/>
        </w:rPr>
        <w:t xml:space="preserve"> </w:t>
      </w:r>
      <w:r>
        <w:rPr>
          <w:rFonts w:hint="default" w:cs="Arial"/>
          <w:sz w:val="22"/>
          <w:szCs w:val="22"/>
        </w:rPr>
        <w:t>Prehľad pohľadávok do uplynutia lehoty splatnosti a po uplynutí lehoty splatnosti.</w:t>
      </w:r>
    </w:p>
    <w:tbl>
      <w:tblPr>
        <w:tblStyle w:val="4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89"/>
        <w:gridCol w:w="3588"/>
        <w:gridCol w:w="3499"/>
      </w:tblGrid>
      <w:tr w14:paraId="791EE5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162A27A0">
            <w:pPr>
              <w:keepNext/>
              <w:spacing w:before="0" w:beforeLines="0" w:afterLines="0" w:line="240" w:lineRule="auto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35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5D4E32BE">
            <w:pPr>
              <w:keepNext/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  <w:lang w:eastAsia="sk-SK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hint="default"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4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5D753683">
            <w:pPr>
              <w:keepNext/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  <w:lang w:eastAsia="sk-SK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14:paraId="5345022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00A04556">
            <w:pPr>
              <w:spacing w:before="0" w:beforeLines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- do uplynutia lehoty splatnosti</w:t>
            </w:r>
          </w:p>
        </w:tc>
        <w:tc>
          <w:tcPr>
            <w:tcW w:w="35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76AFBF99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5B5F926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6AF3F69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737FE09">
            <w:pPr>
              <w:spacing w:before="0" w:beforeLines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- po uplynutí lehoty splatnosti</w:t>
            </w:r>
          </w:p>
        </w:tc>
        <w:tc>
          <w:tcPr>
            <w:tcW w:w="35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747943E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D2E718E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469FEA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6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6FFC16E">
            <w:pPr>
              <w:spacing w:before="0" w:beforeLines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Spolu</w:t>
            </w:r>
          </w:p>
        </w:tc>
        <w:tc>
          <w:tcPr>
            <w:tcW w:w="35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FBE9A72"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349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0661447D"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</w:p>
        </w:tc>
      </w:tr>
    </w:tbl>
    <w:p w14:paraId="4E7E60E9">
      <w:pPr>
        <w:numPr>
          <w:ilvl w:val="0"/>
          <w:numId w:val="5"/>
        </w:numPr>
        <w:spacing w:beforeLines="0" w:afterLines="0" w:line="240" w:lineRule="auto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Prehľad o významných položkách časového rozlíšenia nákladov budúcich období a príjmov budúcich období.</w:t>
      </w:r>
    </w:p>
    <w:p w14:paraId="2E61BED6">
      <w:pPr>
        <w:numPr>
          <w:ilvl w:val="0"/>
          <w:numId w:val="5"/>
        </w:numPr>
        <w:spacing w:beforeLines="0" w:afterLines="0" w:line="240" w:lineRule="auto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Opis a výška zmien vlastného imania v priebehu bežného účtovného obdobia podľa položiek súvahy.</w:t>
      </w:r>
    </w:p>
    <w:tbl>
      <w:tblPr>
        <w:tblStyle w:val="4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02"/>
        <w:gridCol w:w="2026"/>
        <w:gridCol w:w="1431"/>
        <w:gridCol w:w="1273"/>
        <w:gridCol w:w="1396"/>
        <w:gridCol w:w="1886"/>
      </w:tblGrid>
      <w:tr w14:paraId="39B33D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E62C13F"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2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29712FD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hint="default" w:cs="Arial"/>
                <w:b/>
                <w:sz w:val="22"/>
                <w:szCs w:val="22"/>
              </w:rPr>
              <w:t xml:space="preserve">začiatku bežného </w:t>
            </w: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40442EC6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Prírastky</w:t>
            </w:r>
          </w:p>
          <w:p w14:paraId="5137C0F8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(+)</w:t>
            </w: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EEF6C23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Úbytky</w:t>
            </w:r>
          </w:p>
          <w:p w14:paraId="2F16E31B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(-)</w:t>
            </w: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421D3BCA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Presuny</w:t>
            </w:r>
          </w:p>
          <w:p w14:paraId="5D0B2C6B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(+, -)</w:t>
            </w: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B97260C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14:paraId="2A45BB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1001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2F92B91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  <w:lang w:eastAsia="sk-SK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Vlastné imanie</w:t>
            </w:r>
          </w:p>
        </w:tc>
      </w:tr>
      <w:tr w14:paraId="2AA031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20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D18AF53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Základné imanie</w:t>
            </w:r>
          </w:p>
        </w:tc>
        <w:tc>
          <w:tcPr>
            <w:tcW w:w="2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7D66E38A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  <w:lang w:val="sk-SK"/>
              </w:rPr>
            </w:pPr>
            <w:r>
              <w:rPr>
                <w:rFonts w:hint="default" w:cs="Arial"/>
                <w:sz w:val="22"/>
                <w:szCs w:val="22"/>
                <w:lang w:val="sk-SK"/>
              </w:rPr>
              <w:t>5000</w:t>
            </w: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D87DC41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577AFE29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604359FC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2C73F3B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  <w:lang w:val="sk-SK"/>
              </w:rPr>
            </w:pPr>
            <w:r>
              <w:rPr>
                <w:rFonts w:hint="default" w:cs="Arial"/>
                <w:sz w:val="22"/>
                <w:szCs w:val="22"/>
                <w:lang w:val="sk-SK"/>
              </w:rPr>
              <w:t>5000</w:t>
            </w:r>
          </w:p>
        </w:tc>
      </w:tr>
      <w:tr w14:paraId="7625962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1001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8A1C034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z toho:</w:t>
            </w:r>
          </w:p>
        </w:tc>
      </w:tr>
      <w:tr w14:paraId="38F177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0B247835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- nadačné imanie v nadácii</w:t>
            </w:r>
          </w:p>
        </w:tc>
        <w:tc>
          <w:tcPr>
            <w:tcW w:w="2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5F24C463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672B159B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4F0E44F0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4DED5278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3FBE9C5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06CCA4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20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7A619352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- vklady zakladateľov</w:t>
            </w:r>
          </w:p>
        </w:tc>
        <w:tc>
          <w:tcPr>
            <w:tcW w:w="2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7C36D8DF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EDA304A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FC3D2DE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921E797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34B0F60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006C93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20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B513CA5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- prioritný majetok</w:t>
            </w:r>
          </w:p>
        </w:tc>
        <w:tc>
          <w:tcPr>
            <w:tcW w:w="2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76A5C7B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5CFC8E6D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6F3AAB7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EBF046C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8D4C2B3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179535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9EBD25E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Fondy tvorené podľa osobitných predpisov</w:t>
            </w:r>
          </w:p>
        </w:tc>
        <w:tc>
          <w:tcPr>
            <w:tcW w:w="2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4AF2C731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67C96A0E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1884EFE2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514C25B8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6CFE1D34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458FA3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20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3D22AFF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Fond reprodukcie</w:t>
            </w:r>
          </w:p>
        </w:tc>
        <w:tc>
          <w:tcPr>
            <w:tcW w:w="2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73F6F72A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11DF6CEE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6528F245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72A3525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74324B28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3A56F8C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921919C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18F38C41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1A324C6B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A872A5A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44F8DBB9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B892A3F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2E62DD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1001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BB1EDC2"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Fondy tvorené zo zisku</w:t>
            </w:r>
          </w:p>
        </w:tc>
      </w:tr>
      <w:tr w14:paraId="346D6B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20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89EBD56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Rezervný fond</w:t>
            </w:r>
          </w:p>
        </w:tc>
        <w:tc>
          <w:tcPr>
            <w:tcW w:w="2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6B22CF93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B931A54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65E4F84D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6057706F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C3E2268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3DDE77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20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9BC3E50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Fondy tvorené zo zisku</w:t>
            </w:r>
          </w:p>
        </w:tc>
        <w:tc>
          <w:tcPr>
            <w:tcW w:w="2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9BF95BB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1D39C1B2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DA2DA93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6499F56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13987359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27135E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20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45E508B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Ostatné fondy</w:t>
            </w:r>
          </w:p>
        </w:tc>
        <w:tc>
          <w:tcPr>
            <w:tcW w:w="2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142A79D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8FABAA2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6E8BBAF0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5C4B8CF3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E15AD72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520907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10014" w:type="dxa"/>
            <w:gridSpan w:val="6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4A1F150"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Výsledok hospodárenia</w:t>
            </w:r>
          </w:p>
        </w:tc>
      </w:tr>
      <w:tr w14:paraId="3989CE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B30FABA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6A6E5F94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  <w:lang w:val="sk-SK"/>
              </w:rPr>
            </w:pPr>
            <w:r>
              <w:rPr>
                <w:rFonts w:hint="default" w:cs="Arial"/>
                <w:sz w:val="22"/>
                <w:szCs w:val="22"/>
                <w:lang w:val="sk-SK"/>
              </w:rPr>
              <w:t>0</w:t>
            </w: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70FAD37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559C4F8F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7734B053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1B14167C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  <w:lang w:val="sk-SK"/>
              </w:rPr>
            </w:pPr>
            <w:r>
              <w:rPr>
                <w:rFonts w:hint="default" w:cs="Arial"/>
                <w:sz w:val="22"/>
                <w:szCs w:val="22"/>
                <w:lang w:val="sk-SK"/>
              </w:rPr>
              <w:t>0</w:t>
            </w:r>
          </w:p>
        </w:tc>
      </w:tr>
      <w:tr w14:paraId="4BDDBC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0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3929E23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Výsledok hospodárenia účtovného obdobia</w:t>
            </w:r>
          </w:p>
        </w:tc>
        <w:tc>
          <w:tcPr>
            <w:tcW w:w="2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74171D38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B948E76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E54E7BB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7EB48F5C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8E53617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195185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1" w:hRule="atLeast"/>
        </w:trPr>
        <w:tc>
          <w:tcPr>
            <w:tcW w:w="20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1F809D4"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Spolu</w:t>
            </w:r>
          </w:p>
        </w:tc>
        <w:tc>
          <w:tcPr>
            <w:tcW w:w="202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745C38BE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1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BF1396D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127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59592E00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13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7C698F9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18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771CC9FC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</w:p>
        </w:tc>
      </w:tr>
    </w:tbl>
    <w:p w14:paraId="69C4E557">
      <w:pPr>
        <w:keepNext/>
        <w:numPr>
          <w:ilvl w:val="0"/>
          <w:numId w:val="5"/>
        </w:numPr>
        <w:spacing w:beforeLines="0" w:afterLines="0" w:line="240" w:lineRule="auto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Opis a vyčíslenie jednotlivých druhov fondov tvorených podľa osobitných predpisov.</w:t>
      </w:r>
    </w:p>
    <w:tbl>
      <w:tblPr>
        <w:tblStyle w:val="4"/>
        <w:tblW w:w="0" w:type="auto"/>
        <w:tblInd w:w="3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46"/>
        <w:gridCol w:w="2365"/>
        <w:gridCol w:w="1464"/>
        <w:gridCol w:w="1858"/>
        <w:gridCol w:w="1923"/>
      </w:tblGrid>
      <w:tr w14:paraId="3EF0CF2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3F65BBE"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Opis fondov tvorených podľa osobitných predpisov</w:t>
            </w:r>
          </w:p>
        </w:tc>
        <w:tc>
          <w:tcPr>
            <w:tcW w:w="23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30C69D0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Stav na konci bezprostredne predchádzajúceho účtovného obdobia</w:t>
            </w:r>
          </w:p>
        </w:tc>
        <w:tc>
          <w:tcPr>
            <w:tcW w:w="1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7E2E02DE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Prírastky</w:t>
            </w:r>
          </w:p>
        </w:tc>
        <w:tc>
          <w:tcPr>
            <w:tcW w:w="1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56F7B80E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Úbytky</w:t>
            </w:r>
          </w:p>
        </w:tc>
        <w:tc>
          <w:tcPr>
            <w:tcW w:w="19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D96495A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Stav na konci bežného účtovného obdobia</w:t>
            </w:r>
          </w:p>
        </w:tc>
      </w:tr>
      <w:tr w14:paraId="7245125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3" w:hRule="atLeast"/>
        </w:trPr>
        <w:tc>
          <w:tcPr>
            <w:tcW w:w="2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77D7EB0F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1FE62098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1CC780A4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15663782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FAD5B99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001669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" w:hRule="atLeast"/>
        </w:trPr>
        <w:tc>
          <w:tcPr>
            <w:tcW w:w="2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07C1D1A6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60C46B11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116F5535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6A43FA2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4F6660E7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6903F7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2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F6B06DF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36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5F68ECB2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9394273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610D0CBC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9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F3E59F4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</w:tbl>
    <w:p w14:paraId="7205834E">
      <w:pPr>
        <w:keepNext/>
        <w:numPr>
          <w:ilvl w:val="0"/>
          <w:numId w:val="5"/>
        </w:numPr>
        <w:spacing w:beforeLines="0" w:afterLines="0" w:line="240" w:lineRule="auto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Informácia o rozdelení účtovného zisku alebo o vysporiadaní účtovnej straty za bezprostredne predchádzajúce účtovné obdobie.</w:t>
      </w:r>
    </w:p>
    <w:tbl>
      <w:tblPr>
        <w:tblStyle w:val="4"/>
        <w:tblW w:w="4745" w:type="pct"/>
        <w:tblInd w:w="11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44"/>
        <w:gridCol w:w="5245"/>
      </w:tblGrid>
      <w:tr w14:paraId="53FBCE8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A9613AF">
            <w:pPr>
              <w:pStyle w:val="21"/>
              <w:keepNext/>
              <w:spacing w:beforeLines="0" w:afterLines="0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Názov položky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E2CE6AF">
            <w:pPr>
              <w:pStyle w:val="21"/>
              <w:keepNext/>
              <w:spacing w:beforeLines="0" w:afterLines="0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Bezprostredne predchádzajúce účtovné obdobie</w:t>
            </w:r>
          </w:p>
        </w:tc>
      </w:tr>
      <w:tr w14:paraId="429918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DE018F9">
            <w:pPr>
              <w:spacing w:before="0" w:beforeLines="0" w:after="0" w:afterLines="0" w:line="240" w:lineRule="auto"/>
              <w:rPr>
                <w:rFonts w:hint="default" w:cs="Arial"/>
                <w:b/>
                <w:color w:val="000000"/>
                <w:sz w:val="22"/>
                <w:szCs w:val="22"/>
              </w:rPr>
            </w:pPr>
            <w:r>
              <w:rPr>
                <w:rFonts w:hint="default" w:cs="Arial"/>
                <w:b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F540051"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 w14:paraId="03E047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98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6E2031E"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b/>
                <w:color w:val="000000"/>
                <w:sz w:val="22"/>
                <w:szCs w:val="22"/>
              </w:rPr>
              <w:t>Rozdelenie účtovného zisku</w:t>
            </w:r>
          </w:p>
        </w:tc>
      </w:tr>
      <w:tr w14:paraId="289204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DECC566"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AF23D97"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 w14:paraId="0839B30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CEFAD16"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>Prídel do f</w:t>
            </w:r>
            <w:r>
              <w:rPr>
                <w:rFonts w:hint="default" w:cs="Arial"/>
                <w:sz w:val="22"/>
                <w:szCs w:val="22"/>
              </w:rPr>
              <w:t>ondov tvorených podľa osobitných predpisov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9D070ED"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 w14:paraId="36ABCF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8ED55AB"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2927A93"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 w14:paraId="4C57ED7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83ACBAD"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68684DD"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 w14:paraId="2B9C76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0062001"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>Prídel do fondov tvorených zo zisku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73F4A93"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 w14:paraId="1EEB56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0799280"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021B099"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 w14:paraId="76C4FE3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A0BCF59"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8983B0A"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 w14:paraId="08661F7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B7179D2"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1D2AFAC"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 w14:paraId="594505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0EEC781"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>Prevod  do n</w:t>
            </w:r>
            <w:r>
              <w:rPr>
                <w:rFonts w:hint="default" w:cs="Arial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01FD6040"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 w14:paraId="13B4E7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CDD8F37"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36E5D28"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 w14:paraId="6012E0F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1429022">
            <w:pPr>
              <w:spacing w:before="0" w:beforeLines="0" w:after="0" w:afterLines="0" w:line="240" w:lineRule="auto"/>
              <w:rPr>
                <w:rFonts w:hint="default" w:cs="Arial"/>
                <w:b/>
                <w:color w:val="000000"/>
                <w:sz w:val="22"/>
                <w:szCs w:val="22"/>
              </w:rPr>
            </w:pPr>
            <w:r>
              <w:rPr>
                <w:rFonts w:hint="default" w:cs="Arial"/>
                <w:b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B4FB705"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 w14:paraId="38F8C8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988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1975923"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b/>
                <w:color w:val="000000"/>
                <w:sz w:val="22"/>
                <w:szCs w:val="22"/>
              </w:rPr>
              <w:t>Vysporiadanie účtovnej straty</w:t>
            </w:r>
          </w:p>
        </w:tc>
      </w:tr>
      <w:tr w14:paraId="6B1DFA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5219422"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9366020"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 w14:paraId="6CD2C8F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53362D4"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E533A54"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 w14:paraId="6737AFC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4F989DCC"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>Z fondov tvorených zo zisku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84D43D9"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 w14:paraId="37F568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D807B05"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1480BFF"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 w14:paraId="71CC3C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15A7D91A"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6E09692F"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 w14:paraId="592F14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24B5DFE3"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>Prevod do n</w:t>
            </w:r>
            <w:r>
              <w:rPr>
                <w:rFonts w:hint="default" w:cs="Arial"/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79A01397"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  <w:tr w14:paraId="472F2B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46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392D8427">
            <w:pPr>
              <w:spacing w:before="0" w:beforeLines="0" w:after="0" w:afterLines="0" w:line="240" w:lineRule="auto"/>
              <w:rPr>
                <w:rFonts w:hint="default" w:cs="Arial"/>
                <w:color w:val="000000"/>
                <w:sz w:val="22"/>
                <w:szCs w:val="22"/>
              </w:rPr>
            </w:pPr>
            <w:r>
              <w:rPr>
                <w:rFonts w:hint="default" w:cs="Arial"/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524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/>
            <w:vAlign w:val="center"/>
          </w:tcPr>
          <w:p w14:paraId="54C14CC8">
            <w:pPr>
              <w:spacing w:before="0" w:beforeLines="0" w:after="0" w:afterLines="0" w:line="240" w:lineRule="auto"/>
              <w:jc w:val="center"/>
              <w:rPr>
                <w:rFonts w:hint="default" w:cs="Arial"/>
                <w:color w:val="000000"/>
                <w:sz w:val="22"/>
                <w:szCs w:val="22"/>
              </w:rPr>
            </w:pPr>
          </w:p>
        </w:tc>
      </w:tr>
    </w:tbl>
    <w:p w14:paraId="53F7A292">
      <w:pPr>
        <w:numPr>
          <w:ilvl w:val="0"/>
          <w:numId w:val="5"/>
        </w:numPr>
        <w:spacing w:beforeLines="0" w:afterLines="0" w:line="240" w:lineRule="auto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Údaje o jednotlivých druhoch rezerv v členení na stav rezerv na konci bezprostredne predchádzajúceho účtovného obdobia a stav rezerv na konci bežného účtovného obdobia, ich tvorbu, použitie alebo zrušenie v priebehu bežného účtovného obdobia.</w:t>
      </w:r>
    </w:p>
    <w:tbl>
      <w:tblPr>
        <w:tblStyle w:val="4"/>
        <w:tblW w:w="0" w:type="auto"/>
        <w:tblInd w:w="7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78"/>
        <w:gridCol w:w="1822"/>
        <w:gridCol w:w="1368"/>
        <w:gridCol w:w="1481"/>
        <w:gridCol w:w="1504"/>
        <w:gridCol w:w="1746"/>
      </w:tblGrid>
      <w:tr w14:paraId="115302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E6B2ACB">
            <w:pPr>
              <w:keepNext/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Druh rezervy</w:t>
            </w:r>
          </w:p>
        </w:tc>
        <w:tc>
          <w:tcPr>
            <w:tcW w:w="18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06968C30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hint="default"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08D8529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Tvorba rezerv</w:t>
            </w:r>
          </w:p>
        </w:tc>
        <w:tc>
          <w:tcPr>
            <w:tcW w:w="14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C0A1D32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Použitie rezerv</w:t>
            </w: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5050C7A9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Zrušenie rezerv</w:t>
            </w:r>
          </w:p>
        </w:tc>
        <w:tc>
          <w:tcPr>
            <w:tcW w:w="1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FBFB648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14:paraId="5344DE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55AFC42D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5888106F"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4C26DA7B"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5671B2AB"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E4EA495"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3D39065"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</w:tr>
      <w:tr w14:paraId="07E786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CD422A1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19FA562"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7E304964"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50BF2EDC"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C56BCF8"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6583EC5B"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</w:tr>
      <w:tr w14:paraId="48F527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0F0E7E58"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Zákonné rezervy spolu</w:t>
            </w:r>
          </w:p>
        </w:tc>
        <w:tc>
          <w:tcPr>
            <w:tcW w:w="18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659ED36">
            <w:pPr>
              <w:spacing w:before="0" w:beforeLines="0" w:after="0" w:afterLines="0" w:line="240" w:lineRule="auto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1E281777">
            <w:pPr>
              <w:spacing w:before="0" w:beforeLines="0" w:after="0" w:afterLines="0" w:line="240" w:lineRule="auto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631ED170">
            <w:pPr>
              <w:spacing w:before="0" w:beforeLines="0" w:after="0" w:afterLines="0" w:line="240" w:lineRule="auto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27A3BB9">
            <w:pPr>
              <w:spacing w:before="0" w:beforeLines="0" w:after="0" w:afterLines="0" w:line="240" w:lineRule="auto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1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1CCDA7AA">
            <w:pPr>
              <w:spacing w:before="0" w:beforeLines="0" w:after="0" w:afterLines="0" w:line="240" w:lineRule="auto"/>
              <w:rPr>
                <w:rFonts w:hint="default" w:cs="Arial"/>
                <w:b/>
                <w:sz w:val="22"/>
                <w:szCs w:val="22"/>
              </w:rPr>
            </w:pPr>
          </w:p>
        </w:tc>
      </w:tr>
      <w:tr w14:paraId="269072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8C37D2E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410286AD"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4C51FB1"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66A47A68"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2F1A4B6"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8B3DDA7"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</w:tr>
      <w:tr w14:paraId="4907893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FF5BC1E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7E8E8AE8"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9B5FC20"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4E52057"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6F09C5F3"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3836B2E"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</w:tr>
      <w:tr w14:paraId="5F7FAFB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271B30D"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Ostatné rezervy spolu</w:t>
            </w:r>
          </w:p>
        </w:tc>
        <w:tc>
          <w:tcPr>
            <w:tcW w:w="18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1D764BB4"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A564732"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6C9603DE"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17B6F6D0"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5572F2BB">
            <w:pPr>
              <w:spacing w:before="0" w:beforeLines="0" w:after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</w:tr>
      <w:tr w14:paraId="7D55D0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229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AFE2078"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Rezervy spolu</w:t>
            </w:r>
          </w:p>
        </w:tc>
        <w:tc>
          <w:tcPr>
            <w:tcW w:w="18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990B0EC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37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0FEC6142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4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6D67B78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5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CCCAD5B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2045B87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</w:tr>
    </w:tbl>
    <w:p w14:paraId="6EFDE09A">
      <w:pPr>
        <w:keepNext/>
        <w:numPr>
          <w:ilvl w:val="0"/>
          <w:numId w:val="5"/>
        </w:numPr>
        <w:spacing w:beforeLines="0" w:afterLines="0" w:line="240" w:lineRule="auto"/>
        <w:ind w:left="142" w:hanging="142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Údaje o významných sumách záväzkov v nadväznosti na položky súvahy, v členení na záväzky za hlavnú nezdaňovanú činnosť a zdaňovanú činnosť.</w:t>
      </w:r>
    </w:p>
    <w:tbl>
      <w:tblPr>
        <w:tblStyle w:val="4"/>
        <w:tblW w:w="0" w:type="auto"/>
        <w:tblInd w:w="1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78"/>
        <w:gridCol w:w="3111"/>
        <w:gridCol w:w="2538"/>
      </w:tblGrid>
      <w:tr w14:paraId="6FDFE0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4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50D0D21">
            <w:pPr>
              <w:keepNext/>
              <w:spacing w:before="0" w:beforeLines="0" w:afterLines="0" w:line="240" w:lineRule="auto"/>
              <w:rPr>
                <w:rFonts w:hint="default" w:cs="Arial"/>
                <w:b/>
                <w:sz w:val="22"/>
                <w:szCs w:val="22"/>
                <w:highlight w:val="yellow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 xml:space="preserve">Druh a opis významných položiek záväzkov 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953AD10">
            <w:pPr>
              <w:keepNext/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  <w:highlight w:val="yellow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EA6B64B">
            <w:pPr>
              <w:keepNext/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Zdaňovaná činnosť</w:t>
            </w:r>
          </w:p>
        </w:tc>
      </w:tr>
      <w:tr w14:paraId="72397C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8ECAAE8"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46F35B7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21ECCC3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14E5DD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D1C540C"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477D047B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2F7227D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2827D2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41C89FE7"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425648D9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5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92CE933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</w:tbl>
    <w:p w14:paraId="38EA880A">
      <w:pPr>
        <w:keepNext/>
        <w:numPr>
          <w:ilvl w:val="0"/>
          <w:numId w:val="5"/>
        </w:numPr>
        <w:spacing w:before="240" w:beforeLines="0" w:afterLines="0" w:line="240" w:lineRule="auto"/>
        <w:ind w:left="142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Prehľad záväzkov do uplynutia lehoty splatnosti a po uplynutí lehoty splatnosti.</w:t>
      </w:r>
    </w:p>
    <w:tbl>
      <w:tblPr>
        <w:tblStyle w:val="4"/>
        <w:tblW w:w="9915" w:type="dxa"/>
        <w:tblInd w:w="25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122"/>
        <w:gridCol w:w="2749"/>
        <w:gridCol w:w="3044"/>
      </w:tblGrid>
      <w:tr w14:paraId="5EC296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8" w:hRule="atLeast"/>
        </w:trPr>
        <w:tc>
          <w:tcPr>
            <w:tcW w:w="41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02B7697C">
            <w:pPr>
              <w:keepNext/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Záväzky</w:t>
            </w:r>
          </w:p>
        </w:tc>
        <w:tc>
          <w:tcPr>
            <w:tcW w:w="2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73819593">
            <w:pPr>
              <w:keepNext/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  <w:lang w:eastAsia="sk-SK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777D07D">
            <w:pPr>
              <w:keepNext/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  <w:lang w:eastAsia="sk-SK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14:paraId="593757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41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D0DE0F7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 xml:space="preserve">- do uplynutia lehoty splatnosti </w:t>
            </w:r>
          </w:p>
        </w:tc>
        <w:tc>
          <w:tcPr>
            <w:tcW w:w="2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8748812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  <w:lang w:eastAsia="sk-SK"/>
              </w:rPr>
            </w:pPr>
          </w:p>
        </w:tc>
        <w:tc>
          <w:tcPr>
            <w:tcW w:w="3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56C76BF7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  <w:lang w:eastAsia="sk-SK"/>
              </w:rPr>
            </w:pPr>
          </w:p>
        </w:tc>
      </w:tr>
      <w:tr w14:paraId="0F157B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41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5E508C01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- po uplynutí lehoty splatnosti</w:t>
            </w:r>
          </w:p>
        </w:tc>
        <w:tc>
          <w:tcPr>
            <w:tcW w:w="2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07D9D871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4744490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</w:tr>
      <w:tr w14:paraId="6235CF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412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048163B"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Spolu</w:t>
            </w:r>
          </w:p>
        </w:tc>
        <w:tc>
          <w:tcPr>
            <w:tcW w:w="274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76B57E59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0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5B46E72C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</w:tr>
    </w:tbl>
    <w:p w14:paraId="3AD502BB">
      <w:pPr>
        <w:numPr>
          <w:ilvl w:val="0"/>
          <w:numId w:val="5"/>
        </w:numPr>
        <w:spacing w:before="240" w:beforeLines="0" w:afterLines="0" w:line="240" w:lineRule="auto"/>
        <w:ind w:left="142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Prehľad o začiatočnom stave, tvorbe, čerpaní a konečnom zostatku sociálneho fondu v priebehu bežného účtovného obdobia. </w:t>
      </w:r>
    </w:p>
    <w:tbl>
      <w:tblPr>
        <w:tblStyle w:val="4"/>
        <w:tblW w:w="0" w:type="auto"/>
        <w:tblInd w:w="2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40"/>
        <w:gridCol w:w="3686"/>
      </w:tblGrid>
      <w:tr w14:paraId="4BE7F1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7" w:hRule="atLeast"/>
        </w:trPr>
        <w:tc>
          <w:tcPr>
            <w:tcW w:w="5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83E119A"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Sociálny fond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6C00315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Suma</w:t>
            </w:r>
          </w:p>
        </w:tc>
      </w:tr>
      <w:tr w14:paraId="5FEEAF6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0" w:hRule="atLeast"/>
        </w:trPr>
        <w:tc>
          <w:tcPr>
            <w:tcW w:w="5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95A48C7"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Stav k prvému dňu bežného účtovného obdobia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2FC11DE"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</w:p>
        </w:tc>
      </w:tr>
      <w:tr w14:paraId="351D82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5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7BC60AB0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Tvorba na ťarchu nákladov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744E5C6F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</w:tr>
      <w:tr w14:paraId="6F609C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5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FDA5A82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Tvorba zo zisku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0049576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</w:tr>
      <w:tr w14:paraId="52B1B3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5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53E323A2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Čerpanie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566382EB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</w:tr>
      <w:tr w14:paraId="736C27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7" w:hRule="atLeast"/>
        </w:trPr>
        <w:tc>
          <w:tcPr>
            <w:tcW w:w="57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2D82DFD"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Stav k poslednému dňu bežného účtovného obdobia</w:t>
            </w:r>
          </w:p>
        </w:tc>
        <w:tc>
          <w:tcPr>
            <w:tcW w:w="368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0E1BB9E5"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</w:p>
        </w:tc>
      </w:tr>
    </w:tbl>
    <w:p w14:paraId="6748D415">
      <w:pPr>
        <w:numPr>
          <w:ilvl w:val="0"/>
          <w:numId w:val="5"/>
        </w:numPr>
        <w:spacing w:before="240" w:beforeLines="0" w:afterLines="0" w:line="240" w:lineRule="auto"/>
        <w:ind w:left="142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Prehľad o bankových úveroch, pôžičkách a návratných finančných výpomociach s uvedením meny. </w:t>
      </w:r>
    </w:p>
    <w:tbl>
      <w:tblPr>
        <w:tblStyle w:val="4"/>
        <w:tblW w:w="0" w:type="auto"/>
        <w:tblInd w:w="293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38"/>
        <w:gridCol w:w="851"/>
        <w:gridCol w:w="1134"/>
        <w:gridCol w:w="1275"/>
        <w:gridCol w:w="1843"/>
        <w:gridCol w:w="1985"/>
      </w:tblGrid>
      <w:tr w14:paraId="1169852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E8CCF7D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Druh cudzieho zdroja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423EE33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  <w:lang w:eastAsia="sk-SK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8E2C9E5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Výška úroku v %</w:t>
            </w: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EDD97F7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Splatnosť</w:t>
            </w: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B6F03A4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Forma zabezpečenia</w:t>
            </w: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4A0FBDE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</w:tr>
      <w:tr w14:paraId="5B81154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2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35FE57B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Krátkodobý bankový úver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AA03123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717D1A2D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006CF2FE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7C5D036E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4F23DF6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</w:tr>
      <w:tr w14:paraId="05E0C6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2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548E1355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Pôžička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D426AA6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BC1A18B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BD4F595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3D8E083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FBA7E1D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</w:tr>
      <w:tr w14:paraId="0AE691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2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7695621B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Návratná finančná výpomoc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09A8211B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E1D9FB4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1410A9C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A3E212F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59FAF8BF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</w:tr>
      <w:tr w14:paraId="14B80DD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2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99A4434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Dlhodobý bankový úver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398D248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645A567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EAC4FB8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07DCDD5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65EB5C9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</w:tr>
      <w:tr w14:paraId="2DA98AD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74" w:hRule="atLeast"/>
        </w:trPr>
        <w:tc>
          <w:tcPr>
            <w:tcW w:w="233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0A64A10"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Spolu</w:t>
            </w:r>
          </w:p>
        </w:tc>
        <w:tc>
          <w:tcPr>
            <w:tcW w:w="85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0E550150"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12193EC"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127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0E16ABD4"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572304F8"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198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5B42F2C"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</w:p>
        </w:tc>
      </w:tr>
    </w:tbl>
    <w:p w14:paraId="458B7024">
      <w:pPr>
        <w:numPr>
          <w:ilvl w:val="0"/>
          <w:numId w:val="5"/>
        </w:numPr>
        <w:spacing w:before="240" w:beforeLines="0" w:afterLines="0" w:line="240" w:lineRule="auto"/>
        <w:ind w:left="142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Prehľad o významných položkách časového rozlíšenia výdavkov budúcich období.</w:t>
      </w:r>
    </w:p>
    <w:p w14:paraId="32C6E88B">
      <w:pPr>
        <w:keepNext/>
        <w:numPr>
          <w:ilvl w:val="0"/>
          <w:numId w:val="5"/>
        </w:numPr>
        <w:spacing w:before="0" w:beforeLines="0" w:afterLines="0" w:line="240" w:lineRule="auto"/>
        <w:ind w:left="142" w:firstLine="0"/>
        <w:rPr>
          <w:rFonts w:hint="default" w:cs="Arial"/>
          <w:sz w:val="22"/>
          <w:szCs w:val="22"/>
        </w:rPr>
      </w:pPr>
      <w:r>
        <w:rPr>
          <w:rFonts w:hint="default" w:cs="Arial"/>
          <w:b/>
          <w:sz w:val="22"/>
          <w:szCs w:val="22"/>
        </w:rPr>
        <w:t xml:space="preserve"> </w:t>
      </w:r>
      <w:r>
        <w:rPr>
          <w:rFonts w:hint="default" w:cs="Arial"/>
          <w:sz w:val="22"/>
          <w:szCs w:val="22"/>
        </w:rPr>
        <w:t>Prehľad výnosov budúcich období v členení podľa jednotlivých druhov a v členení na dlhodobé výnosy budúcich období a krátkodobé výnosy budúcich období.</w:t>
      </w:r>
    </w:p>
    <w:tbl>
      <w:tblPr>
        <w:tblStyle w:val="4"/>
        <w:tblW w:w="0" w:type="auto"/>
        <w:tblInd w:w="22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31"/>
        <w:gridCol w:w="2977"/>
        <w:gridCol w:w="3118"/>
      </w:tblGrid>
      <w:tr w14:paraId="7F7B61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72BC9821">
            <w:pPr>
              <w:spacing w:before="0" w:beforeLines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Položky výnosov budúcich období - dlhodobé z dôvodu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4961039D"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  <w:lang w:eastAsia="sk-SK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64F4E1C"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14:paraId="3976514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17B3C7E2">
            <w:pPr>
              <w:spacing w:before="0" w:beforeLines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5F885BF6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7782171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2BECA6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5342E4B5">
            <w:pPr>
              <w:spacing w:before="0" w:beforeLines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53A5F21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7B2F5152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362A1F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6DD56FEF">
            <w:pPr>
              <w:spacing w:before="0" w:beforeLines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 xml:space="preserve">dlhodobého majetku obstaraného z finančného daru 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AEC805E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D52D2DF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5391D9A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69CFB82D">
            <w:pPr>
              <w:spacing w:before="0" w:beforeLines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2C8EF16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56562D5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087C7AC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6D8B4AD">
            <w:pPr>
              <w:spacing w:before="0" w:beforeLines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16A51B9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71941A03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62B5681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6F71D8D3">
            <w:pPr>
              <w:spacing w:before="0" w:beforeLines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C44E81B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3A5A892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6BBF9E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42EE5F54">
            <w:pPr>
              <w:spacing w:before="0" w:beforeLines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56F99E08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CEE0793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727A9E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16E98608">
            <w:pPr>
              <w:spacing w:before="0" w:beforeLines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31E85BB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05095680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3426915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EC97144">
            <w:pPr>
              <w:spacing w:before="0" w:beforeLines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7098CF95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364A7A7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</w:tbl>
    <w:p w14:paraId="6E0C6C4E">
      <w:pPr>
        <w:spacing w:before="240" w:beforeLines="0" w:afterLines="0" w:line="240" w:lineRule="auto"/>
        <w:ind w:left="142"/>
        <w:rPr>
          <w:rFonts w:hint="default" w:cs="Arial"/>
          <w:sz w:val="22"/>
          <w:szCs w:val="22"/>
        </w:rPr>
      </w:pPr>
    </w:p>
    <w:tbl>
      <w:tblPr>
        <w:tblStyle w:val="4"/>
        <w:tblW w:w="0" w:type="auto"/>
        <w:tblInd w:w="22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31"/>
        <w:gridCol w:w="2977"/>
        <w:gridCol w:w="3118"/>
      </w:tblGrid>
      <w:tr w14:paraId="203C86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A4C6F30">
            <w:pPr>
              <w:spacing w:before="0" w:beforeLines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Položky výnosov budúcich období - krátkodobé z dôvodu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50B5B5A2"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  <w:lang w:eastAsia="sk-SK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hint="default"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0251701"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14:paraId="0966AC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79560BB9">
            <w:pPr>
              <w:spacing w:before="0" w:beforeLines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dotácie zo štátneho rozpočtu a  z prostriedkov Európskej únie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7B2A22E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4F023D4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66EC9A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09AED36">
            <w:pPr>
              <w:spacing w:before="0" w:beforeLines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dotácie z rozpočtu obce a z rozpočtu vyššieho územného celku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76B64FA4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06A5483C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4660FB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457FD794"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zostatku podielu zaplatenej dane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ADAAFDA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B1963E3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458ED3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563339D2">
            <w:pPr>
              <w:spacing w:before="0" w:beforeLines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nepoužitého sponzorského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02DFD48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1373309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423DE8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5DF4FA32">
            <w:pPr>
              <w:spacing w:before="0" w:beforeLines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  <w:r>
              <w:rPr>
                <w:rFonts w:hint="default" w:cs="Arial"/>
                <w:sz w:val="22"/>
                <w:szCs w:val="22"/>
              </w:rPr>
              <w:t>iné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AA41CC5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0BD9201C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14A9F1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0989BC6">
            <w:pPr>
              <w:spacing w:before="0" w:beforeLines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8BA8524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7CED76D8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10F514E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343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5181051">
            <w:pPr>
              <w:spacing w:before="0" w:beforeLines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E4AEA5F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DFE8C9A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</w:tbl>
    <w:p w14:paraId="16660B50">
      <w:pPr>
        <w:keepNext/>
        <w:numPr>
          <w:ilvl w:val="0"/>
          <w:numId w:val="5"/>
        </w:numPr>
        <w:spacing w:before="240" w:beforeLines="0" w:afterLines="0" w:line="240" w:lineRule="auto"/>
        <w:ind w:left="142" w:hanging="142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Údaje o druhoch majetku a záväzkoch z lízingových zmlúv.</w:t>
      </w:r>
    </w:p>
    <w:tbl>
      <w:tblPr>
        <w:tblStyle w:val="4"/>
        <w:tblW w:w="0" w:type="auto"/>
        <w:tblInd w:w="1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417"/>
        <w:gridCol w:w="3082"/>
        <w:gridCol w:w="2515"/>
      </w:tblGrid>
      <w:tr w14:paraId="4737C30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17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5BEA1EC">
            <w:pPr>
              <w:keepNext/>
              <w:spacing w:before="0" w:beforeLines="0" w:afterLines="0" w:line="240" w:lineRule="auto"/>
              <w:jc w:val="left"/>
              <w:rPr>
                <w:rFonts w:hint="default" w:cs="Arial"/>
                <w:b/>
                <w:sz w:val="22"/>
                <w:szCs w:val="22"/>
                <w:highlight w:val="yellow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 xml:space="preserve">Druh majetku </w:t>
            </w:r>
          </w:p>
        </w:tc>
        <w:tc>
          <w:tcPr>
            <w:tcW w:w="5597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3C8EE76">
            <w:pPr>
              <w:keepNext/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Hodnota záväzku</w:t>
            </w:r>
          </w:p>
        </w:tc>
      </w:tr>
      <w:tr w14:paraId="5903AC8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17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69869560">
            <w:pPr>
              <w:keepNext/>
              <w:spacing w:before="0" w:beforeLines="0" w:afterLines="0" w:line="240" w:lineRule="auto"/>
              <w:rPr>
                <w:rFonts w:hint="default" w:cs="Arial"/>
                <w:b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19844F71">
            <w:pPr>
              <w:keepNext/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hint="default"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5003381E">
            <w:pPr>
              <w:keepNext/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14:paraId="04644C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D9D6ACE"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9347898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7DA195FD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4D91FE0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4E577396"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45AF16B0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1ABB59B0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0F3291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41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52D8F187"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08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726B54B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51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75CAB9EF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</w:tbl>
    <w:p w14:paraId="2B624E03">
      <w:pPr>
        <w:keepNext/>
        <w:spacing w:before="240" w:beforeLines="0" w:afterLines="0" w:line="240" w:lineRule="auto"/>
        <w:jc w:val="center"/>
        <w:outlineLvl w:val="0"/>
        <w:rPr>
          <w:rFonts w:hint="default" w:cs="Arial"/>
          <w:b/>
          <w:kern w:val="32"/>
          <w:sz w:val="22"/>
          <w:szCs w:val="22"/>
        </w:rPr>
      </w:pPr>
      <w:r>
        <w:rPr>
          <w:rFonts w:hint="default" w:cs="Arial"/>
          <w:b/>
          <w:kern w:val="32"/>
          <w:sz w:val="22"/>
          <w:szCs w:val="22"/>
        </w:rPr>
        <w:t>Čl. IV</w:t>
      </w:r>
    </w:p>
    <w:p w14:paraId="66EE0EC8">
      <w:pPr>
        <w:keepNext/>
        <w:spacing w:before="0" w:beforeLines="0" w:afterLines="0" w:line="240" w:lineRule="auto"/>
        <w:jc w:val="center"/>
        <w:outlineLvl w:val="1"/>
        <w:rPr>
          <w:rFonts w:hint="default" w:cs="Arial"/>
          <w:b/>
          <w:sz w:val="22"/>
          <w:szCs w:val="22"/>
        </w:rPr>
      </w:pPr>
      <w:r>
        <w:rPr>
          <w:rFonts w:hint="default" w:cs="Arial"/>
          <w:b/>
          <w:sz w:val="22"/>
          <w:szCs w:val="22"/>
        </w:rPr>
        <w:t>Informácie, ktoré dopĺňajú a vysvetľujú údaje vo výkaze ziskov a strát</w:t>
      </w:r>
    </w:p>
    <w:p w14:paraId="7F1E6528">
      <w:pPr>
        <w:numPr>
          <w:ilvl w:val="0"/>
          <w:numId w:val="6"/>
        </w:numPr>
        <w:spacing w:before="0" w:beforeLines="0" w:afterLines="0" w:line="240" w:lineRule="auto"/>
        <w:ind w:left="284" w:hanging="284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Prehľad tržieb za vlastné výkony a tovar s uvedením ich opisu a vyčíslením hodnoty tržieb podľa jednotlivých hlavných druhov výrobkov, služieb hlavnej nezdaňovanej činnosti a zdaňovanej činnosti účtovnej jednotky za bežné účtovné obdobie.</w:t>
      </w:r>
    </w:p>
    <w:tbl>
      <w:tblPr>
        <w:tblStyle w:val="4"/>
        <w:tblW w:w="0" w:type="auto"/>
        <w:tblInd w:w="1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618"/>
        <w:gridCol w:w="3112"/>
        <w:gridCol w:w="2397"/>
      </w:tblGrid>
      <w:tr w14:paraId="17597F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8" w:hRule="atLeast"/>
        </w:trPr>
        <w:tc>
          <w:tcPr>
            <w:tcW w:w="4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B438626">
            <w:pPr>
              <w:spacing w:before="0" w:beforeLines="0" w:afterLines="0" w:line="240" w:lineRule="auto"/>
              <w:jc w:val="left"/>
              <w:rPr>
                <w:rFonts w:hint="default" w:cs="Arial"/>
                <w:b/>
                <w:sz w:val="22"/>
                <w:szCs w:val="22"/>
                <w:highlight w:val="yellow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 xml:space="preserve">Druh a opis tržieb </w:t>
            </w: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B9BB796"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  <w:highlight w:val="yellow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Hlavná nezdaňovaná činnosť</w:t>
            </w:r>
          </w:p>
        </w:tc>
        <w:tc>
          <w:tcPr>
            <w:tcW w:w="2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94E6385"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Zdaňovaná činnosť</w:t>
            </w:r>
          </w:p>
        </w:tc>
      </w:tr>
      <w:tr w14:paraId="0C0D7A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4F031679"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7A14E480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47E25F0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6A57F5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7316A438"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AF9D4DF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754A7767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59A29B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6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4551854"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31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D900080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73D7B65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</w:tbl>
    <w:p w14:paraId="1696CCBD">
      <w:pPr>
        <w:numPr>
          <w:ilvl w:val="0"/>
          <w:numId w:val="6"/>
        </w:numPr>
        <w:spacing w:before="240" w:beforeLines="0" w:afterLines="0" w:line="240" w:lineRule="auto"/>
        <w:ind w:left="284" w:hanging="284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Opis a vyčíslenie hodnoty významných súm v nadväznosti na položky výkazu ziskov a strát v členení na nepeňažné dary, osobitné výnosy, zákonné poplatky a iné ostatné výnosy za bezprostredne predchádzajúce účtovné obdobie a za bežné účtovné obdobie. </w:t>
      </w:r>
    </w:p>
    <w:tbl>
      <w:tblPr>
        <w:tblStyle w:val="4"/>
        <w:tblW w:w="0" w:type="auto"/>
        <w:tblInd w:w="1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02"/>
        <w:gridCol w:w="2467"/>
        <w:gridCol w:w="2758"/>
      </w:tblGrid>
      <w:tr w14:paraId="11E871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D20692B">
            <w:pPr>
              <w:spacing w:before="0" w:beforeLines="0" w:afterLines="0" w:line="240" w:lineRule="auto"/>
              <w:jc w:val="left"/>
              <w:rPr>
                <w:rFonts w:hint="default" w:cs="Arial"/>
                <w:b/>
                <w:sz w:val="22"/>
                <w:szCs w:val="22"/>
                <w:highlight w:val="yellow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Druh a opis významných súm výnosov</w:t>
            </w: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F73123E"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hint="default"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738498DE"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  <w:highlight w:val="yellow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14:paraId="794CDC8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433E744"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91AF8CB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5606A8E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1B56E44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507FE8B3"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4B1FEF4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F173897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673D29C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741B1463"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7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1C76F736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76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67801F26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</w:tbl>
    <w:p w14:paraId="7D632558">
      <w:pPr>
        <w:keepNext/>
        <w:numPr>
          <w:ilvl w:val="0"/>
          <w:numId w:val="6"/>
        </w:numPr>
        <w:spacing w:before="240" w:beforeLines="0" w:afterLines="0" w:line="240" w:lineRule="auto"/>
        <w:ind w:left="284" w:hanging="284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Prehľad významných súm dotácií zo štátneho rozpočtu, štátnych fondov, z prostriedkov Európskej únie, dotácií z rozpočtu obce a z rozpočtu vyššieho územného celku, ktoré účtovná jednotka prijala v bezprostredne predchádzajúcom účtovnom období a v bežnom účtovnom období.</w:t>
      </w:r>
    </w:p>
    <w:tbl>
      <w:tblPr>
        <w:tblStyle w:val="4"/>
        <w:tblW w:w="0" w:type="auto"/>
        <w:tblInd w:w="1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02"/>
        <w:gridCol w:w="2829"/>
        <w:gridCol w:w="2396"/>
      </w:tblGrid>
      <w:tr w14:paraId="2DCCCE8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7CF4DC7">
            <w:pPr>
              <w:spacing w:before="0" w:beforeLines="0" w:afterLines="0" w:line="240" w:lineRule="auto"/>
              <w:jc w:val="left"/>
              <w:rPr>
                <w:rFonts w:hint="default" w:cs="Arial"/>
                <w:b/>
                <w:sz w:val="22"/>
                <w:szCs w:val="22"/>
                <w:highlight w:val="yellow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Druh a opis významných súm dotácií a grantov</w:t>
            </w:r>
          </w:p>
        </w:tc>
        <w:tc>
          <w:tcPr>
            <w:tcW w:w="2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AA77E9F"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hint="default"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5144BE9C"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  <w:highlight w:val="yellow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14:paraId="03C5AD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FECB25A"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5C6BE784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BB23C36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14FF00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6E37EB60"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23531E1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A5E469F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3FD02C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67F23907"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53A0E248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4FA59A2B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</w:tbl>
    <w:p w14:paraId="5421CA0A">
      <w:pPr>
        <w:keepNext/>
        <w:numPr>
          <w:ilvl w:val="0"/>
          <w:numId w:val="6"/>
        </w:numPr>
        <w:spacing w:before="240" w:beforeLines="0" w:afterLines="0" w:line="240" w:lineRule="auto"/>
        <w:ind w:left="284" w:hanging="284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Opis a vyčíslenie hodnoty významných položiek príjmov z reklám, ktoré sú určené na charitatívne účely, a charitatívnej lotérie prijatých v  bezprostredne predchádzajúcom účtovnom období a v bežnom účtovnom období.</w:t>
      </w:r>
    </w:p>
    <w:tbl>
      <w:tblPr>
        <w:tblStyle w:val="4"/>
        <w:tblW w:w="0" w:type="auto"/>
        <w:tblInd w:w="1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01"/>
        <w:gridCol w:w="2830"/>
        <w:gridCol w:w="2396"/>
      </w:tblGrid>
      <w:tr w14:paraId="06EDCB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7687C85F">
            <w:pPr>
              <w:spacing w:before="0" w:beforeLines="0" w:afterLines="0" w:line="240" w:lineRule="auto"/>
              <w:jc w:val="left"/>
              <w:rPr>
                <w:rFonts w:hint="default" w:cs="Arial"/>
                <w:b/>
                <w:sz w:val="22"/>
                <w:szCs w:val="22"/>
                <w:highlight w:val="yellow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Druh a opis významných položiek charitatívnej reklamy a charitatívnej lotérie</w:t>
            </w: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88BA519"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  <w:highlight w:val="yellow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hint="default"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E794228">
            <w:pPr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14:paraId="7AAA05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75AA925C"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5FF20A16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61938039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68E850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5A2A86F"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6A1F0B9C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DE49788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462D511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49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8B57CD5"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4227D733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7C59A12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</w:tbl>
    <w:p w14:paraId="31BB4686">
      <w:pPr>
        <w:numPr>
          <w:ilvl w:val="0"/>
          <w:numId w:val="6"/>
        </w:numPr>
        <w:spacing w:before="240" w:beforeLines="0" w:afterLines="0" w:line="240" w:lineRule="auto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Opis a vyčíslenie hodnoty významných súm v nadväznosti na položky výkazu ziskov a strát v členení na nepeňažné dary, náklady na ostatné služby, osobitné náklady a iné ostatné náklady poskytnuté v bežnom účtovnom období. </w:t>
      </w:r>
    </w:p>
    <w:tbl>
      <w:tblPr>
        <w:tblStyle w:val="4"/>
        <w:tblW w:w="0" w:type="auto"/>
        <w:tblInd w:w="1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24"/>
        <w:gridCol w:w="2407"/>
        <w:gridCol w:w="2396"/>
      </w:tblGrid>
      <w:tr w14:paraId="164401F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05E060CC">
            <w:pPr>
              <w:keepNext/>
              <w:spacing w:before="0" w:beforeLines="0" w:afterLines="0" w:line="240" w:lineRule="auto"/>
              <w:jc w:val="left"/>
              <w:rPr>
                <w:rFonts w:hint="default" w:cs="Arial"/>
                <w:b/>
                <w:sz w:val="22"/>
                <w:szCs w:val="22"/>
                <w:highlight w:val="yellow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Druh a opis významných položiek nákladov</w:t>
            </w: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BD19073">
            <w:pPr>
              <w:keepNext/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  <w:highlight w:val="yellow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 xml:space="preserve">Stav na </w:t>
            </w:r>
            <w:r>
              <w:rPr>
                <w:rFonts w:hint="default" w:cs="Arial"/>
                <w:b/>
                <w:sz w:val="22"/>
                <w:szCs w:val="22"/>
              </w:rPr>
              <w:t xml:space="preserve">konci bezprostredne predchádzajúceho </w:t>
            </w: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účtovného obdobia</w:t>
            </w:r>
          </w:p>
        </w:tc>
        <w:tc>
          <w:tcPr>
            <w:tcW w:w="2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72F9818A">
            <w:pPr>
              <w:keepNext/>
              <w:spacing w:before="0" w:beforeLines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 w14:paraId="3F188B8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61C3B0DE"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0B3E18DA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45E7144F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6020B7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4D499140"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DA9EEC5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78008419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27FF2D1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34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2C7F30BB">
            <w:pPr>
              <w:spacing w:before="0" w:beforeLines="0" w:afterLines="0" w:line="240" w:lineRule="auto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6FE8C0C9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4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top"/>
          </w:tcPr>
          <w:p w14:paraId="3571ACDE">
            <w:pPr>
              <w:spacing w:before="0" w:beforeLines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</w:tbl>
    <w:p w14:paraId="0ECA16CF">
      <w:pPr>
        <w:numPr>
          <w:ilvl w:val="0"/>
          <w:numId w:val="6"/>
        </w:numPr>
        <w:spacing w:before="240" w:beforeLines="0" w:afterLines="0" w:line="240" w:lineRule="auto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 xml:space="preserve"> Prehľad o účele a výške použitia zostatku prijatého podielu zaplatenej dane v minulých účtovných obdobiach a prijatého podielu zaplatenej dane v bežnom účtovnom období.</w:t>
      </w:r>
    </w:p>
    <w:tbl>
      <w:tblPr>
        <w:tblStyle w:val="4"/>
        <w:tblW w:w="10276" w:type="dxa"/>
        <w:tblInd w:w="151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69"/>
        <w:gridCol w:w="2239"/>
        <w:gridCol w:w="2268"/>
      </w:tblGrid>
      <w:tr w14:paraId="774B0C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5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706CA1BB"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Účel použitia prijatého podielu zaplatenej dane</w:t>
            </w:r>
          </w:p>
        </w:tc>
        <w:tc>
          <w:tcPr>
            <w:tcW w:w="22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7B480A7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Použitá suma zostatku z predchádzajúceho účtovného obdobia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0E77F714">
            <w:pPr>
              <w:spacing w:before="0" w:beforeLines="0" w:after="0" w:afterLines="0" w:line="240" w:lineRule="auto"/>
              <w:jc w:val="center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Použitá suma z bežného účtovného obdobia</w:t>
            </w:r>
          </w:p>
        </w:tc>
      </w:tr>
      <w:tr w14:paraId="21F260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4F81ADE1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903C821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3620C5FA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262F8D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5FC4D4FF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58A98231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72CC5F15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0ACCB4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576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299514CE">
            <w:pPr>
              <w:spacing w:before="0" w:beforeLines="0" w:after="0" w:afterLines="0" w:line="240" w:lineRule="auto"/>
              <w:jc w:val="left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23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69962608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E06F120">
            <w:pPr>
              <w:spacing w:before="0" w:beforeLines="0" w:after="0" w:afterLines="0" w:line="240" w:lineRule="auto"/>
              <w:jc w:val="center"/>
              <w:rPr>
                <w:rFonts w:hint="default" w:cs="Arial"/>
                <w:sz w:val="22"/>
                <w:szCs w:val="22"/>
              </w:rPr>
            </w:pPr>
          </w:p>
        </w:tc>
      </w:tr>
      <w:tr w14:paraId="43C34EC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800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10535C87"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  <w:r>
              <w:rPr>
                <w:rFonts w:hint="default" w:cs="Arial"/>
                <w:b/>
                <w:sz w:val="22"/>
                <w:szCs w:val="22"/>
              </w:rPr>
              <w:t>Zostatok podielu zaplatenej dane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  <w:tl2br w:val="nil"/>
              <w:tr2bl w:val="nil"/>
            </w:tcBorders>
            <w:noWrap w:val="0"/>
            <w:vAlign w:val="center"/>
          </w:tcPr>
          <w:p w14:paraId="777434F5">
            <w:pPr>
              <w:spacing w:before="0" w:beforeLines="0" w:after="0" w:afterLines="0" w:line="240" w:lineRule="auto"/>
              <w:jc w:val="left"/>
              <w:rPr>
                <w:rFonts w:hint="default" w:cs="Arial"/>
                <w:b/>
                <w:sz w:val="22"/>
                <w:szCs w:val="22"/>
              </w:rPr>
            </w:pPr>
          </w:p>
        </w:tc>
      </w:tr>
    </w:tbl>
    <w:p w14:paraId="26B40C21">
      <w:pPr>
        <w:keepNext/>
        <w:spacing w:before="240" w:beforeLines="0" w:afterLines="0" w:line="240" w:lineRule="auto"/>
        <w:jc w:val="center"/>
        <w:outlineLvl w:val="0"/>
        <w:rPr>
          <w:rFonts w:hint="default" w:cs="Arial"/>
          <w:b/>
          <w:kern w:val="32"/>
          <w:sz w:val="22"/>
          <w:szCs w:val="22"/>
        </w:rPr>
      </w:pPr>
      <w:r>
        <w:rPr>
          <w:rFonts w:hint="default" w:cs="Arial"/>
          <w:b/>
          <w:kern w:val="32"/>
          <w:sz w:val="22"/>
          <w:szCs w:val="22"/>
        </w:rPr>
        <w:t>Čl. V</w:t>
      </w:r>
    </w:p>
    <w:p w14:paraId="4440FE0F">
      <w:pPr>
        <w:keepNext/>
        <w:spacing w:before="0" w:beforeLines="0" w:afterLines="0" w:line="240" w:lineRule="auto"/>
        <w:jc w:val="center"/>
        <w:outlineLvl w:val="1"/>
        <w:rPr>
          <w:rFonts w:hint="default" w:cs="Arial"/>
          <w:b/>
          <w:sz w:val="22"/>
          <w:szCs w:val="22"/>
        </w:rPr>
      </w:pPr>
      <w:r>
        <w:rPr>
          <w:rFonts w:hint="default" w:cs="Arial"/>
          <w:b/>
          <w:sz w:val="22"/>
          <w:szCs w:val="22"/>
        </w:rPr>
        <w:t>Opis údajov na podsúvahových účtoch</w:t>
      </w:r>
    </w:p>
    <w:p w14:paraId="2FF08230">
      <w:pPr>
        <w:spacing w:before="0" w:beforeLines="0" w:afterLines="0" w:line="240" w:lineRule="auto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Významné položky zásob prijatých na komisionálny predaj, prenajatého majetku, majetku prijatého do úschovy, odpísané pohľadávky a prípadné ďalšie položky.</w:t>
      </w:r>
    </w:p>
    <w:p w14:paraId="4173AEC6">
      <w:pPr>
        <w:keepNext/>
        <w:spacing w:before="240" w:beforeLines="0" w:afterLines="0" w:line="240" w:lineRule="auto"/>
        <w:jc w:val="center"/>
        <w:outlineLvl w:val="1"/>
        <w:rPr>
          <w:rFonts w:hint="default" w:cs="Arial"/>
          <w:b/>
          <w:sz w:val="22"/>
          <w:szCs w:val="22"/>
        </w:rPr>
      </w:pPr>
      <w:r>
        <w:rPr>
          <w:rFonts w:hint="default" w:cs="Arial"/>
          <w:b/>
          <w:sz w:val="22"/>
          <w:szCs w:val="22"/>
        </w:rPr>
        <w:t>Čl. VI</w:t>
      </w:r>
    </w:p>
    <w:p w14:paraId="04516E7A">
      <w:pPr>
        <w:keepNext/>
        <w:spacing w:before="0" w:beforeLines="0" w:afterLines="0" w:line="240" w:lineRule="auto"/>
        <w:jc w:val="center"/>
        <w:outlineLvl w:val="1"/>
        <w:rPr>
          <w:rFonts w:hint="default" w:cs="Arial"/>
          <w:b/>
          <w:sz w:val="22"/>
          <w:szCs w:val="22"/>
        </w:rPr>
      </w:pPr>
      <w:r>
        <w:rPr>
          <w:rFonts w:hint="default" w:cs="Arial"/>
          <w:b/>
          <w:sz w:val="22"/>
          <w:szCs w:val="22"/>
        </w:rPr>
        <w:t>Ďalšie informácie</w:t>
      </w:r>
    </w:p>
    <w:p w14:paraId="7DDB238A">
      <w:pPr>
        <w:pStyle w:val="20"/>
        <w:numPr>
          <w:ilvl w:val="0"/>
          <w:numId w:val="0"/>
        </w:numPr>
        <w:tabs>
          <w:tab w:val="clear" w:pos="1440"/>
        </w:tabs>
        <w:spacing w:beforeLines="0" w:afterLines="0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(1) Opis a hodnota iných aktív,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7C9E7598">
      <w:pPr>
        <w:pStyle w:val="20"/>
        <w:numPr>
          <w:ilvl w:val="0"/>
          <w:numId w:val="0"/>
        </w:numPr>
        <w:tabs>
          <w:tab w:val="clear" w:pos="1440"/>
        </w:tabs>
        <w:spacing w:beforeLines="0" w:afterLines="0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4AD7298B">
      <w:pPr>
        <w:pStyle w:val="20"/>
        <w:numPr>
          <w:ilvl w:val="0"/>
          <w:numId w:val="0"/>
        </w:numPr>
        <w:tabs>
          <w:tab w:val="clear" w:pos="1440"/>
        </w:tabs>
        <w:spacing w:beforeLines="0" w:afterLines="0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  <w:lang w:eastAsia="sk-SK"/>
        </w:rPr>
        <w:t>a)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6910235C">
      <w:pPr>
        <w:pStyle w:val="20"/>
        <w:numPr>
          <w:ilvl w:val="0"/>
          <w:numId w:val="0"/>
        </w:numPr>
        <w:tabs>
          <w:tab w:val="clear" w:pos="1440"/>
        </w:tabs>
        <w:spacing w:beforeLines="0" w:afterLines="0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9B67649">
      <w:pPr>
        <w:pStyle w:val="20"/>
        <w:numPr>
          <w:ilvl w:val="0"/>
          <w:numId w:val="0"/>
        </w:numPr>
        <w:tabs>
          <w:tab w:val="clear" w:pos="1440"/>
        </w:tabs>
        <w:spacing w:beforeLines="0" w:afterLines="0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2450C573">
      <w:pPr>
        <w:pStyle w:val="20"/>
        <w:numPr>
          <w:ilvl w:val="0"/>
          <w:numId w:val="0"/>
        </w:numPr>
        <w:tabs>
          <w:tab w:val="clear" w:pos="1440"/>
        </w:tabs>
        <w:spacing w:beforeLines="0" w:afterLines="0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a) povinnosť z devízových termínovaných obchodov a iných finančných derivátov,</w:t>
      </w:r>
    </w:p>
    <w:p w14:paraId="03EC3AA3">
      <w:pPr>
        <w:pStyle w:val="20"/>
        <w:numPr>
          <w:ilvl w:val="0"/>
          <w:numId w:val="0"/>
        </w:numPr>
        <w:tabs>
          <w:tab w:val="clear" w:pos="1440"/>
        </w:tabs>
        <w:spacing w:beforeLines="0" w:afterLines="0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b) povinnosť z opčných obchodov,</w:t>
      </w:r>
    </w:p>
    <w:p w14:paraId="6D74653B">
      <w:pPr>
        <w:pStyle w:val="20"/>
        <w:numPr>
          <w:ilvl w:val="0"/>
          <w:numId w:val="0"/>
        </w:numPr>
        <w:tabs>
          <w:tab w:val="clear" w:pos="1440"/>
        </w:tabs>
        <w:spacing w:beforeLines="0" w:afterLines="0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c) zákonná povinnosť alebo zmluvná povinnosť odobrať určité produkty alebo služby, napríklad z dodávateľských zmlúv alebo odberateľských zmlúv,</w:t>
      </w:r>
    </w:p>
    <w:p w14:paraId="5B37A032">
      <w:pPr>
        <w:pStyle w:val="20"/>
        <w:numPr>
          <w:ilvl w:val="0"/>
          <w:numId w:val="0"/>
        </w:numPr>
        <w:tabs>
          <w:tab w:val="clear" w:pos="1440"/>
        </w:tabs>
        <w:spacing w:beforeLines="0" w:afterLines="0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d) povinnosť z lízingových zmlúv, nájomných zmlúv, servisných zmlúv, poistných zmlúv, koncesionárskych zmlúv, licenčných zmlúv a podobných zmlúv,</w:t>
      </w:r>
    </w:p>
    <w:p w14:paraId="538FB109">
      <w:pPr>
        <w:pStyle w:val="20"/>
        <w:numPr>
          <w:ilvl w:val="0"/>
          <w:numId w:val="0"/>
        </w:numPr>
        <w:tabs>
          <w:tab w:val="clear" w:pos="1440"/>
        </w:tabs>
        <w:spacing w:beforeLines="0" w:afterLines="0"/>
        <w:ind w:left="0" w:firstLine="0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e) iné povinnosti.</w:t>
      </w:r>
    </w:p>
    <w:p w14:paraId="1262FB4D">
      <w:pPr>
        <w:spacing w:before="0" w:beforeLines="0" w:afterLines="0" w:line="240" w:lineRule="auto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(4) Prehľad nehnuteľných kultúrnych pamiatok, ktoré sú v správe alebo vo vlastníctve účtovnej jednotky, a to názov, adresa a číslo kultúrnej pamiatky v Ústrednom zozname pamiatkového fondu.</w:t>
      </w:r>
    </w:p>
    <w:p w14:paraId="10D5464B">
      <w:pPr>
        <w:spacing w:before="0" w:beforeLines="0" w:afterLines="0" w:line="240" w:lineRule="auto"/>
        <w:rPr>
          <w:rFonts w:hint="default" w:cs="Arial"/>
          <w:sz w:val="22"/>
          <w:szCs w:val="22"/>
        </w:rPr>
      </w:pPr>
      <w:r>
        <w:rPr>
          <w:rFonts w:hint="default" w:cs="Arial"/>
          <w:sz w:val="22"/>
          <w:szCs w:val="22"/>
        </w:rPr>
        <w:t>(5) Informácie o významných skutočnostiach, ktoré nastali medzi dňom, ku ktorému sa zostavuje účtovná závierka a dňom jej zostavenia.</w:t>
      </w:r>
    </w:p>
    <w:sectPr>
      <w:headerReference r:id="rId5" w:type="first"/>
      <w:footerReference r:id="rId7" w:type="first"/>
      <w:footerReference r:id="rId6" w:type="default"/>
      <w:pgSz w:w="11906" w:h="16838"/>
      <w:pgMar w:top="851" w:right="851" w:bottom="851" w:left="993" w:header="709" w:footer="709" w:gutter="0"/>
      <w:pgNumType w:start="7"/>
      <w:cols w:space="708" w:num="1"/>
      <w:titlePg/>
      <w:docGrid w:linePitch="27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Tahoma">
    <w:panose1 w:val="020B0604030504040204"/>
    <w:charset w:val="EE"/>
    <w:family w:val="swiss"/>
    <w:pitch w:val="default"/>
    <w:sig w:usb0="E1002EFF" w:usb1="C000605B" w:usb2="00000029" w:usb3="00000000" w:csb0="200101FF" w:csb1="2028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8A6AF3F">
    <w:pPr>
      <w:pStyle w:val="9"/>
      <w:spacing w:beforeLines="0" w:afterLines="0"/>
      <w:jc w:val="right"/>
      <w:rPr>
        <w:rFonts w:hint="default" w:cs="Arial"/>
        <w:sz w:val="20"/>
        <w:szCs w:val="24"/>
      </w:rPr>
    </w:pPr>
    <w:r>
      <w:rPr>
        <w:rFonts w:hint="default" w:cs="Arial"/>
        <w:sz w:val="20"/>
        <w:szCs w:val="24"/>
      </w:rPr>
      <w:t xml:space="preserve">Strana </w:t>
    </w:r>
    <w:r>
      <w:rPr>
        <w:rFonts w:hint="default" w:cs="Arial"/>
        <w:sz w:val="20"/>
        <w:szCs w:val="24"/>
      </w:rPr>
      <w:fldChar w:fldCharType="begin"/>
    </w:r>
    <w:r>
      <w:rPr>
        <w:rFonts w:hint="default" w:cs="Arial"/>
        <w:sz w:val="20"/>
        <w:szCs w:val="24"/>
      </w:rPr>
      <w:instrText xml:space="preserve">PAGE   \* MERGEFORMAT</w:instrText>
    </w:r>
    <w:r>
      <w:rPr>
        <w:rFonts w:hint="default" w:cs="Arial"/>
        <w:sz w:val="20"/>
        <w:szCs w:val="24"/>
      </w:rPr>
      <w:fldChar w:fldCharType="separate"/>
    </w:r>
    <w:r>
      <w:rPr>
        <w:rFonts w:hint="default" w:cs="Arial"/>
        <w:sz w:val="20"/>
        <w:szCs w:val="24"/>
      </w:rPr>
      <w:t>9</w:t>
    </w:r>
    <w:r>
      <w:rPr>
        <w:rFonts w:hint="default" w:cs="Arial"/>
        <w:sz w:val="20"/>
        <w:szCs w:val="24"/>
      </w:rPr>
      <w:fldChar w:fldCharType="end"/>
    </w:r>
  </w:p>
  <w:p w14:paraId="24690648">
    <w:pPr>
      <w:pStyle w:val="9"/>
      <w:tabs>
        <w:tab w:val="center" w:pos="5102"/>
        <w:tab w:val="right" w:pos="10204"/>
        <w:tab w:val="clear" w:pos="4536"/>
        <w:tab w:val="clear" w:pos="9072"/>
      </w:tabs>
      <w:spacing w:beforeLines="0" w:afterLines="0"/>
      <w:ind w:right="360"/>
      <w:rPr>
        <w:rFonts w:hint="default" w:cs="Arial"/>
        <w:sz w:val="20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5001BE">
    <w:pPr>
      <w:pStyle w:val="9"/>
      <w:spacing w:beforeLines="0" w:afterLines="0"/>
      <w:jc w:val="right"/>
      <w:rPr>
        <w:rFonts w:hint="default" w:cs="Arial"/>
        <w:sz w:val="20"/>
        <w:szCs w:val="24"/>
      </w:rPr>
    </w:pPr>
    <w:r>
      <w:rPr>
        <w:rFonts w:hint="default" w:cs="Arial"/>
        <w:sz w:val="20"/>
        <w:szCs w:val="24"/>
      </w:rPr>
      <w:t>Strana 7</w:t>
    </w:r>
  </w:p>
  <w:p w14:paraId="351B4D59">
    <w:pPr>
      <w:pStyle w:val="9"/>
      <w:spacing w:beforeLines="0" w:afterLines="0"/>
      <w:rPr>
        <w:rFonts w:hint="default" w:cs="Arial"/>
        <w:sz w:val="20"/>
        <w:szCs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360" w:lineRule="auto"/>
      </w:pPr>
      <w:r>
        <w:separator/>
      </w:r>
    </w:p>
  </w:footnote>
  <w:footnote w:type="continuationSeparator" w:id="1">
    <w:p>
      <w:pPr>
        <w:spacing w:before="0" w:after="0" w:line="36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CC6E7D2">
    <w:pPr>
      <w:pStyle w:val="10"/>
      <w:spacing w:beforeLines="0" w:afterLines="0"/>
      <w:jc w:val="right"/>
      <w:rPr>
        <w:rFonts w:hint="default" w:cs="Arial"/>
        <w:sz w:val="20"/>
        <w:szCs w:val="24"/>
      </w:rPr>
    </w:pPr>
  </w:p>
  <w:p w14:paraId="5955B304">
    <w:pPr>
      <w:pStyle w:val="10"/>
      <w:spacing w:beforeLines="0" w:afterLines="0"/>
      <w:rPr>
        <w:rFonts w:hint="default" w:cs="Arial"/>
        <w:sz w:val="20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AE361E5"/>
    <w:multiLevelType w:val="multilevel"/>
    <w:tmpl w:val="0AE361E5"/>
    <w:lvl w:ilvl="0" w:tentative="0">
      <w:start w:val="1"/>
      <w:numFmt w:val="decimal"/>
      <w:pStyle w:val="16"/>
      <w:lvlText w:val="K bodu %1"/>
      <w:lvlJc w:val="left"/>
      <w:pPr>
        <w:tabs>
          <w:tab w:val="left" w:pos="0"/>
        </w:tabs>
      </w:pPr>
      <w:rPr>
        <w:rFonts w:hint="default" w:cs="Times New Roman"/>
        <w:b/>
        <w:u w:val="none" w:color="auto"/>
      </w:rPr>
    </w:lvl>
    <w:lvl w:ilvl="1" w:tentative="0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  <w:rPr>
        <w:rFonts w:hint="default" w:cs="Times New Roman"/>
        <w:u w:val="none" w:color="auto"/>
      </w:rPr>
    </w:lvl>
    <w:lvl w:ilvl="2" w:tentative="0">
      <w:start w:val="1"/>
      <w:numFmt w:val="lowerRoman"/>
      <w:lvlText w:val="%3."/>
      <w:lvlJc w:val="right"/>
      <w:pPr>
        <w:tabs>
          <w:tab w:val="left" w:pos="2160"/>
        </w:tabs>
        <w:ind w:left="2160" w:hanging="180"/>
      </w:pPr>
      <w:rPr>
        <w:rFonts w:hint="default" w:cs="Times New Roman"/>
        <w:u w:val="none" w:color="auto"/>
      </w:r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  <w:rPr>
        <w:rFonts w:hint="default" w:cs="Times New Roman"/>
        <w:u w:val="none" w:color="auto"/>
      </w:rPr>
    </w:lvl>
    <w:lvl w:ilvl="4" w:tentative="0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  <w:rPr>
        <w:rFonts w:hint="default" w:cs="Times New Roman"/>
        <w:u w:val="none" w:color="auto"/>
      </w:rPr>
    </w:lvl>
    <w:lvl w:ilvl="5" w:tentative="0">
      <w:start w:val="1"/>
      <w:numFmt w:val="lowerRoman"/>
      <w:lvlText w:val="%6."/>
      <w:lvlJc w:val="right"/>
      <w:pPr>
        <w:tabs>
          <w:tab w:val="left" w:pos="4320"/>
        </w:tabs>
        <w:ind w:left="4320" w:hanging="180"/>
      </w:pPr>
      <w:rPr>
        <w:rFonts w:hint="default" w:cs="Times New Roman"/>
        <w:u w:val="none" w:color="auto"/>
      </w:r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  <w:rPr>
        <w:rFonts w:hint="default" w:cs="Times New Roman"/>
        <w:u w:val="none" w:color="auto"/>
      </w:rPr>
    </w:lvl>
    <w:lvl w:ilvl="7" w:tentative="0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  <w:rPr>
        <w:rFonts w:hint="default" w:cs="Times New Roman"/>
        <w:u w:val="none" w:color="auto"/>
      </w:rPr>
    </w:lvl>
    <w:lvl w:ilvl="8" w:tentative="0">
      <w:start w:val="1"/>
      <w:numFmt w:val="lowerRoman"/>
      <w:lvlText w:val="%9."/>
      <w:lvlJc w:val="right"/>
      <w:pPr>
        <w:tabs>
          <w:tab w:val="left" w:pos="6480"/>
        </w:tabs>
        <w:ind w:left="6480" w:hanging="180"/>
      </w:pPr>
      <w:rPr>
        <w:rFonts w:hint="default" w:cs="Times New Roman"/>
        <w:u w:val="none" w:color="auto"/>
      </w:rPr>
    </w:lvl>
  </w:abstractNum>
  <w:abstractNum w:abstractNumId="1">
    <w:nsid w:val="0B253E27"/>
    <w:multiLevelType w:val="multilevel"/>
    <w:tmpl w:val="0B253E27"/>
    <w:lvl w:ilvl="0" w:tentative="0">
      <w:start w:val="1"/>
      <w:numFmt w:val="decimal"/>
      <w:lvlText w:val="(%1)"/>
      <w:lvlJc w:val="left"/>
      <w:pPr>
        <w:ind w:left="644" w:hanging="360"/>
      </w:pPr>
      <w:rPr>
        <w:rFonts w:hint="default" w:cs="Times New Roman"/>
        <w:u w:val="none" w:color="auto"/>
      </w:rPr>
    </w:lvl>
    <w:lvl w:ilvl="1" w:tentative="0">
      <w:start w:val="1"/>
      <w:numFmt w:val="lowerLetter"/>
      <w:lvlText w:val="%2."/>
      <w:lvlJc w:val="left"/>
      <w:pPr>
        <w:ind w:left="1440" w:hanging="360"/>
      </w:pPr>
      <w:rPr>
        <w:rFonts w:hint="default" w:cs="Times New Roman"/>
        <w:u w:val="none" w:color="auto"/>
      </w:rPr>
    </w:lvl>
    <w:lvl w:ilvl="2" w:tentative="0">
      <w:start w:val="1"/>
      <w:numFmt w:val="lowerRoman"/>
      <w:lvlText w:val="%3."/>
      <w:lvlJc w:val="right"/>
      <w:pPr>
        <w:ind w:left="2160" w:hanging="180"/>
      </w:pPr>
      <w:rPr>
        <w:rFonts w:hint="default" w:cs="Times New Roman"/>
        <w:u w:val="none" w:color="auto"/>
      </w:rPr>
    </w:lvl>
    <w:lvl w:ilvl="3" w:tentative="0">
      <w:start w:val="1"/>
      <w:numFmt w:val="decimal"/>
      <w:lvlText w:val="%4."/>
      <w:lvlJc w:val="left"/>
      <w:pPr>
        <w:ind w:left="2880" w:hanging="360"/>
      </w:pPr>
      <w:rPr>
        <w:rFonts w:hint="default" w:cs="Times New Roman"/>
        <w:u w:val="none" w:color="auto"/>
      </w:rPr>
    </w:lvl>
    <w:lvl w:ilvl="4" w:tentative="0">
      <w:start w:val="1"/>
      <w:numFmt w:val="lowerLetter"/>
      <w:lvlText w:val="%5."/>
      <w:lvlJc w:val="left"/>
      <w:pPr>
        <w:ind w:left="3600" w:hanging="360"/>
      </w:pPr>
      <w:rPr>
        <w:rFonts w:hint="default" w:cs="Times New Roman"/>
        <w:u w:val="none" w:color="auto"/>
      </w:rPr>
    </w:lvl>
    <w:lvl w:ilvl="5" w:tentative="0">
      <w:start w:val="1"/>
      <w:numFmt w:val="lowerRoman"/>
      <w:lvlText w:val="%6."/>
      <w:lvlJc w:val="right"/>
      <w:pPr>
        <w:ind w:left="4320" w:hanging="180"/>
      </w:pPr>
      <w:rPr>
        <w:rFonts w:hint="default" w:cs="Times New Roman"/>
        <w:u w:val="none" w:color="auto"/>
      </w:rPr>
    </w:lvl>
    <w:lvl w:ilvl="6" w:tentative="0">
      <w:start w:val="1"/>
      <w:numFmt w:val="decimal"/>
      <w:lvlText w:val="%7."/>
      <w:lvlJc w:val="left"/>
      <w:pPr>
        <w:ind w:left="5040" w:hanging="360"/>
      </w:pPr>
      <w:rPr>
        <w:rFonts w:hint="default" w:cs="Times New Roman"/>
        <w:u w:val="none" w:color="auto"/>
      </w:rPr>
    </w:lvl>
    <w:lvl w:ilvl="7" w:tentative="0">
      <w:start w:val="1"/>
      <w:numFmt w:val="lowerLetter"/>
      <w:lvlText w:val="%8."/>
      <w:lvlJc w:val="left"/>
      <w:pPr>
        <w:ind w:left="5760" w:hanging="360"/>
      </w:pPr>
      <w:rPr>
        <w:rFonts w:hint="default" w:cs="Times New Roman"/>
        <w:u w:val="none" w:color="auto"/>
      </w:rPr>
    </w:lvl>
    <w:lvl w:ilvl="8" w:tentative="0">
      <w:start w:val="1"/>
      <w:numFmt w:val="lowerRoman"/>
      <w:lvlText w:val="%9."/>
      <w:lvlJc w:val="right"/>
      <w:pPr>
        <w:ind w:left="6480" w:hanging="180"/>
      </w:pPr>
      <w:rPr>
        <w:rFonts w:hint="default" w:cs="Times New Roman"/>
        <w:u w:val="none" w:color="auto"/>
      </w:rPr>
    </w:lvl>
  </w:abstractNum>
  <w:abstractNum w:abstractNumId="2">
    <w:nsid w:val="484256DF"/>
    <w:multiLevelType w:val="multilevel"/>
    <w:tmpl w:val="484256DF"/>
    <w:lvl w:ilvl="0" w:tentative="0">
      <w:start w:val="1"/>
      <w:numFmt w:val="decimal"/>
      <w:lvlText w:val="(%1)"/>
      <w:lvlJc w:val="left"/>
      <w:pPr>
        <w:ind w:left="720" w:hanging="360"/>
      </w:pPr>
      <w:rPr>
        <w:rFonts w:hint="default" w:ascii="Arial Narrow" w:cs="Arial Narrow"/>
        <w:u w:val="none" w:color="auto"/>
      </w:rPr>
    </w:lvl>
    <w:lvl w:ilvl="1" w:tentative="0">
      <w:start w:val="1"/>
      <w:numFmt w:val="lowerLetter"/>
      <w:lvlText w:val="%2."/>
      <w:lvlJc w:val="left"/>
      <w:pPr>
        <w:ind w:left="1440" w:hanging="360"/>
      </w:pPr>
      <w:rPr>
        <w:rFonts w:hint="default" w:cs="Times New Roman"/>
        <w:u w:val="none" w:color="auto"/>
      </w:rPr>
    </w:lvl>
    <w:lvl w:ilvl="2" w:tentative="0">
      <w:start w:val="1"/>
      <w:numFmt w:val="lowerRoman"/>
      <w:lvlText w:val="%3."/>
      <w:lvlJc w:val="right"/>
      <w:pPr>
        <w:ind w:left="2160" w:hanging="180"/>
      </w:pPr>
      <w:rPr>
        <w:rFonts w:hint="default" w:cs="Times New Roman"/>
        <w:u w:val="none" w:color="auto"/>
      </w:rPr>
    </w:lvl>
    <w:lvl w:ilvl="3" w:tentative="0">
      <w:start w:val="1"/>
      <w:numFmt w:val="decimal"/>
      <w:lvlText w:val="%4."/>
      <w:lvlJc w:val="left"/>
      <w:pPr>
        <w:ind w:left="2880" w:hanging="360"/>
      </w:pPr>
      <w:rPr>
        <w:rFonts w:hint="default" w:cs="Times New Roman"/>
        <w:u w:val="none" w:color="auto"/>
      </w:rPr>
    </w:lvl>
    <w:lvl w:ilvl="4" w:tentative="0">
      <w:start w:val="1"/>
      <w:numFmt w:val="lowerLetter"/>
      <w:lvlText w:val="%5."/>
      <w:lvlJc w:val="left"/>
      <w:pPr>
        <w:ind w:left="3600" w:hanging="360"/>
      </w:pPr>
      <w:rPr>
        <w:rFonts w:hint="default" w:cs="Times New Roman"/>
        <w:u w:val="none" w:color="auto"/>
      </w:rPr>
    </w:lvl>
    <w:lvl w:ilvl="5" w:tentative="0">
      <w:start w:val="1"/>
      <w:numFmt w:val="lowerRoman"/>
      <w:lvlText w:val="%6."/>
      <w:lvlJc w:val="right"/>
      <w:pPr>
        <w:ind w:left="4320" w:hanging="180"/>
      </w:pPr>
      <w:rPr>
        <w:rFonts w:hint="default" w:cs="Times New Roman"/>
        <w:u w:val="none" w:color="auto"/>
      </w:rPr>
    </w:lvl>
    <w:lvl w:ilvl="6" w:tentative="0">
      <w:start w:val="1"/>
      <w:numFmt w:val="decimal"/>
      <w:lvlText w:val="%7."/>
      <w:lvlJc w:val="left"/>
      <w:pPr>
        <w:ind w:left="5040" w:hanging="360"/>
      </w:pPr>
      <w:rPr>
        <w:rFonts w:hint="default" w:cs="Times New Roman"/>
        <w:u w:val="none" w:color="auto"/>
      </w:rPr>
    </w:lvl>
    <w:lvl w:ilvl="7" w:tentative="0">
      <w:start w:val="1"/>
      <w:numFmt w:val="lowerLetter"/>
      <w:lvlText w:val="%8."/>
      <w:lvlJc w:val="left"/>
      <w:pPr>
        <w:ind w:left="5760" w:hanging="360"/>
      </w:pPr>
      <w:rPr>
        <w:rFonts w:hint="default" w:cs="Times New Roman"/>
        <w:u w:val="none" w:color="auto"/>
      </w:rPr>
    </w:lvl>
    <w:lvl w:ilvl="8" w:tentative="0">
      <w:start w:val="1"/>
      <w:numFmt w:val="lowerRoman"/>
      <w:lvlText w:val="%9."/>
      <w:lvlJc w:val="right"/>
      <w:pPr>
        <w:ind w:left="6480" w:hanging="180"/>
      </w:pPr>
      <w:rPr>
        <w:rFonts w:hint="default" w:cs="Times New Roman"/>
        <w:u w:val="none" w:color="auto"/>
      </w:rPr>
    </w:lvl>
  </w:abstractNum>
  <w:abstractNum w:abstractNumId="3">
    <w:nsid w:val="52A01D22"/>
    <w:multiLevelType w:val="multilevel"/>
    <w:tmpl w:val="52A01D22"/>
    <w:lvl w:ilvl="0" w:tentative="0">
      <w:start w:val="1"/>
      <w:numFmt w:val="upperRoman"/>
      <w:pStyle w:val="13"/>
      <w:suff w:val="nothing"/>
      <w:lvlText w:val="Čl. %1."/>
      <w:lvlJc w:val="center"/>
      <w:rPr>
        <w:rFonts w:hint="default" w:ascii="Arial" w:cs="Arial"/>
        <w:b/>
        <w:sz w:val="24"/>
        <w:szCs w:val="24"/>
        <w:u w:val="none" w:color="auto"/>
      </w:rPr>
    </w:lvl>
    <w:lvl w:ilvl="1" w:tentative="0">
      <w:start w:val="1"/>
      <w:numFmt w:val="lowerLetter"/>
      <w:lvlText w:val="%2)"/>
      <w:lvlJc w:val="left"/>
      <w:pPr>
        <w:tabs>
          <w:tab w:val="left" w:pos="720"/>
        </w:tabs>
        <w:ind w:left="720" w:hanging="360"/>
      </w:pPr>
      <w:rPr>
        <w:rFonts w:hint="default" w:cs="Times New Roman"/>
        <w:u w:val="none" w:color="auto"/>
      </w:rPr>
    </w:lvl>
    <w:lvl w:ilvl="2" w:tentative="0">
      <w:start w:val="1"/>
      <w:numFmt w:val="lowerRoman"/>
      <w:lvlText w:val="%3)"/>
      <w:lvlJc w:val="left"/>
      <w:pPr>
        <w:tabs>
          <w:tab w:val="left" w:pos="1080"/>
        </w:tabs>
        <w:ind w:left="1080" w:hanging="360"/>
      </w:pPr>
      <w:rPr>
        <w:rFonts w:hint="default" w:cs="Times New Roman"/>
        <w:u w:val="none" w:color="auto"/>
      </w:rPr>
    </w:lvl>
    <w:lvl w:ilvl="3" w:tentative="0">
      <w:start w:val="1"/>
      <w:numFmt w:val="decimal"/>
      <w:lvlText w:val="(%4)"/>
      <w:lvlJc w:val="left"/>
      <w:pPr>
        <w:tabs>
          <w:tab w:val="left" w:pos="1440"/>
        </w:tabs>
        <w:ind w:left="1440" w:hanging="360"/>
      </w:pPr>
      <w:rPr>
        <w:rFonts w:hint="default" w:cs="Times New Roman"/>
        <w:u w:val="none" w:color="auto"/>
      </w:rPr>
    </w:lvl>
    <w:lvl w:ilvl="4" w:tentative="0">
      <w:start w:val="1"/>
      <w:numFmt w:val="lowerLetter"/>
      <w:lvlText w:val="(%5)"/>
      <w:lvlJc w:val="left"/>
      <w:pPr>
        <w:tabs>
          <w:tab w:val="left" w:pos="1800"/>
        </w:tabs>
        <w:ind w:left="1800" w:hanging="360"/>
      </w:pPr>
      <w:rPr>
        <w:rFonts w:hint="default" w:cs="Times New Roman"/>
        <w:u w:val="none" w:color="auto"/>
      </w:rPr>
    </w:lvl>
    <w:lvl w:ilvl="5" w:tentative="0">
      <w:start w:val="1"/>
      <w:numFmt w:val="lowerRoman"/>
      <w:lvlText w:val="(%6)"/>
      <w:lvlJc w:val="left"/>
      <w:pPr>
        <w:tabs>
          <w:tab w:val="left" w:pos="2160"/>
        </w:tabs>
        <w:ind w:left="2160" w:hanging="360"/>
      </w:pPr>
      <w:rPr>
        <w:rFonts w:hint="default" w:cs="Times New Roman"/>
        <w:u w:val="none" w:color="auto"/>
      </w:rPr>
    </w:lvl>
    <w:lvl w:ilvl="6" w:tentative="0">
      <w:start w:val="1"/>
      <w:numFmt w:val="decimal"/>
      <w:lvlText w:val="%7."/>
      <w:lvlJc w:val="left"/>
      <w:pPr>
        <w:tabs>
          <w:tab w:val="left" w:pos="2520"/>
        </w:tabs>
        <w:ind w:left="2520" w:hanging="360"/>
      </w:pPr>
      <w:rPr>
        <w:rFonts w:hint="default" w:cs="Times New Roman"/>
        <w:u w:val="none" w:color="auto"/>
      </w:rPr>
    </w:lvl>
    <w:lvl w:ilvl="7" w:tentative="0">
      <w:start w:val="1"/>
      <w:numFmt w:val="lowerLetter"/>
      <w:lvlText w:val="%8."/>
      <w:lvlJc w:val="left"/>
      <w:pPr>
        <w:tabs>
          <w:tab w:val="left" w:pos="2880"/>
        </w:tabs>
        <w:ind w:left="2880" w:hanging="360"/>
      </w:pPr>
      <w:rPr>
        <w:rFonts w:hint="default" w:cs="Times New Roman"/>
        <w:u w:val="none" w:color="auto"/>
      </w:rPr>
    </w:lvl>
    <w:lvl w:ilvl="8" w:tentative="0">
      <w:start w:val="1"/>
      <w:numFmt w:val="lowerRoman"/>
      <w:lvlText w:val="%9."/>
      <w:lvlJc w:val="left"/>
      <w:pPr>
        <w:tabs>
          <w:tab w:val="left" w:pos="3240"/>
        </w:tabs>
        <w:ind w:left="3240" w:hanging="360"/>
      </w:pPr>
      <w:rPr>
        <w:rFonts w:hint="default" w:cs="Times New Roman"/>
        <w:u w:val="none" w:color="auto"/>
      </w:rPr>
    </w:lvl>
  </w:abstractNum>
  <w:abstractNum w:abstractNumId="4">
    <w:nsid w:val="62FA66D6"/>
    <w:multiLevelType w:val="multilevel"/>
    <w:tmpl w:val="62FA66D6"/>
    <w:lvl w:ilvl="0" w:tentative="0">
      <w:start w:val="1"/>
      <w:numFmt w:val="decimal"/>
      <w:pStyle w:val="20"/>
      <w:lvlText w:val="(%1)"/>
      <w:lvlJc w:val="left"/>
      <w:pPr>
        <w:tabs>
          <w:tab w:val="left" w:pos="1440"/>
        </w:tabs>
        <w:ind w:left="1440" w:hanging="360"/>
      </w:pPr>
      <w:rPr>
        <w:rFonts w:hint="default" w:ascii="Arial Narrow" w:cs="Arial Narrow"/>
        <w:color w:val="auto"/>
        <w:sz w:val="24"/>
        <w:szCs w:val="24"/>
        <w:u w:val="none" w:color="auto"/>
      </w:rPr>
    </w:lvl>
    <w:lvl w:ilvl="1" w:tentative="0">
      <w:start w:val="1"/>
      <w:numFmt w:val="lowerLetter"/>
      <w:lvlText w:val="%2."/>
      <w:lvlJc w:val="left"/>
      <w:pPr>
        <w:tabs>
          <w:tab w:val="left" w:pos="2160"/>
        </w:tabs>
        <w:ind w:left="2160" w:hanging="360"/>
      </w:pPr>
      <w:rPr>
        <w:rFonts w:hint="default" w:cs="Times New Roman"/>
        <w:u w:val="none" w:color="auto"/>
      </w:rPr>
    </w:lvl>
    <w:lvl w:ilvl="2" w:tentative="0">
      <w:start w:val="1"/>
      <w:numFmt w:val="lowerRoman"/>
      <w:lvlText w:val="%3."/>
      <w:lvlJc w:val="right"/>
      <w:pPr>
        <w:tabs>
          <w:tab w:val="left" w:pos="2880"/>
        </w:tabs>
        <w:ind w:left="2880" w:hanging="180"/>
      </w:pPr>
      <w:rPr>
        <w:rFonts w:hint="default" w:cs="Times New Roman"/>
        <w:u w:val="none" w:color="auto"/>
      </w:rPr>
    </w:lvl>
    <w:lvl w:ilvl="3" w:tentative="0">
      <w:start w:val="1"/>
      <w:numFmt w:val="decimal"/>
      <w:lvlText w:val="%4."/>
      <w:lvlJc w:val="left"/>
      <w:pPr>
        <w:tabs>
          <w:tab w:val="left" w:pos="3600"/>
        </w:tabs>
        <w:ind w:left="3600" w:hanging="360"/>
      </w:pPr>
      <w:rPr>
        <w:rFonts w:hint="default" w:cs="Times New Roman"/>
        <w:u w:val="none" w:color="auto"/>
      </w:rPr>
    </w:lvl>
    <w:lvl w:ilvl="4" w:tentative="0">
      <w:start w:val="1"/>
      <w:numFmt w:val="lowerLetter"/>
      <w:lvlText w:val="%5."/>
      <w:lvlJc w:val="left"/>
      <w:pPr>
        <w:tabs>
          <w:tab w:val="left" w:pos="4320"/>
        </w:tabs>
        <w:ind w:left="4320" w:hanging="360"/>
      </w:pPr>
      <w:rPr>
        <w:rFonts w:hint="default" w:cs="Times New Roman"/>
        <w:u w:val="none" w:color="auto"/>
      </w:rPr>
    </w:lvl>
    <w:lvl w:ilvl="5" w:tentative="0">
      <w:start w:val="1"/>
      <w:numFmt w:val="lowerRoman"/>
      <w:lvlText w:val="%6."/>
      <w:lvlJc w:val="right"/>
      <w:pPr>
        <w:tabs>
          <w:tab w:val="left" w:pos="5040"/>
        </w:tabs>
        <w:ind w:left="5040" w:hanging="180"/>
      </w:pPr>
      <w:rPr>
        <w:rFonts w:hint="default" w:cs="Times New Roman"/>
        <w:u w:val="none" w:color="auto"/>
      </w:rPr>
    </w:lvl>
    <w:lvl w:ilvl="6" w:tentative="0">
      <w:start w:val="1"/>
      <w:numFmt w:val="decimal"/>
      <w:lvlText w:val="%7."/>
      <w:lvlJc w:val="left"/>
      <w:pPr>
        <w:tabs>
          <w:tab w:val="left" w:pos="5760"/>
        </w:tabs>
        <w:ind w:left="5760" w:hanging="360"/>
      </w:pPr>
      <w:rPr>
        <w:rFonts w:hint="default" w:cs="Times New Roman"/>
        <w:u w:val="none" w:color="auto"/>
      </w:rPr>
    </w:lvl>
    <w:lvl w:ilvl="7" w:tentative="0">
      <w:start w:val="1"/>
      <w:numFmt w:val="lowerLetter"/>
      <w:lvlText w:val="%8."/>
      <w:lvlJc w:val="left"/>
      <w:pPr>
        <w:tabs>
          <w:tab w:val="left" w:pos="6480"/>
        </w:tabs>
        <w:ind w:left="6480" w:hanging="360"/>
      </w:pPr>
      <w:rPr>
        <w:rFonts w:hint="default" w:cs="Times New Roman"/>
        <w:u w:val="none" w:color="auto"/>
      </w:rPr>
    </w:lvl>
    <w:lvl w:ilvl="8" w:tentative="0">
      <w:start w:val="1"/>
      <w:numFmt w:val="lowerRoman"/>
      <w:lvlText w:val="%9."/>
      <w:lvlJc w:val="right"/>
      <w:pPr>
        <w:tabs>
          <w:tab w:val="left" w:pos="7200"/>
        </w:tabs>
        <w:ind w:left="7200" w:hanging="180"/>
      </w:pPr>
      <w:rPr>
        <w:rFonts w:hint="default" w:cs="Times New Roman"/>
        <w:u w:val="none" w:color="auto"/>
      </w:rPr>
    </w:lvl>
  </w:abstractNum>
  <w:abstractNum w:abstractNumId="5">
    <w:nsid w:val="764178F5"/>
    <w:multiLevelType w:val="multilevel"/>
    <w:tmpl w:val="764178F5"/>
    <w:lvl w:ilvl="0" w:tentative="0">
      <w:start w:val="1"/>
      <w:numFmt w:val="decimal"/>
      <w:pStyle w:val="18"/>
      <w:lvlText w:val="(%1)"/>
      <w:lvlJc w:val="left"/>
      <w:pPr>
        <w:tabs>
          <w:tab w:val="left" w:pos="0"/>
        </w:tabs>
      </w:pPr>
      <w:rPr>
        <w:rFonts w:hint="default" w:cs="Times New Roman"/>
        <w:u w:val="none" w:color="auto"/>
      </w:rPr>
    </w:lvl>
    <w:lvl w:ilvl="1" w:tentative="0">
      <w:start w:val="1"/>
      <w:numFmt w:val="lowerLetter"/>
      <w:lvlText w:val="%2."/>
      <w:lvlJc w:val="left"/>
      <w:pPr>
        <w:tabs>
          <w:tab w:val="left" w:pos="2007"/>
        </w:tabs>
        <w:ind w:left="2007" w:hanging="360"/>
      </w:pPr>
      <w:rPr>
        <w:rFonts w:hint="default" w:cs="Times New Roman"/>
        <w:u w:val="none" w:color="auto"/>
      </w:rPr>
    </w:lvl>
    <w:lvl w:ilvl="2" w:tentative="0">
      <w:start w:val="1"/>
      <w:numFmt w:val="lowerRoman"/>
      <w:lvlText w:val="%3."/>
      <w:lvlJc w:val="right"/>
      <w:pPr>
        <w:tabs>
          <w:tab w:val="left" w:pos="2727"/>
        </w:tabs>
        <w:ind w:left="2727" w:hanging="180"/>
      </w:pPr>
      <w:rPr>
        <w:rFonts w:hint="default" w:cs="Times New Roman"/>
        <w:u w:val="none" w:color="auto"/>
      </w:rPr>
    </w:lvl>
    <w:lvl w:ilvl="3" w:tentative="0">
      <w:start w:val="1"/>
      <w:numFmt w:val="decimal"/>
      <w:lvlText w:val="%4."/>
      <w:lvlJc w:val="left"/>
      <w:pPr>
        <w:tabs>
          <w:tab w:val="left" w:pos="3447"/>
        </w:tabs>
        <w:ind w:left="3447" w:hanging="360"/>
      </w:pPr>
      <w:rPr>
        <w:rFonts w:hint="default" w:cs="Times New Roman"/>
        <w:u w:val="none" w:color="auto"/>
      </w:rPr>
    </w:lvl>
    <w:lvl w:ilvl="4" w:tentative="0">
      <w:start w:val="1"/>
      <w:numFmt w:val="lowerLetter"/>
      <w:lvlText w:val="%5."/>
      <w:lvlJc w:val="left"/>
      <w:pPr>
        <w:tabs>
          <w:tab w:val="left" w:pos="4167"/>
        </w:tabs>
        <w:ind w:left="4167" w:hanging="360"/>
      </w:pPr>
      <w:rPr>
        <w:rFonts w:hint="default" w:cs="Times New Roman"/>
        <w:u w:val="none" w:color="auto"/>
      </w:rPr>
    </w:lvl>
    <w:lvl w:ilvl="5" w:tentative="0">
      <w:start w:val="1"/>
      <w:numFmt w:val="lowerRoman"/>
      <w:lvlText w:val="%6."/>
      <w:lvlJc w:val="right"/>
      <w:pPr>
        <w:tabs>
          <w:tab w:val="left" w:pos="4887"/>
        </w:tabs>
        <w:ind w:left="4887" w:hanging="180"/>
      </w:pPr>
      <w:rPr>
        <w:rFonts w:hint="default" w:cs="Times New Roman"/>
        <w:u w:val="none" w:color="auto"/>
      </w:rPr>
    </w:lvl>
    <w:lvl w:ilvl="6" w:tentative="0">
      <w:start w:val="1"/>
      <w:numFmt w:val="decimal"/>
      <w:lvlText w:val="%7."/>
      <w:lvlJc w:val="left"/>
      <w:pPr>
        <w:tabs>
          <w:tab w:val="left" w:pos="5607"/>
        </w:tabs>
        <w:ind w:left="5607" w:hanging="360"/>
      </w:pPr>
      <w:rPr>
        <w:rFonts w:hint="default" w:cs="Times New Roman"/>
        <w:u w:val="none" w:color="auto"/>
      </w:rPr>
    </w:lvl>
    <w:lvl w:ilvl="7" w:tentative="0">
      <w:start w:val="1"/>
      <w:numFmt w:val="lowerLetter"/>
      <w:lvlText w:val="%8."/>
      <w:lvlJc w:val="left"/>
      <w:pPr>
        <w:tabs>
          <w:tab w:val="left" w:pos="6327"/>
        </w:tabs>
        <w:ind w:left="6327" w:hanging="360"/>
      </w:pPr>
      <w:rPr>
        <w:rFonts w:hint="default" w:cs="Times New Roman"/>
        <w:u w:val="none" w:color="auto"/>
      </w:rPr>
    </w:lvl>
    <w:lvl w:ilvl="8" w:tentative="0">
      <w:start w:val="1"/>
      <w:numFmt w:val="lowerRoman"/>
      <w:lvlText w:val="%9."/>
      <w:lvlJc w:val="right"/>
      <w:pPr>
        <w:tabs>
          <w:tab w:val="left" w:pos="7047"/>
        </w:tabs>
        <w:ind w:left="7047" w:hanging="180"/>
      </w:pPr>
      <w:rPr>
        <w:rFonts w:hint="default" w:cs="Times New Roman"/>
        <w:u w:val="none" w:color="auto"/>
      </w:rPr>
    </w:lvl>
  </w:abstractNum>
  <w:num w:numId="1">
    <w:abstractNumId w:val="3"/>
  </w:num>
  <w:num w:numId="2">
    <w:abstractNumId w:val="0"/>
  </w:num>
  <w:num w:numId="3">
    <w:abstractNumId w:val="5"/>
  </w:num>
  <w:num w:numId="4">
    <w:abstractNumId w:val="4"/>
  </w:num>
  <w:num w:numId="5">
    <w:abstractNumId w:val="1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2A27"/>
    <w:rsid w:val="2C203E6D"/>
    <w:rsid w:val="3EAD38D4"/>
    <w:rsid w:val="70FF54BF"/>
    <w:rsid w:val="7349260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iPriority="0" w:semiHidden="0" w:name="Normal"/>
    <w:lsdException w:qFormat="1" w:uiPriority="99" w:name="heading 1"/>
    <w:lsdException w:qFormat="1" w:uiPriority="99" w:semiHidden="0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qFormat="1" w:uiPriority="39" w:name="toc 1"/>
    <w:lsdException w:qFormat="1" w:uiPriority="39" w:name="toc 2"/>
    <w:lsdException w:qFormat="1" w:uiPriority="39" w:name="toc 3"/>
    <w:lsdException w:qFormat="1" w:uiPriority="39" w:name="toc 4"/>
    <w:lsdException w:qFormat="1" w:uiPriority="39" w:name="toc 5"/>
    <w:lsdException w:qFormat="1" w:uiPriority="39" w:name="toc 6"/>
    <w:lsdException w:qFormat="1" w:uiPriority="39" w:name="toc 7"/>
    <w:lsdException w:qFormat="1" w:uiPriority="39" w:name="toc 8"/>
    <w:lsdException w:qFormat="1" w:uiPriority="39" w:name="toc 9"/>
    <w:lsdException w:unhideWhenUsed="0" w:uiPriority="99" w:semiHidden="0" w:name="Normal Indent"/>
    <w:lsdException w:unhideWhenUsed="0" w:uiPriority="99" w:semiHidden="0" w:name="footnote text"/>
    <w:lsdException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iPriority="99" w:semiHidden="0" w:name="annotation reference"/>
    <w:lsdException w:unhideWhenUsed="0" w:uiPriority="99" w:semiHidden="0" w:name="line number"/>
    <w:lsdException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qFormat="1" w:uiPriority="99" w:name="List Number"/>
    <w:lsdException w:unhideWhenUsed="0" w:uiPriority="99" w:semiHidden="0" w:name="List 2"/>
    <w:lsdException w:unhideWhenUsed="0" w:uiPriority="99" w:semiHidden="0" w:name="List 3"/>
    <w:lsdException w:qFormat="1" w:uiPriority="99" w:name="List 4"/>
    <w:lsdException w:qFormat="1"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iPriority="10" w:name="Title"/>
    <w:lsdException w:unhideWhenUsed="0" w:uiPriority="99" w:semiHidden="0" w:name="Closing"/>
    <w:lsdException w:unhideWhenUsed="0" w:uiPriority="99" w:semiHidden="0" w:name="Signature"/>
    <w:lsdException w:uiPriority="1" w:semiHidden="0" w:name="Default Paragraph Font"/>
    <w:lsdException w:unhideWhenUsed="0" w:uiPriority="99" w:semiHidden="0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iPriority="11" w:name="Subtitle"/>
    <w:lsdException w:qFormat="1" w:uiPriority="99" w:name="Salutation"/>
    <w:lsdException w:qFormat="1" w:uiPriority="99" w:name="Date"/>
    <w:lsdException w:qFormat="1"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nhideWhenUsed="0" w:uiPriority="99" w:semiHidden="0" w:name="Body Text 2"/>
    <w:lsdException w:unhideWhenUsed="0" w:uiPriority="99" w:semiHidden="0" w:name="Body Text 3"/>
    <w:lsdException w:unhideWhenUsed="0" w:uiPriority="99" w:semiHidden="0" w:name="Body Text Indent 2"/>
    <w:lsdException w:unhideWhenUsed="0" w:uiPriority="99" w:semiHidden="0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iPriority="22" w:semiHidden="0" w:name="Strong"/>
    <w:lsdException w:qFormat="1" w:uiPriority="2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nhideWhenUsed="0" w:uiPriority="99" w:semiHidden="0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iPriority="99" w:semiHidden="0" w:name="annotation subject"/>
    <w:lsdException w:qFormat="1" w:uiPriority="99" w:name="Table Simple 1"/>
    <w:lsdException w:qFormat="1" w:uiPriority="99" w:name="Table Simple 2"/>
    <w:lsdException w:qFormat="1" w:uiPriority="99" w:name="Table Simple 3"/>
    <w:lsdException w:qFormat="1" w:uiPriority="99" w:name="Table Classic 1"/>
    <w:lsdException w:qFormat="1" w:uiPriority="99" w:name="Table Classic 2"/>
    <w:lsdException w:qFormat="1" w:uiPriority="99" w:name="Table Classic 3"/>
    <w:lsdException w:qFormat="1" w:uiPriority="99" w:name="Table Classic 4"/>
    <w:lsdException w:qFormat="1" w:uiPriority="99" w:name="Table Colorful 1"/>
    <w:lsdException w:qFormat="1" w:uiPriority="99" w:name="Table Colorful 2"/>
    <w:lsdException w:qFormat="1" w:uiPriority="99" w:name="Table Colorful 3"/>
    <w:lsdException w:qFormat="1" w:uiPriority="99" w:name="Table Columns 1"/>
    <w:lsdException w:qFormat="1" w:uiPriority="99" w:name="Table Columns 2"/>
    <w:lsdException w:qFormat="1" w:uiPriority="99" w:name="Table Columns 3"/>
    <w:lsdException w:qFormat="1" w:uiPriority="99" w:name="Table Columns 4"/>
    <w:lsdException w:qFormat="1" w:uiPriority="99" w:name="Table Columns 5"/>
    <w:lsdException w:qFormat="1" w:uiPriority="99" w:name="Table Grid 1"/>
    <w:lsdException w:qFormat="1" w:uiPriority="99" w:name="Table Grid 2"/>
    <w:lsdException w:qFormat="1" w:uiPriority="99" w:name="Table Grid 3"/>
    <w:lsdException w:qFormat="1" w:uiPriority="99" w:name="Table Grid 4"/>
    <w:lsdException w:qFormat="1" w:uiPriority="99" w:name="Table Grid 5"/>
    <w:lsdException w:qFormat="1" w:uiPriority="99" w:name="Table Grid 6"/>
    <w:lsdException w:qFormat="1" w:uiPriority="99" w:name="Table Grid 7"/>
    <w:lsdException w:qFormat="1" w:uiPriority="99" w:name="Table Grid 8"/>
    <w:lsdException w:qFormat="1" w:uiPriority="99" w:name="Table List 1"/>
    <w:lsdException w:qFormat="1" w:uiPriority="99" w:name="Table List 2"/>
    <w:lsdException w:qFormat="1" w:uiPriority="99" w:name="Table List 3"/>
    <w:lsdException w:qFormat="1" w:uiPriority="99" w:name="Table List 4"/>
    <w:lsdException w:qFormat="1" w:uiPriority="99" w:name="Table List 5"/>
    <w:lsdException w:qFormat="1" w:uiPriority="99" w:name="Table List 6"/>
    <w:lsdException w:qFormat="1" w:uiPriority="99" w:name="Table List 7"/>
    <w:lsdException w:qFormat="1" w:uiPriority="99" w:name="Table List 8"/>
    <w:lsdException w:qFormat="1" w:uiPriority="99" w:name="Table 3D effects 1"/>
    <w:lsdException w:qFormat="1" w:uiPriority="99" w:name="Table 3D effects 2"/>
    <w:lsdException w:qFormat="1" w:uiPriority="99" w:name="Table 3D effects 3"/>
    <w:lsdException w:qFormat="1" w:uiPriority="99" w:name="Table Contemporary"/>
    <w:lsdException w:qFormat="1" w:uiPriority="99" w:name="Table Elegant"/>
    <w:lsdException w:qFormat="1" w:uiPriority="99" w:name="Table Professional"/>
    <w:lsdException w:qFormat="1" w:uiPriority="99" w:name="Table Subtle 1"/>
    <w:lsdException w:qFormat="1" w:uiPriority="99" w:name="Table Subtle 2"/>
    <w:lsdException w:qFormat="1" w:uiPriority="99" w:name="Table Web 1"/>
    <w:lsdException w:qFormat="1" w:uiPriority="99" w:name="Table Web 2"/>
    <w:lsdException w:qFormat="1" w:uiPriority="99" w:name="Table Web 3"/>
    <w:lsdException w:uiPriority="99" w:semiHidden="0" w:name="Balloon Text"/>
    <w:lsdException w:unhideWhenUsed="0" w:uiPriority="99" w:semiHidden="0" w:name="Table Grid"/>
    <w:lsdException w:qFormat="1"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nhideWhenUsed/>
    <w:qFormat/>
    <w:uiPriority w:val="0"/>
    <w:pPr>
      <w:spacing w:before="120" w:beforeLines="0" w:after="120" w:afterLines="0" w:line="360" w:lineRule="auto"/>
      <w:jc w:val="both"/>
    </w:pPr>
    <w:rPr>
      <w:rFonts w:hint="default" w:ascii="Arial Narrow" w:hAnsi="Times New Roman" w:eastAsia="SimSun" w:cs="Arial Narrow"/>
      <w:sz w:val="20"/>
      <w:szCs w:val="24"/>
      <w:lang w:val="sk-SK" w:eastAsia="cs-CZ" w:bidi="ar-SA"/>
    </w:rPr>
  </w:style>
  <w:style w:type="paragraph" w:styleId="2">
    <w:name w:val="heading 2"/>
    <w:basedOn w:val="1"/>
    <w:next w:val="1"/>
    <w:link w:val="23"/>
    <w:unhideWhenUsed/>
    <w:qFormat/>
    <w:uiPriority w:val="99"/>
    <w:pPr>
      <w:keepNext/>
      <w:spacing w:before="240" w:beforeLines="0" w:after="60" w:afterLines="0"/>
      <w:outlineLvl w:val="1"/>
    </w:pPr>
    <w:rPr>
      <w:rFonts w:hint="default"/>
      <w:b/>
      <w:i/>
      <w:sz w:val="28"/>
      <w:szCs w:val="28"/>
    </w:rPr>
  </w:style>
  <w:style w:type="character" w:default="1" w:styleId="3">
    <w:name w:val="Default Paragraph Font"/>
    <w:unhideWhenUsed/>
    <w:uiPriority w:val="1"/>
    <w:rPr>
      <w:rFonts w:hint="default"/>
      <w:sz w:val="24"/>
      <w:szCs w:val="24"/>
    </w:rPr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Balloon Text"/>
    <w:basedOn w:val="1"/>
    <w:link w:val="26"/>
    <w:unhideWhenUsed/>
    <w:uiPriority w:val="99"/>
    <w:pPr>
      <w:spacing w:before="0" w:beforeLines="0" w:after="0" w:afterLines="0" w:line="240" w:lineRule="auto"/>
    </w:pPr>
    <w:rPr>
      <w:rFonts w:hint="default" w:ascii="Tahoma" w:cs="Tahoma"/>
      <w:sz w:val="16"/>
      <w:szCs w:val="16"/>
    </w:rPr>
  </w:style>
  <w:style w:type="character" w:styleId="6">
    <w:name w:val="annotation reference"/>
    <w:basedOn w:val="3"/>
    <w:unhideWhenUsed/>
    <w:uiPriority w:val="99"/>
    <w:rPr>
      <w:rFonts w:hint="default" w:cs="Times New Roman"/>
      <w:sz w:val="16"/>
      <w:szCs w:val="16"/>
    </w:rPr>
  </w:style>
  <w:style w:type="paragraph" w:styleId="7">
    <w:name w:val="annotation text"/>
    <w:basedOn w:val="1"/>
    <w:link w:val="28"/>
    <w:unhideWhenUsed/>
    <w:uiPriority w:val="99"/>
    <w:pPr>
      <w:spacing w:beforeLines="0" w:afterLines="0"/>
    </w:pPr>
    <w:rPr>
      <w:rFonts w:hint="default"/>
      <w:sz w:val="20"/>
      <w:szCs w:val="20"/>
    </w:rPr>
  </w:style>
  <w:style w:type="paragraph" w:styleId="8">
    <w:name w:val="annotation subject"/>
    <w:basedOn w:val="7"/>
    <w:next w:val="7"/>
    <w:link w:val="29"/>
    <w:unhideWhenUsed/>
    <w:uiPriority w:val="99"/>
    <w:pPr>
      <w:spacing w:beforeLines="0" w:afterLines="0"/>
    </w:pPr>
    <w:rPr>
      <w:rFonts w:hint="default"/>
      <w:b/>
      <w:sz w:val="20"/>
      <w:szCs w:val="20"/>
    </w:rPr>
  </w:style>
  <w:style w:type="paragraph" w:styleId="9">
    <w:name w:val="footer"/>
    <w:basedOn w:val="1"/>
    <w:link w:val="25"/>
    <w:unhideWhenUsed/>
    <w:uiPriority w:val="99"/>
    <w:pPr>
      <w:tabs>
        <w:tab w:val="center" w:pos="4536"/>
        <w:tab w:val="right" w:pos="9072"/>
      </w:tabs>
      <w:spacing w:beforeLines="0" w:afterLines="0"/>
    </w:pPr>
    <w:rPr>
      <w:rFonts w:hint="default"/>
      <w:sz w:val="20"/>
      <w:szCs w:val="24"/>
    </w:rPr>
  </w:style>
  <w:style w:type="paragraph" w:styleId="10">
    <w:name w:val="header"/>
    <w:basedOn w:val="1"/>
    <w:link w:val="27"/>
    <w:unhideWhenUsed/>
    <w:uiPriority w:val="99"/>
    <w:pPr>
      <w:tabs>
        <w:tab w:val="center" w:pos="4536"/>
        <w:tab w:val="right" w:pos="9072"/>
      </w:tabs>
      <w:spacing w:beforeLines="0" w:afterLines="0"/>
    </w:pPr>
    <w:rPr>
      <w:rFonts w:hint="default"/>
      <w:sz w:val="20"/>
      <w:szCs w:val="24"/>
    </w:rPr>
  </w:style>
  <w:style w:type="character" w:styleId="11">
    <w:name w:val="page number"/>
    <w:basedOn w:val="3"/>
    <w:unhideWhenUsed/>
    <w:uiPriority w:val="99"/>
    <w:rPr>
      <w:rFonts w:hint="default" w:cs="Times New Roman"/>
      <w:sz w:val="24"/>
      <w:szCs w:val="24"/>
    </w:rPr>
  </w:style>
  <w:style w:type="character" w:styleId="12">
    <w:name w:val="Strong"/>
    <w:basedOn w:val="3"/>
    <w:unhideWhenUsed/>
    <w:qFormat/>
    <w:uiPriority w:val="22"/>
    <w:rPr>
      <w:rFonts w:hint="default" w:cs="Times New Roman"/>
      <w:b/>
      <w:sz w:val="24"/>
      <w:szCs w:val="24"/>
    </w:rPr>
  </w:style>
  <w:style w:type="paragraph" w:customStyle="1" w:styleId="13">
    <w:name w:val="heading 1"/>
    <w:basedOn w:val="1"/>
    <w:next w:val="2"/>
    <w:link w:val="22"/>
    <w:unhideWhenUsed/>
    <w:qFormat/>
    <w:uiPriority w:val="99"/>
    <w:pPr>
      <w:keepNext/>
      <w:numPr>
        <w:ilvl w:val="0"/>
        <w:numId w:val="1"/>
      </w:numPr>
      <w:spacing w:beforeLines="0" w:afterLines="0" w:line="240" w:lineRule="auto"/>
      <w:jc w:val="center"/>
      <w:outlineLvl w:val="0"/>
    </w:pPr>
    <w:rPr>
      <w:rFonts w:hint="default"/>
      <w:b/>
      <w:sz w:val="20"/>
      <w:szCs w:val="24"/>
      <w:lang w:eastAsia="sk-SK"/>
    </w:rPr>
  </w:style>
  <w:style w:type="paragraph" w:customStyle="1" w:styleId="14">
    <w:name w:val="Štýl 11 pt Tučné Čierna Podľa okraja Vľavo:  019 cm Riadkova..."/>
    <w:next w:val="1"/>
    <w:unhideWhenUsed/>
    <w:uiPriority w:val="99"/>
    <w:pPr>
      <w:spacing w:beforeLines="0" w:afterLines="0" w:line="360" w:lineRule="auto"/>
      <w:jc w:val="both"/>
    </w:pPr>
    <w:rPr>
      <w:rFonts w:hint="default" w:ascii="Arial" w:hAnsi="Times New Roman" w:eastAsia="SimSun" w:cs="Arial"/>
      <w:color w:val="000000"/>
      <w:sz w:val="24"/>
      <w:szCs w:val="24"/>
      <w:lang w:val="sk-SK" w:eastAsia="cs-CZ" w:bidi="ar-SA"/>
    </w:rPr>
  </w:style>
  <w:style w:type="paragraph" w:customStyle="1" w:styleId="15">
    <w:name w:val="Štýl Podľa okraja Vľavo:  019 cm Riadkovanie:  15 riadka"/>
    <w:basedOn w:val="1"/>
    <w:unhideWhenUsed/>
    <w:uiPriority w:val="99"/>
    <w:pPr>
      <w:spacing w:beforeLines="0" w:afterLines="0"/>
      <w:ind w:left="108"/>
    </w:pPr>
    <w:rPr>
      <w:rFonts w:hint="default"/>
      <w:sz w:val="20"/>
      <w:szCs w:val="24"/>
    </w:rPr>
  </w:style>
  <w:style w:type="paragraph" w:customStyle="1" w:styleId="16">
    <w:name w:val="Bod odôvodnenie"/>
    <w:unhideWhenUsed/>
    <w:uiPriority w:val="99"/>
    <w:pPr>
      <w:numPr>
        <w:ilvl w:val="0"/>
        <w:numId w:val="2"/>
      </w:numPr>
      <w:spacing w:before="120" w:beforeLines="0" w:after="120" w:afterLines="0"/>
    </w:pPr>
    <w:rPr>
      <w:rFonts w:hint="default" w:ascii="Arial" w:hAnsi="Times New Roman" w:eastAsia="SimSun" w:cs="Arial"/>
      <w:b/>
      <w:sz w:val="24"/>
      <w:szCs w:val="24"/>
      <w:lang w:val="sk-SK" w:eastAsia="cs-CZ" w:bidi="ar-SA"/>
    </w:rPr>
  </w:style>
  <w:style w:type="paragraph" w:customStyle="1" w:styleId="17">
    <w:name w:val="Štýl Arial Podľa okraja"/>
    <w:unhideWhenUsed/>
    <w:uiPriority w:val="99"/>
    <w:pPr>
      <w:spacing w:beforeLines="0" w:afterLines="0"/>
      <w:jc w:val="both"/>
    </w:pPr>
    <w:rPr>
      <w:rFonts w:hint="default" w:ascii="Arial" w:hAnsi="Times New Roman" w:eastAsia="SimSun" w:cs="Arial"/>
      <w:sz w:val="16"/>
      <w:szCs w:val="16"/>
      <w:lang w:val="sk-SK" w:eastAsia="cs-CZ" w:bidi="ar-SA"/>
    </w:rPr>
  </w:style>
  <w:style w:type="paragraph" w:customStyle="1" w:styleId="18">
    <w:name w:val="Text poznámky"/>
    <w:basedOn w:val="1"/>
    <w:unhideWhenUsed/>
    <w:uiPriority w:val="99"/>
    <w:pPr>
      <w:numPr>
        <w:ilvl w:val="0"/>
        <w:numId w:val="3"/>
      </w:numPr>
      <w:spacing w:beforeLines="0" w:afterLines="0" w:line="240" w:lineRule="auto"/>
    </w:pPr>
    <w:rPr>
      <w:rFonts w:hint="default"/>
      <w:sz w:val="20"/>
      <w:szCs w:val="24"/>
    </w:rPr>
  </w:style>
  <w:style w:type="paragraph" w:customStyle="1" w:styleId="19">
    <w:name w:val="Normálny1"/>
    <w:next w:val="1"/>
    <w:unhideWhenUsed/>
    <w:qFormat/>
    <w:uiPriority w:val="0"/>
    <w:pPr>
      <w:spacing w:before="120" w:beforeLines="0" w:after="120" w:afterLines="0" w:line="360" w:lineRule="auto"/>
      <w:ind w:firstLine="709"/>
      <w:jc w:val="both"/>
    </w:pPr>
    <w:rPr>
      <w:rFonts w:hint="default" w:ascii="Arial" w:hAnsi="Times New Roman" w:eastAsia="SimSun" w:cs="Arial"/>
      <w:sz w:val="24"/>
      <w:szCs w:val="24"/>
      <w:lang w:val="sk-SK" w:eastAsia="cs-CZ" w:bidi="ar-SA"/>
    </w:rPr>
  </w:style>
  <w:style w:type="paragraph" w:customStyle="1" w:styleId="20">
    <w:name w:val="Text opatrenia"/>
    <w:unhideWhenUsed/>
    <w:uiPriority w:val="0"/>
    <w:pPr>
      <w:numPr>
        <w:ilvl w:val="0"/>
        <w:numId w:val="4"/>
      </w:numPr>
      <w:spacing w:before="120" w:beforeLines="0" w:after="120" w:afterLines="0"/>
      <w:ind w:left="1440" w:hanging="360"/>
      <w:jc w:val="both"/>
    </w:pPr>
    <w:rPr>
      <w:rFonts w:hint="default" w:ascii="Arial Narrow" w:hAnsi="Times New Roman" w:eastAsia="SimSun" w:cs="Arial Narrow"/>
      <w:sz w:val="22"/>
      <w:szCs w:val="22"/>
      <w:lang w:val="sk-SK" w:eastAsia="cs-CZ" w:bidi="ar-SA"/>
    </w:rPr>
  </w:style>
  <w:style w:type="paragraph" w:customStyle="1" w:styleId="21">
    <w:name w:val="Top Header"/>
    <w:basedOn w:val="1"/>
    <w:unhideWhenUsed/>
    <w:qFormat/>
    <w:uiPriority w:val="0"/>
    <w:pPr>
      <w:spacing w:before="0" w:beforeLines="0" w:after="0" w:afterLines="0" w:line="240" w:lineRule="auto"/>
      <w:jc w:val="center"/>
    </w:pPr>
    <w:rPr>
      <w:rFonts w:hint="default"/>
      <w:b/>
      <w:sz w:val="22"/>
      <w:szCs w:val="22"/>
      <w:lang w:eastAsia="en-US"/>
    </w:rPr>
  </w:style>
  <w:style w:type="character" w:customStyle="1" w:styleId="22">
    <w:name w:val="Nadpis 1 Char"/>
    <w:basedOn w:val="3"/>
    <w:link w:val="13"/>
    <w:unhideWhenUsed/>
    <w:locked/>
    <w:uiPriority w:val="9"/>
    <w:rPr>
      <w:rFonts w:hint="eastAsia" w:ascii="Cambria" w:hAnsi="Cambria" w:eastAsia="Times New Roman" w:cs="Times New Roman"/>
      <w:b/>
      <w:kern w:val="32"/>
      <w:sz w:val="32"/>
      <w:szCs w:val="32"/>
      <w:lang w:eastAsia="cs-CZ"/>
    </w:rPr>
  </w:style>
  <w:style w:type="character" w:customStyle="1" w:styleId="23">
    <w:name w:val="Nadpis 2 Char"/>
    <w:basedOn w:val="3"/>
    <w:link w:val="2"/>
    <w:unhideWhenUsed/>
    <w:locked/>
    <w:uiPriority w:val="9"/>
    <w:rPr>
      <w:rFonts w:hint="eastAsia" w:ascii="Cambria" w:hAnsi="Cambria" w:eastAsia="Times New Roman" w:cs="Times New Roman"/>
      <w:b/>
      <w:i/>
      <w:sz w:val="28"/>
      <w:szCs w:val="28"/>
      <w:lang w:eastAsia="cs-CZ"/>
    </w:rPr>
  </w:style>
  <w:style w:type="character" w:customStyle="1" w:styleId="24">
    <w:name w:val="Štýl Štýl § názov Char + 115 pt + Antique Olive Nie je Tučné"/>
    <w:basedOn w:val="3"/>
    <w:unhideWhenUsed/>
    <w:uiPriority w:val="99"/>
    <w:rPr>
      <w:rFonts w:hint="default" w:ascii="Arial" w:cs="Arial"/>
      <w:b/>
      <w:sz w:val="20"/>
      <w:szCs w:val="20"/>
      <w:lang w:val="sk-SK" w:eastAsia="sk-SK"/>
    </w:rPr>
  </w:style>
  <w:style w:type="character" w:customStyle="1" w:styleId="25">
    <w:name w:val="Päta Char"/>
    <w:basedOn w:val="3"/>
    <w:link w:val="9"/>
    <w:unhideWhenUsed/>
    <w:qFormat/>
    <w:locked/>
    <w:uiPriority w:val="99"/>
    <w:rPr>
      <w:rFonts w:hint="default" w:ascii="Arial" w:cs="Arial"/>
      <w:sz w:val="24"/>
      <w:szCs w:val="24"/>
      <w:lang w:eastAsia="cs-CZ"/>
    </w:rPr>
  </w:style>
  <w:style w:type="character" w:customStyle="1" w:styleId="26">
    <w:name w:val="Text bubliny Char"/>
    <w:basedOn w:val="3"/>
    <w:link w:val="5"/>
    <w:unhideWhenUsed/>
    <w:locked/>
    <w:uiPriority w:val="99"/>
    <w:rPr>
      <w:rFonts w:hint="default" w:ascii="Tahoma" w:cs="Tahoma"/>
      <w:sz w:val="16"/>
      <w:szCs w:val="16"/>
      <w:lang w:eastAsia="cs-CZ"/>
    </w:rPr>
  </w:style>
  <w:style w:type="character" w:customStyle="1" w:styleId="27">
    <w:name w:val="Hlavička Char"/>
    <w:basedOn w:val="3"/>
    <w:link w:val="10"/>
    <w:unhideWhenUsed/>
    <w:locked/>
    <w:uiPriority w:val="99"/>
    <w:rPr>
      <w:rFonts w:hint="default" w:ascii="Arial Narrow" w:cs="Arial Narrow"/>
      <w:sz w:val="24"/>
      <w:szCs w:val="24"/>
      <w:lang w:eastAsia="cs-CZ"/>
    </w:rPr>
  </w:style>
  <w:style w:type="character" w:customStyle="1" w:styleId="28">
    <w:name w:val="Text komentára Char"/>
    <w:basedOn w:val="3"/>
    <w:link w:val="7"/>
    <w:unhideWhenUsed/>
    <w:locked/>
    <w:uiPriority w:val="99"/>
    <w:rPr>
      <w:rFonts w:hint="default" w:ascii="Arial Narrow" w:cs="Arial Narrow"/>
      <w:sz w:val="24"/>
      <w:szCs w:val="24"/>
      <w:lang w:eastAsia="cs-CZ"/>
    </w:rPr>
  </w:style>
  <w:style w:type="character" w:customStyle="1" w:styleId="29">
    <w:name w:val="Predmet komentára Char"/>
    <w:basedOn w:val="28"/>
    <w:link w:val="8"/>
    <w:unhideWhenUsed/>
    <w:locked/>
    <w:uiPriority w:val="99"/>
    <w:rPr>
      <w:rFonts w:hint="default"/>
      <w:b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9</Pages>
  <TotalTime>5</TotalTime>
  <ScaleCrop>false</ScaleCrop>
  <LinksUpToDate>false</LinksUpToDate>
  <Application>WPS Office_12.2.0.20326_F1E327BC-269C-435d-A152-05C5408002CA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2023-03-28T18:33:00Z</dcterms:created>
  <dc:creator>katat</dc:creator>
  <cp:lastModifiedBy>Ala Pug</cp:lastModifiedBy>
  <dcterms:modified xsi:type="dcterms:W3CDTF">2025-03-26T17:38:24Z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1033-12.2.0.20326</vt:lpwstr>
  </property>
  <property fmtid="{D5CDD505-2E9C-101B-9397-08002B2CF9AE}" pid="3" name="ICV">
    <vt:lpwstr>E881D453DD89478787F6BF1C1E31A43E_13</vt:lpwstr>
  </property>
</Properties>
</file>