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14:paraId="5E61E7A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14:paraId="6D017631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7777777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14:paraId="5D259B1E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14:paraId="06BCB800" w14:textId="77777777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2849B30F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</w:t>
      </w:r>
      <w:r w:rsidR="00264BD7">
        <w:rPr>
          <w:rFonts w:ascii="Arial" w:hAnsi="Arial" w:cs="Arial"/>
          <w:sz w:val="20"/>
          <w:szCs w:val="20"/>
        </w:rPr>
        <w:t>4</w:t>
      </w:r>
      <w:r w:rsidRPr="009F2B54">
        <w:rPr>
          <w:rFonts w:ascii="Arial" w:hAnsi="Arial" w:cs="Arial"/>
          <w:sz w:val="20"/>
          <w:szCs w:val="20"/>
        </w:rPr>
        <w:t xml:space="preserve">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</w:t>
      </w:r>
      <w:r w:rsidR="00264BD7">
        <w:rPr>
          <w:rFonts w:ascii="Arial" w:hAnsi="Arial" w:cs="Arial"/>
          <w:sz w:val="20"/>
          <w:szCs w:val="20"/>
        </w:rPr>
        <w:t>4</w:t>
      </w:r>
      <w:r w:rsidR="002F423D">
        <w:rPr>
          <w:rFonts w:ascii="Arial" w:hAnsi="Arial" w:cs="Arial"/>
          <w:sz w:val="20"/>
          <w:szCs w:val="20"/>
        </w:rPr>
        <w:t xml:space="preserve"> do 31.decembra 20</w:t>
      </w:r>
      <w:r w:rsidR="002A553A">
        <w:rPr>
          <w:rFonts w:ascii="Arial" w:hAnsi="Arial" w:cs="Arial"/>
          <w:sz w:val="20"/>
          <w:szCs w:val="20"/>
        </w:rPr>
        <w:t>2</w:t>
      </w:r>
      <w:r w:rsidR="00264BD7">
        <w:rPr>
          <w:rFonts w:ascii="Arial" w:hAnsi="Arial" w:cs="Arial"/>
          <w:sz w:val="20"/>
          <w:szCs w:val="20"/>
        </w:rPr>
        <w:t>4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7C18E3AE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  <w:r w:rsidR="000B0F89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obdobie </w:t>
      </w:r>
      <w:r w:rsidR="00264BD7">
        <w:rPr>
          <w:rFonts w:ascii="Arial" w:hAnsi="Arial" w:cs="Arial"/>
          <w:b/>
          <w:color w:val="000000"/>
          <w:spacing w:val="-1"/>
          <w:sz w:val="20"/>
          <w:szCs w:val="20"/>
        </w:rPr>
        <w:t>27.03.2024</w:t>
      </w:r>
    </w:p>
    <w:p w14:paraId="48557281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249B8D9F" w14:textId="77777777" w:rsidR="00BB6C9B" w:rsidRDefault="00BB6C9B" w:rsidP="00BB6C9B">
      <w:pPr>
        <w:pStyle w:val="Default"/>
        <w:pageBreakBefore/>
        <w:rPr>
          <w:color w:val="auto"/>
          <w:sz w:val="20"/>
          <w:szCs w:val="20"/>
        </w:rPr>
      </w:pPr>
      <w:r>
        <w:rPr>
          <w:sz w:val="20"/>
          <w:szCs w:val="20"/>
        </w:rPr>
        <w:lastRenderedPageBreak/>
        <w:t>Inf</w:t>
      </w:r>
      <w:r>
        <w:rPr>
          <w:b/>
          <w:bCs/>
          <w:color w:val="auto"/>
          <w:sz w:val="20"/>
          <w:szCs w:val="20"/>
        </w:rPr>
        <w:t xml:space="preserve">ormácie, ktoré vysvetľujú a dopĺňajú súvahu a výkaz ziskov a strát </w:t>
      </w:r>
    </w:p>
    <w:p w14:paraId="7E94DD75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3000C365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záväzkoch : </w:t>
      </w:r>
    </w:p>
    <w:p w14:paraId="2854D721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neevidovala v účtovníctve záväzky z obchodného styku vo výške 49.695,- Eur, </w:t>
      </w:r>
    </w:p>
    <w:p w14:paraId="59CDD3DF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a záväzky - exekúcie vo výške 42.471,- Eur. </w:t>
      </w:r>
    </w:p>
    <w:p w14:paraId="4845E568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3C7EA6FD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orgánoch účtovnej jednotky a pôžičkách : </w:t>
      </w:r>
    </w:p>
    <w:p w14:paraId="61D91A70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poskytla pôžičku vo výške 30.000 Eur, na základe zmluvu o dlhodobej pôžičke. </w:t>
      </w:r>
    </w:p>
    <w:p w14:paraId="60D8356B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618637F0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povinnostiach účtovnej jednotky a opravách chýb minulých účtovných období: </w:t>
      </w:r>
    </w:p>
    <w:p w14:paraId="751CEBDE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v súvahe za rok 2013 v predchádzajúcom období /r.2012/ je na riadku 086 /staré tlačivo – súvahy – účet 429/ vykázaná strata vo výške -70.804,- Eur . V bežnom účtovnom období /2013/ je na riadku 086 /súvahy – účet 429/ chybný zápis v sume 73.033.- Eur /strata/ bez znamienka mínus. Táto strata sa chybným zápisom evidovala až do roku 2021. </w:t>
      </w:r>
    </w:p>
    <w:p w14:paraId="7191A340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7B30B4F9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daniach : </w:t>
      </w:r>
    </w:p>
    <w:p w14:paraId="169BB5DC" w14:textId="77777777" w:rsidR="00BB6C9B" w:rsidRDefault="00BB6C9B" w:rsidP="00BB6C9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0"/>
          <w:szCs w:val="20"/>
        </w:rPr>
        <w:t xml:space="preserve">Spoločnosť MABIT, neeviduje v súvahe zostatok </w:t>
      </w:r>
      <w:r>
        <w:rPr>
          <w:color w:val="auto"/>
          <w:sz w:val="23"/>
          <w:szCs w:val="23"/>
        </w:rPr>
        <w:t xml:space="preserve">vo výške 4.473 Eur. </w:t>
      </w:r>
    </w:p>
    <w:p w14:paraId="6E9C8712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05F6A8B1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pohľadávkach : </w:t>
      </w:r>
    </w:p>
    <w:p w14:paraId="62B2382F" w14:textId="77777777" w:rsidR="00BB6C9B" w:rsidRDefault="00BB6C9B" w:rsidP="00BB6C9B">
      <w:r>
        <w:rPr>
          <w:sz w:val="20"/>
          <w:szCs w:val="20"/>
        </w:rPr>
        <w:t xml:space="preserve">Spoločnosť MABIT, má </w:t>
      </w:r>
      <w:r>
        <w:rPr>
          <w:sz w:val="23"/>
          <w:szCs w:val="23"/>
        </w:rPr>
        <w:t>krátkodobé pohľadávky v sume 60 444,- Eur.</w:t>
      </w:r>
    </w:p>
    <w:p w14:paraId="364E5F84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sectPr w:rsidR="0030781D" w:rsidSect="00D60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0B0F89"/>
    <w:rsid w:val="00264BD7"/>
    <w:rsid w:val="002A553A"/>
    <w:rsid w:val="002D2508"/>
    <w:rsid w:val="002F423D"/>
    <w:rsid w:val="0030781D"/>
    <w:rsid w:val="00325DCE"/>
    <w:rsid w:val="003B7BCD"/>
    <w:rsid w:val="004A71B2"/>
    <w:rsid w:val="0083398E"/>
    <w:rsid w:val="00955E71"/>
    <w:rsid w:val="00A13337"/>
    <w:rsid w:val="00B627DF"/>
    <w:rsid w:val="00BB6C9B"/>
    <w:rsid w:val="00C138CE"/>
    <w:rsid w:val="00C45806"/>
    <w:rsid w:val="00D601F5"/>
    <w:rsid w:val="00E31C65"/>
    <w:rsid w:val="00EB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2</cp:revision>
  <dcterms:created xsi:type="dcterms:W3CDTF">2025-03-27T16:17:00Z</dcterms:created>
  <dcterms:modified xsi:type="dcterms:W3CDTF">2025-03-27T16:17:00Z</dcterms:modified>
</cp:coreProperties>
</file>