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Poznámky k účtovnej závierke za obdobie</w:t>
      </w:r>
    </w:p>
    <w:p w:rsidR="00000000" w:rsidDel="00000000" w:rsidP="00000000" w:rsidRDefault="00000000" w:rsidRPr="00000000" w14:paraId="0000001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ab/>
        <w:t xml:space="preserve">      </w:t>
      </w:r>
      <w:r w:rsidDel="00000000" w:rsidR="00000000" w:rsidRPr="00000000">
        <w:rPr>
          <w:b w:val="1"/>
          <w:sz w:val="36"/>
          <w:szCs w:val="36"/>
          <w:rtl w:val="0"/>
        </w:rPr>
        <w:t xml:space="preserve">od 01.01.2024 do 31.12.2024</w:t>
      </w:r>
    </w:p>
    <w:p w:rsidR="00000000" w:rsidDel="00000000" w:rsidP="00000000" w:rsidRDefault="00000000" w:rsidRPr="00000000" w14:paraId="00000012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497.0" w:type="dxa"/>
        <w:tblLayout w:type="fixed"/>
        <w:tblLook w:val="0400"/>
      </w:tblPr>
      <w:tblGrid>
        <w:gridCol w:w="2025"/>
        <w:gridCol w:w="7605"/>
        <w:tblGridChange w:id="0">
          <w:tblGrid>
            <w:gridCol w:w="2025"/>
            <w:gridCol w:w="7605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ind w:firstLine="0"/>
              <w:rPr>
                <w:color w:val="00000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highlight w:val="white"/>
                <w:rtl w:val="0"/>
              </w:rPr>
              <w:t xml:space="preserve">Slovenská potravinová manufaktúra s. r. o. v konkurze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Sídlo: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59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Jilemnického 1, 080 01 Prešov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Spoločnosť s ručením obmedzeným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29.04.2020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Prevádzka mliekarní a výroba syrov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spacing w:line="259" w:lineRule="auto"/>
              <w:ind w:left="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Štaturárny orgán</w:t>
            </w:r>
            <w:r w:rsidDel="00000000" w:rsidR="00000000" w:rsidRPr="00000000">
              <w:rPr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konatelia:</w:t>
            </w:r>
          </w:p>
          <w:p w:rsidR="00000000" w:rsidDel="00000000" w:rsidP="00000000" w:rsidRDefault="00000000" w:rsidRPr="00000000" w14:paraId="00000023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Zuzana Ševcová</w:t>
            </w:r>
          </w:p>
          <w:p w:rsidR="00000000" w:rsidDel="00000000" w:rsidP="00000000" w:rsidRDefault="00000000" w:rsidRPr="00000000" w14:paraId="00000024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- Veronika Harvilková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1.0" w:type="dxa"/>
        <w:jc w:val="left"/>
        <w:tblLayout w:type="fixed"/>
        <w:tblLook w:val="0400"/>
      </w:tblPr>
      <w:tblGrid>
        <w:gridCol w:w="4862"/>
        <w:gridCol w:w="4909"/>
        <w:tblGridChange w:id="0">
          <w:tblGrid>
            <w:gridCol w:w="4862"/>
            <w:gridCol w:w="49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416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Priemerný prepočítaný počet zamestnancov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1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 - (3)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57" w:lineRule="auto"/>
        <w:ind w:left="-5" w:firstLine="0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</w:t>
      </w:r>
    </w:p>
    <w:p w:rsidR="00000000" w:rsidDel="00000000" w:rsidP="00000000" w:rsidRDefault="00000000" w:rsidRPr="00000000" w14:paraId="0000002D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30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 25.9.2024</w:t>
      </w:r>
    </w:p>
    <w:p w:rsidR="00000000" w:rsidDel="00000000" w:rsidP="00000000" w:rsidRDefault="00000000" w:rsidRPr="00000000" w14:paraId="0000002E">
      <w:pPr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0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 - (4)</w:t>
      </w:r>
    </w:p>
    <w:p w:rsidR="00000000" w:rsidDel="00000000" w:rsidP="00000000" w:rsidRDefault="00000000" w:rsidRPr="00000000" w14:paraId="00000030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44" w:lineRule="auto"/>
        <w:ind w:left="-5" w:firstLine="0"/>
        <w:rPr/>
      </w:pPr>
      <w:r w:rsidDel="00000000" w:rsidR="00000000" w:rsidRPr="00000000">
        <w:rPr>
          <w:rtl w:val="0"/>
        </w:rPr>
        <w:t xml:space="preserve">Právny dôvod na zostavenie účtovnej závierky.</w:t>
      </w:r>
    </w:p>
    <w:p w:rsidR="00000000" w:rsidDel="00000000" w:rsidP="00000000" w:rsidRDefault="00000000" w:rsidRPr="00000000" w14:paraId="00000032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43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3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720" w:right="1778" w:firstLine="72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II</w:t>
      </w:r>
    </w:p>
    <w:p w:rsidR="00000000" w:rsidDel="00000000" w:rsidP="00000000" w:rsidRDefault="00000000" w:rsidRPr="00000000" w14:paraId="00000035">
      <w:pPr>
        <w:spacing w:after="314" w:line="265" w:lineRule="auto"/>
        <w:ind w:left="120" w:right="258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</w:t>
        <w:tab/>
        <w:t xml:space="preserve">        Informácie o prijatých postupoch</w:t>
      </w:r>
    </w:p>
    <w:p w:rsidR="00000000" w:rsidDel="00000000" w:rsidP="00000000" w:rsidRDefault="00000000" w:rsidRPr="00000000" w14:paraId="00000036">
      <w:pPr>
        <w:spacing w:after="154" w:lineRule="auto"/>
        <w:ind w:left="-5" w:firstLine="0"/>
        <w:rPr/>
      </w:pPr>
      <w:r w:rsidDel="00000000" w:rsidR="00000000" w:rsidRPr="00000000">
        <w:rPr>
          <w:b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37">
      <w:pPr>
        <w:spacing w:after="154" w:lineRule="auto"/>
        <w:ind w:left="-5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51.0" w:type="dxa"/>
        <w:jc w:val="left"/>
        <w:tblInd w:w="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39">
      <w:pPr>
        <w:spacing w:after="154" w:lineRule="auto"/>
        <w:ind w:left="-5" w:firstLine="0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43" w:lineRule="auto"/>
        <w:ind w:left="5" w:firstLine="0"/>
        <w:jc w:val="both"/>
        <w:rPr/>
      </w:pPr>
      <w:r w:rsidDel="00000000" w:rsidR="00000000" w:rsidRPr="00000000">
        <w:rPr>
          <w:b w:val="1"/>
          <w:rtl w:val="0"/>
        </w:rPr>
        <w:t xml:space="preserve">         ČI. III ods.1 písm t) o krátkodobom finančnom majetku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Tabuľka 21: Informácie k ČI. III ods.1 písm t) o krátkodobom finančnom majetku</w:t>
      </w:r>
    </w:p>
    <w:p w:rsidR="00000000" w:rsidDel="00000000" w:rsidP="00000000" w:rsidRDefault="00000000" w:rsidRPr="00000000" w14:paraId="0000003C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282</w:t>
            </w:r>
          </w:p>
        </w:tc>
      </w:tr>
    </w:tbl>
    <w:p w:rsidR="00000000" w:rsidDel="00000000" w:rsidP="00000000" w:rsidRDefault="00000000" w:rsidRPr="00000000" w14:paraId="0000004F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Tabuľka 24: Informácie k ČI. III ods.2 písm a) o rozdelení účtovného zisku alebo o vysporiadaní účtovnej straty</w:t>
      </w:r>
    </w:p>
    <w:p w:rsidR="00000000" w:rsidDel="00000000" w:rsidP="00000000" w:rsidRDefault="00000000" w:rsidRPr="00000000" w14:paraId="00000051">
      <w:pPr>
        <w:spacing w:after="43" w:lineRule="auto"/>
        <w:ind w:left="-5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26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3"/>
        <w:gridCol w:w="4863"/>
        <w:tblGridChange w:id="0">
          <w:tblGrid>
            <w:gridCol w:w="4863"/>
            <w:gridCol w:w="48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53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Účtovná strata</w:t>
            </w:r>
          </w:p>
        </w:tc>
        <w:tc>
          <w:tcPr/>
          <w:p w:rsidR="00000000" w:rsidDel="00000000" w:rsidP="00000000" w:rsidRDefault="00000000" w:rsidRPr="00000000" w14:paraId="0000005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- 301 843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ind w:lef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Úhrada zo zákonného rezervného fondu</w:t>
            </w:r>
          </w:p>
        </w:tc>
        <w:tc>
          <w:tcPr/>
          <w:p w:rsidR="00000000" w:rsidDel="00000000" w:rsidP="00000000" w:rsidRDefault="00000000" w:rsidRPr="00000000" w14:paraId="0000005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zo štatutárnych a ostatných fondov</w:t>
            </w:r>
          </w:p>
        </w:tc>
        <w:tc>
          <w:tcPr/>
          <w:p w:rsidR="00000000" w:rsidDel="00000000" w:rsidP="00000000" w:rsidRDefault="00000000" w:rsidRPr="00000000" w14:paraId="0000005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tabs>
                <w:tab w:val="left" w:leader="none" w:pos="1100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zo  sociálneho fondu</w:t>
            </w:r>
          </w:p>
        </w:tc>
        <w:tc>
          <w:tcPr/>
          <w:p w:rsidR="00000000" w:rsidDel="00000000" w:rsidP="00000000" w:rsidRDefault="00000000" w:rsidRPr="00000000" w14:paraId="0000005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z nerozdeleného zisku minulých rokov</w:t>
            </w:r>
          </w:p>
        </w:tc>
        <w:tc>
          <w:tcPr/>
          <w:p w:rsidR="00000000" w:rsidDel="00000000" w:rsidP="00000000" w:rsidRDefault="00000000" w:rsidRPr="00000000" w14:paraId="0000005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neuhradenej straty minulých rokov</w:t>
            </w:r>
          </w:p>
        </w:tc>
        <w:tc>
          <w:tcPr/>
          <w:p w:rsidR="00000000" w:rsidDel="00000000" w:rsidP="00000000" w:rsidRDefault="00000000" w:rsidRPr="00000000" w14:paraId="0000006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- 301 843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od spoločníka, člena</w:t>
            </w:r>
          </w:p>
        </w:tc>
        <w:tc>
          <w:tcPr/>
          <w:p w:rsidR="00000000" w:rsidDel="00000000" w:rsidP="00000000" w:rsidRDefault="00000000" w:rsidRPr="00000000" w14:paraId="0000006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6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- 301 843</w:t>
            </w:r>
          </w:p>
        </w:tc>
      </w:tr>
    </w:tbl>
    <w:p w:rsidR="00000000" w:rsidDel="00000000" w:rsidP="00000000" w:rsidRDefault="00000000" w:rsidRPr="00000000" w14:paraId="00000068">
      <w:pPr>
        <w:ind w:left="-5" w:firstLine="0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69">
      <w:pPr>
        <w:ind w:left="728" w:firstLine="0"/>
        <w:jc w:val="both"/>
        <w:rPr/>
      </w:pPr>
      <w:r w:rsidDel="00000000" w:rsidR="00000000" w:rsidRPr="00000000">
        <w:rPr>
          <w:b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výške záväzkov do lehoty splatnosti a po lehote splatnosti,</w:t>
      </w:r>
    </w:p>
    <w:p w:rsidR="00000000" w:rsidDel="00000000" w:rsidP="00000000" w:rsidRDefault="00000000" w:rsidRPr="00000000" w14:paraId="0000006A">
      <w:pPr>
        <w:ind w:left="728" w:firstLine="0"/>
        <w:jc w:val="both"/>
        <w:rPr/>
      </w:pPr>
      <w:r w:rsidDel="00000000" w:rsidR="00000000" w:rsidRPr="00000000">
        <w:rPr>
          <w:b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štruktúre záväzkov podľa zostatkovej doby splatnosti v členení v nadväznosti na položky súvahy; uvádza sa hodnota záväzkov so zostatkovou dobou splatnosti viac ako päť rokov, </w:t>
      </w:r>
    </w:p>
    <w:p w:rsidR="00000000" w:rsidDel="00000000" w:rsidP="00000000" w:rsidRDefault="00000000" w:rsidRPr="00000000" w14:paraId="0000006B">
      <w:pPr>
        <w:ind w:left="7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Tabuľka 26: Informácie k Čl. III odst. 2 písm. c) a d) o záväzkoch</w:t>
      </w:r>
    </w:p>
    <w:p w:rsidR="00000000" w:rsidDel="00000000" w:rsidP="00000000" w:rsidRDefault="00000000" w:rsidRPr="00000000" w14:paraId="0000006D">
      <w:pPr>
        <w:spacing w:after="43" w:lineRule="auto"/>
        <w:ind w:left="-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43" w:lineRule="auto"/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spacing w:after="43" w:lineRule="auto"/>
              <w:ind w:lef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738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18 511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738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18 511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376 447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437 585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376 447</w:t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437 585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83">
      <w:pPr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720" w:right="1778" w:firstLine="72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IV</w:t>
      </w:r>
    </w:p>
    <w:p w:rsidR="00000000" w:rsidDel="00000000" w:rsidP="00000000" w:rsidRDefault="00000000" w:rsidRPr="00000000" w14:paraId="00000086">
      <w:pPr>
        <w:ind w:left="2170" w:hanging="20"/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K položkám výnosov a nákladov sa v poznámkach uvádzajú doplňujúce a vysvetľujúce informácie o 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služieb účtovnej jednotky, </w:t>
      </w:r>
    </w:p>
    <w:p w:rsidR="00000000" w:rsidDel="00000000" w:rsidP="00000000" w:rsidRDefault="00000000" w:rsidRPr="00000000" w14:paraId="0000008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IV </w:t>
      </w:r>
    </w:p>
    <w:p w:rsidR="00000000" w:rsidDel="00000000" w:rsidP="00000000" w:rsidRDefault="00000000" w:rsidRPr="00000000" w14:paraId="0000008D">
      <w:pPr>
        <w:ind w:left="360" w:firstLine="0"/>
        <w:rPr>
          <w:b w:val="1"/>
        </w:rPr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Tabuľka 47: Informácie k čl. IV odst. 4 o čistom obrate</w:t>
      </w:r>
    </w:p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26.000000000002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241"/>
        <w:gridCol w:w="3242"/>
        <w:tblGridChange w:id="0">
          <w:tblGrid>
            <w:gridCol w:w="3243"/>
            <w:gridCol w:w="3241"/>
            <w:gridCol w:w="3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9886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43 694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257 453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Výnosy z nehnuteľností na predaj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43 694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267 339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Oblasť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Geografické oblasti odbytu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Tuzemsko</w:t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43 694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267 339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EÚ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Tretie štáty</w:t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720" w:right="1778" w:firstLine="72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IX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                               </w:t>
        <w:tab/>
        <w:tab/>
        <w:t xml:space="preserve">       Prehľad o pohybe vlastného imania 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left="37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Tabuľka 53: Informácie k Čl. IX odst. 1 až 3 o pohybe vlastného imania, ktoré zobrazuje zmenu vo vlastnom imaní účtovnej jednotky medzi dvomi účtovnými závierkami</w:t>
      </w:r>
    </w:p>
    <w:p w:rsidR="00000000" w:rsidDel="00000000" w:rsidP="00000000" w:rsidRDefault="00000000" w:rsidRPr="00000000" w14:paraId="000000C8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66.0" w:type="dxa"/>
        <w:jc w:val="left"/>
        <w:tblInd w:w="3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1"/>
        <w:gridCol w:w="3090"/>
        <w:gridCol w:w="3135"/>
        <w:tblGridChange w:id="0">
          <w:tblGrid>
            <w:gridCol w:w="3141"/>
            <w:gridCol w:w="3090"/>
            <w:gridCol w:w="3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Pohyb vlastného imania (VI)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 VI na začiatku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-312 933</w:t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- 11 090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Zvýšenie alebo zníženie VI počas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-79 748</w:t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- 301 843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VI na konci účt. obdobia: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-392 681</w:t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-312 933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Dôvody zmien VI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zapísané do OR (411)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26 296</w:t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26 296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nezapísané do OR (419)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ind w:left="0" w:firstLine="0"/>
              <w:rPr>
                <w:b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Emisné ážio (412)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Zákonné rezervné fondy (417,418,421,422)</w:t>
            </w:r>
          </w:p>
        </w:tc>
        <w:tc>
          <w:tcPr/>
          <w:p w:rsidR="00000000" w:rsidDel="00000000" w:rsidP="00000000" w:rsidRDefault="00000000" w:rsidRPr="00000000" w14:paraId="000000E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kapitálové fondy (413)</w:t>
            </w:r>
          </w:p>
        </w:tc>
        <w:tc>
          <w:tcPr/>
          <w:p w:rsidR="00000000" w:rsidDel="00000000" w:rsidP="00000000" w:rsidRDefault="00000000" w:rsidRPr="00000000" w14:paraId="000000E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782 778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782 778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Oceňovacie rozdiely nezahrnuté do výsledku hospodárenia (414,415,416)</w:t>
            </w:r>
          </w:p>
        </w:tc>
        <w:tc>
          <w:tcPr/>
          <w:p w:rsidR="00000000" w:rsidDel="00000000" w:rsidP="00000000" w:rsidRDefault="00000000" w:rsidRPr="00000000" w14:paraId="000000E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fondy tvorené zo zisku (423,427)</w:t>
            </w:r>
          </w:p>
        </w:tc>
        <w:tc>
          <w:tcPr/>
          <w:p w:rsidR="00000000" w:rsidDel="00000000" w:rsidP="00000000" w:rsidRDefault="00000000" w:rsidRPr="00000000" w14:paraId="000000E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Nerozdelený zisk min. rokov (428)</w:t>
            </w:r>
          </w:p>
        </w:tc>
        <w:tc>
          <w:tcPr/>
          <w:p w:rsidR="00000000" w:rsidDel="00000000" w:rsidP="00000000" w:rsidRDefault="00000000" w:rsidRPr="00000000" w14:paraId="000000E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Neuhradená strata min. rokov (429)</w:t>
            </w:r>
          </w:p>
        </w:tc>
        <w:tc>
          <w:tcPr/>
          <w:p w:rsidR="00000000" w:rsidDel="00000000" w:rsidP="00000000" w:rsidRDefault="00000000" w:rsidRPr="00000000" w14:paraId="000000F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- 1 122 008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- 820 164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Účtovný zisk alebo strata (431)</w:t>
            </w:r>
          </w:p>
        </w:tc>
        <w:tc>
          <w:tcPr/>
          <w:p w:rsidR="00000000" w:rsidDel="00000000" w:rsidP="00000000" w:rsidRDefault="00000000" w:rsidRPr="00000000" w14:paraId="000000F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-79 747</w:t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- 301 843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Vyplatené dividendy</w:t>
            </w:r>
          </w:p>
        </w:tc>
        <w:tc>
          <w:tcPr/>
          <w:p w:rsidR="00000000" w:rsidDel="00000000" w:rsidP="00000000" w:rsidRDefault="00000000" w:rsidRPr="00000000" w14:paraId="000000F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Ďalšie zmeny vlastného imania</w:t>
            </w:r>
          </w:p>
        </w:tc>
        <w:tc>
          <w:tcPr/>
          <w:p w:rsidR="00000000" w:rsidDel="00000000" w:rsidP="00000000" w:rsidRDefault="00000000" w:rsidRPr="00000000" w14:paraId="000000F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Zmeny na účte fyzickej osoby (491)</w:t>
            </w:r>
          </w:p>
        </w:tc>
        <w:tc>
          <w:tcPr/>
          <w:p w:rsidR="00000000" w:rsidDel="00000000" w:rsidP="00000000" w:rsidRDefault="00000000" w:rsidRPr="00000000" w14:paraId="000000F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FF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1"/>
        <w:keepLines w:val="1"/>
        <w:spacing w:after="68" w:line="259" w:lineRule="auto"/>
        <w:ind w:left="4320" w:right="1778" w:firstLine="0"/>
        <w:jc w:val="left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Čl. X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                                    </w:t>
        <w:tab/>
        <w:tab/>
        <w:tab/>
        <w:t xml:space="preserve">    Iné významné udalosti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Spoločnosť dňom 18. januára 2025 vstúpila do konkurzu čím došlo k zmene jej názvu na Slovenská potravinová manufaktúra s. r. o. v konkurze. </w:t>
      </w:r>
    </w:p>
    <w:p w:rsidR="00000000" w:rsidDel="00000000" w:rsidP="00000000" w:rsidRDefault="00000000" w:rsidRPr="00000000" w14:paraId="00000106">
      <w:pPr>
        <w:ind w:left="370" w:firstLine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  <w:t xml:space="preserve">Poznámky Úč. PODV 3-01                                 IČO: 53045467                                               DIČ: 2121238812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-SK"/>
      </w:rPr>
    </w:rPrDefault>
    <w:pPrDefault>
      <w:pPr>
        <w:spacing w:after="4" w:line="249" w:lineRule="auto"/>
        <w:ind w:left="10" w:hanging="2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8" w:before="0" w:line="249" w:lineRule="auto"/>
      <w:ind w:left="10" w:right="1778" w:hanging="20"/>
      <w:jc w:val="righ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8" w:before="0" w:line="249" w:lineRule="auto"/>
      <w:ind w:left="10" w:right="1778" w:hanging="10"/>
      <w:jc w:val="righ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963AE3"/>
    <w:pPr>
      <w:ind w:hanging="10"/>
    </w:pPr>
    <w:rPr>
      <w:color w:val="000000"/>
    </w:rPr>
  </w:style>
  <w:style w:type="paragraph" w:styleId="Nadpis1">
    <w:name w:val="heading 1"/>
    <w:next w:val="Normlny"/>
    <w:link w:val="Nadpis1Char"/>
    <w:uiPriority w:val="9"/>
    <w:qFormat w:val="1"/>
    <w:rsid w:val="00963AE3"/>
    <w:pPr>
      <w:keepNext w:val="1"/>
      <w:keepLines w:val="1"/>
      <w:spacing w:after="68"/>
      <w:ind w:right="1778"/>
      <w:jc w:val="right"/>
      <w:outlineLvl w:val="0"/>
    </w:pPr>
    <w:rPr>
      <w:b w:val="1"/>
      <w:color w:val="000000"/>
      <w:sz w:val="36"/>
    </w:rPr>
  </w:style>
  <w:style w:type="paragraph" w:styleId="Nadpis2">
    <w:name w:val="heading 2"/>
    <w:basedOn w:val="Normlny"/>
    <w:next w:val="Normlny"/>
    <w:link w:val="Nadpis2Char"/>
    <w:uiPriority w:val="9"/>
    <w:semiHidden w:val="1"/>
    <w:unhideWhenUsed w:val="1"/>
    <w:qFormat w:val="1"/>
    <w:rsid w:val="00A86CCE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dpis1Char" w:customStyle="1">
    <w:name w:val="Nadpis 1 Char"/>
    <w:basedOn w:val="Predvolenpsmoodseku"/>
    <w:link w:val="Nadpis1"/>
    <w:uiPriority w:val="9"/>
    <w:rsid w:val="00963AE3"/>
    <w:rPr>
      <w:rFonts w:ascii="Arial" w:cs="Arial" w:eastAsia="Arial" w:hAnsi="Arial"/>
      <w:b w:val="1"/>
      <w:color w:val="000000"/>
      <w:sz w:val="36"/>
      <w:lang w:eastAsia="sk-SK"/>
    </w:rPr>
  </w:style>
  <w:style w:type="table" w:styleId="TableGrid" w:customStyle="1">
    <w:name w:val="TableGrid"/>
    <w:rsid w:val="00963AE3"/>
    <w:pPr>
      <w:spacing w:after="0" w:line="240" w:lineRule="auto"/>
    </w:pPr>
    <w:rPr>
      <w:rFonts w:eastAsiaTheme="minorEastAsia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025EBB"/>
    <w:rPr>
      <w:rFonts w:ascii="Arial" w:cs="Arial" w:eastAsia="Arial" w:hAnsi="Arial"/>
      <w:color w:val="000000"/>
      <w:sz w:val="20"/>
      <w:lang w:eastAsia="sk-SK"/>
    </w:rPr>
  </w:style>
  <w:style w:type="paragraph" w:styleId="Pta">
    <w:name w:val="footer"/>
    <w:basedOn w:val="Normlny"/>
    <w:link w:val="PtaChar"/>
    <w:uiPriority w:val="99"/>
    <w:unhideWhenUsed w:val="1"/>
    <w:rsid w:val="00025EBB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025EBB"/>
    <w:rPr>
      <w:rFonts w:ascii="Arial" w:cs="Arial" w:eastAsia="Arial" w:hAnsi="Arial"/>
      <w:color w:val="000000"/>
      <w:sz w:val="20"/>
      <w:lang w:eastAsia="sk-SK"/>
    </w:rPr>
  </w:style>
  <w:style w:type="character" w:styleId="Nadpis2Char" w:customStyle="1">
    <w:name w:val="Nadpis 2 Char"/>
    <w:basedOn w:val="Predvolenpsmoodseku"/>
    <w:link w:val="Nadpis2"/>
    <w:uiPriority w:val="9"/>
    <w:rsid w:val="00A86CCE"/>
    <w:rPr>
      <w:rFonts w:asciiTheme="majorHAnsi" w:cstheme="majorBidi" w:eastAsiaTheme="majorEastAsia" w:hAnsiTheme="majorHAnsi"/>
      <w:color w:val="2f5496" w:themeColor="accent1" w:themeShade="0000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8D3D0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ezriadkovania">
    <w:name w:val="No Spacing"/>
    <w:uiPriority w:val="1"/>
    <w:qFormat w:val="1"/>
    <w:rsid w:val="007D58D0"/>
    <w:pPr>
      <w:spacing w:after="0" w:line="240" w:lineRule="auto"/>
      <w:ind w:hanging="10"/>
    </w:pPr>
    <w:rPr>
      <w:color w:val="000000"/>
    </w:rPr>
  </w:style>
  <w:style w:type="paragraph" w:styleId="Odsekzoznamu">
    <w:name w:val="List Paragraph"/>
    <w:basedOn w:val="Normlny"/>
    <w:uiPriority w:val="34"/>
    <w:qFormat w:val="1"/>
    <w:rsid w:val="00F21FCF"/>
    <w:pPr>
      <w:ind w:left="720"/>
      <w:contextualSpacing w:val="1"/>
    </w:p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top w:w="80.0" w:type="dxa"/>
        <w:left w:w="46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apple-converted-space" w:customStyle="1">
    <w:name w:val="apple-converted-space"/>
    <w:basedOn w:val="Predvolenpsmoodseku"/>
    <w:rsid w:val="000932BD"/>
  </w:style>
  <w:style w:type="paragraph" w:styleId="Normlnywebov">
    <w:name w:val="Normal (Web)"/>
    <w:basedOn w:val="Normlny"/>
    <w:uiPriority w:val="99"/>
    <w:semiHidden w:val="1"/>
    <w:unhideWhenUsed w:val="1"/>
    <w:rsid w:val="008B7996"/>
    <w:pPr>
      <w:spacing w:after="100" w:afterAutospacing="1" w:before="100" w:beforeAutospacing="1" w:line="240" w:lineRule="auto"/>
      <w:ind w:left="0" w:firstLine="0"/>
    </w:pPr>
    <w:rPr>
      <w:rFonts w:ascii="Times New Roman" w:cs="Times New Roman" w:eastAsia="Times New Roman" w:hAnsi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9" w:lineRule="auto"/>
      <w:ind w:left="10" w:right="0" w:hanging="2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YeSz2O8wpC5GV6MYP7RhSc8gyA==">CgMxLjA4AHIhMWNtZzBibUlESktRZFJEN1ZBOFBPeWladmJxRE5KV3Zu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2022-03-29T19:21:00Z</dcterms:created>
  <dc:creator>simona.petruncikova@gymbeam.com</dc:creator>
</cp:coreProperties>
</file>