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jpeg" ContentType="image/jpeg"/>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pPr>
      <w:r>
        <w:rPr/>
      </w:r>
    </w:p>
    <w:p>
      <w:pPr>
        <w:pStyle w:val="Nadpis1"/>
        <w:rPr/>
      </w:pPr>
      <w:r>
        <w:rPr/>
        <w:t>Výročná správa  neziskovej organizácie</w:t>
      </w:r>
      <w:r>
        <w:rPr>
          <w:rFonts w:eastAsia="Times New Roman" w:cs="Times New Roman" w:ascii="Times New Roman" w:hAnsi="Times New Roman"/>
          <w:sz w:val="20"/>
        </w:rPr>
        <w:t xml:space="preserve"> </w:t>
      </w:r>
    </w:p>
    <w:p>
      <w:pPr>
        <w:pStyle w:val="Normal"/>
        <w:spacing w:before="0" w:after="803"/>
        <w:ind w:right="20" w:hanging="0"/>
        <w:jc w:val="center"/>
        <w:rPr/>
      </w:pPr>
      <w:r>
        <w:rPr>
          <w:sz w:val="20"/>
        </w:rPr>
        <w:t xml:space="preserve"> </w:t>
      </w:r>
    </w:p>
    <w:p>
      <w:pPr>
        <w:pStyle w:val="Normal"/>
        <w:spacing w:before="0" w:after="59"/>
        <w:ind w:left="356" w:hanging="0"/>
        <w:rPr>
          <w:sz w:val="72"/>
        </w:rPr>
      </w:pPr>
      <w:r>
        <w:rPr>
          <w:sz w:val="72"/>
        </w:rPr>
        <w:t xml:space="preserve"> </w:t>
      </w:r>
      <w:r>
        <w:rPr>
          <w:sz w:val="72"/>
        </w:rPr>
        <w:t xml:space="preserve">Harmónia Chmeľová, n. o. </w:t>
      </w:r>
    </w:p>
    <w:p>
      <w:pPr>
        <w:pStyle w:val="Normal"/>
        <w:spacing w:before="0" w:after="59"/>
        <w:ind w:left="356" w:hanging="0"/>
        <w:jc w:val="center"/>
        <w:rPr/>
      </w:pPr>
      <w:r>
        <w:rPr>
          <w:sz w:val="72"/>
        </w:rPr>
        <w:t>za rok 2023</w:t>
      </w:r>
    </w:p>
    <w:p>
      <w:pPr>
        <w:pStyle w:val="Normal"/>
        <w:spacing w:before="0" w:after="213"/>
        <w:rPr/>
      </w:pPr>
      <w:r>
        <w:rPr/>
        <w:t xml:space="preserve"> </w:t>
      </w:r>
    </w:p>
    <w:p>
      <w:pPr>
        <w:pStyle w:val="Normal"/>
        <w:spacing w:before="0" w:after="217"/>
        <w:rPr/>
      </w:pPr>
      <w:r>
        <w:rPr/>
        <w:t xml:space="preserve"> </w:t>
      </w:r>
    </w:p>
    <w:p>
      <w:pPr>
        <w:pStyle w:val="Normal"/>
        <w:spacing w:before="0" w:after="263"/>
        <w:ind w:right="15" w:hanging="0"/>
        <w:jc w:val="center"/>
        <w:rPr/>
      </w:pPr>
      <w:r>
        <w:rPr/>
        <w:t xml:space="preserve"> </w:t>
      </w:r>
    </w:p>
    <w:p>
      <w:pPr>
        <w:pStyle w:val="Normal"/>
        <w:spacing w:before="0" w:after="217"/>
        <w:ind w:right="70" w:hanging="0"/>
        <w:jc w:val="center"/>
        <w:rPr/>
      </w:pPr>
      <w:r>
        <w:rPr>
          <w:b/>
        </w:rPr>
        <w:t>Chmeľová 166, 086 33 Zborov</w:t>
      </w:r>
    </w:p>
    <w:p>
      <w:pPr>
        <w:pStyle w:val="Normal"/>
        <w:tabs>
          <w:tab w:val="clear" w:pos="708"/>
          <w:tab w:val="left" w:pos="3240" w:leader="none"/>
        </w:tabs>
        <w:spacing w:before="0" w:after="217"/>
        <w:rPr/>
      </w:pPr>
      <w:r>
        <w:rPr/>
        <w:t xml:space="preserve"> </w:t>
      </w:r>
      <w:r>
        <w:rPr/>
        <w:tab/>
        <w:t>ICO: 53818491</w:t>
      </w:r>
    </w:p>
    <w:p>
      <w:pPr>
        <w:pStyle w:val="Normal"/>
        <w:tabs>
          <w:tab w:val="clear" w:pos="708"/>
          <w:tab w:val="left" w:pos="3240" w:leader="none"/>
        </w:tabs>
        <w:spacing w:before="0" w:after="213"/>
        <w:rPr/>
      </w:pPr>
      <w:r>
        <w:rPr/>
        <w:t xml:space="preserve"> </w:t>
      </w:r>
      <w:r>
        <w:rPr/>
        <w:tab/>
        <w:t>DIČ: 2121520533</w:t>
      </w:r>
    </w:p>
    <w:p>
      <w:pPr>
        <w:pStyle w:val="Normal"/>
        <w:spacing w:before="0" w:after="217"/>
        <w:rPr/>
      </w:pPr>
      <w:r>
        <w:rPr/>
        <w:t xml:space="preserve"> </w:t>
      </w:r>
    </w:p>
    <w:p>
      <w:pPr>
        <w:pStyle w:val="Normal"/>
        <w:spacing w:before="0" w:after="217"/>
        <w:rPr/>
      </w:pPr>
      <w:r>
        <w:rPr/>
        <w:t xml:space="preserve"> </w:t>
      </w:r>
    </w:p>
    <w:p>
      <w:pPr>
        <w:pStyle w:val="Normal"/>
        <w:spacing w:before="0" w:after="217"/>
        <w:rPr/>
      </w:pPr>
      <w:r>
        <w:rPr/>
        <w:t xml:space="preserve"> </w:t>
      </w:r>
    </w:p>
    <w:p>
      <w:pPr>
        <w:pStyle w:val="Normal"/>
        <w:spacing w:before="0" w:after="213"/>
        <w:rPr/>
      </w:pPr>
      <w:r>
        <w:rPr/>
        <w:t xml:space="preserve"> </w:t>
      </w:r>
    </w:p>
    <w:p>
      <w:pPr>
        <w:pStyle w:val="Normal"/>
        <w:spacing w:before="0" w:after="217"/>
        <w:rPr/>
      </w:pPr>
      <w:r>
        <w:rPr/>
        <w:t xml:space="preserve"> </w:t>
      </w:r>
    </w:p>
    <w:p>
      <w:pPr>
        <w:pStyle w:val="Normal"/>
        <w:spacing w:lineRule="auto" w:line="259" w:before="0" w:after="168"/>
        <w:ind w:left="7" w:right="51" w:hanging="0"/>
        <w:rPr/>
      </w:pPr>
      <w:r>
        <w:rPr/>
        <w:t>_________________________________________________________________________________ v Chmeľovej 1.</w:t>
      </w:r>
      <w:r>
        <w:rPr/>
        <w:t>7.2024</w:t>
      </w:r>
      <w:r>
        <w:rPr/>
        <w:t xml:space="preserve"> __________________________________________________________________________________</w:t>
      </w:r>
      <w:r>
        <w:rPr>
          <w:rFonts w:eastAsia="Calibri" w:cs="Calibri"/>
        </w:rPr>
        <w:t xml:space="preserve"> </w:t>
      </w:r>
    </w:p>
    <w:p>
      <w:pPr>
        <w:pStyle w:val="Normal"/>
        <w:spacing w:before="0" w:after="159"/>
        <w:ind w:right="22" w:hanging="0"/>
        <w:rPr/>
      </w:pPr>
      <w:r>
        <w:rPr/>
      </w:r>
    </w:p>
    <w:p>
      <w:pPr>
        <w:pStyle w:val="Normal"/>
        <w:spacing w:before="0" w:after="159"/>
        <w:ind w:right="22" w:hanging="0"/>
        <w:rPr/>
      </w:pPr>
      <w:r>
        <w:rPr/>
      </w:r>
    </w:p>
    <w:p>
      <w:pPr>
        <w:pStyle w:val="Normal"/>
        <w:spacing w:before="0" w:after="159"/>
        <w:ind w:right="22" w:hanging="0"/>
        <w:rPr/>
      </w:pPr>
      <w:r>
        <w:rPr/>
      </w:r>
    </w:p>
    <w:p>
      <w:pPr>
        <w:pStyle w:val="Normal"/>
        <w:spacing w:before="0" w:after="274"/>
        <w:rPr/>
      </w:pPr>
      <w:r>
        <w:rPr>
          <w:rFonts w:eastAsia="Calibri" w:cs="Calibri"/>
        </w:rPr>
        <w:t xml:space="preserve"> </w:t>
      </w:r>
    </w:p>
    <w:p>
      <w:pPr>
        <w:pStyle w:val="Normal"/>
        <w:spacing w:before="0" w:after="215"/>
        <w:ind w:right="70" w:hanging="0"/>
        <w:jc w:val="center"/>
        <w:rPr/>
      </w:pPr>
      <w:r>
        <w:rPr>
          <w:b/>
          <w:sz w:val="28"/>
        </w:rPr>
        <w:t xml:space="preserve">OBSAH: </w:t>
      </w:r>
    </w:p>
    <w:p>
      <w:pPr>
        <w:pStyle w:val="Normal"/>
        <w:spacing w:before="0" w:after="226"/>
        <w:jc w:val="center"/>
        <w:rPr/>
      </w:pPr>
      <w:r>
        <w:rPr>
          <w:b/>
          <w:sz w:val="28"/>
        </w:rPr>
        <w:t xml:space="preserve"> </w:t>
      </w:r>
    </w:p>
    <w:p>
      <w:pPr>
        <w:pStyle w:val="Normal"/>
        <w:numPr>
          <w:ilvl w:val="0"/>
          <w:numId w:val="1"/>
        </w:numPr>
        <w:spacing w:lineRule="auto" w:line="264" w:before="0" w:after="260"/>
        <w:ind w:left="240" w:right="59" w:hanging="240"/>
        <w:jc w:val="both"/>
        <w:rPr/>
      </w:pPr>
      <w:r>
        <w:rPr>
          <w:b/>
        </w:rPr>
        <w:t xml:space="preserve">ÚVOD  </w:t>
      </w:r>
    </w:p>
    <w:p>
      <w:pPr>
        <w:pStyle w:val="Normal"/>
        <w:numPr>
          <w:ilvl w:val="0"/>
          <w:numId w:val="1"/>
        </w:numPr>
        <w:spacing w:lineRule="auto" w:line="264" w:before="0" w:after="57"/>
        <w:ind w:left="240" w:right="59" w:hanging="240"/>
        <w:jc w:val="both"/>
        <w:rPr/>
      </w:pPr>
      <w:r>
        <w:rPr>
          <w:b/>
        </w:rPr>
        <w:t xml:space="preserve">PREHĽAD ČINNOSTÍ VYKONÁVANÝCH V KALENDÁRNOM ROKU S    UVEDENÍM VZŤAHU K ÚČELU ZALOŽENIA NEZISKOVEJ ORGANIZÁCIE A PREHĽAD O POSKYTOVANÍ SOCIÁLNEJ SLUŽBY A O INOM  PREDMETE </w:t>
      </w:r>
    </w:p>
    <w:p>
      <w:pPr>
        <w:pStyle w:val="Normal"/>
        <w:spacing w:lineRule="auto" w:line="264" w:before="0" w:after="260"/>
        <w:ind w:left="-5" w:right="59" w:hanging="0"/>
        <w:rPr/>
      </w:pPr>
      <w:r>
        <w:rPr>
          <w:b/>
        </w:rPr>
        <w:t xml:space="preserve">ČINNOSTI ALEBO PODNIKANIA VYKONÁVANÝCH V KALENDÁRNOM ROKU  </w:t>
      </w:r>
    </w:p>
    <w:p>
      <w:pPr>
        <w:pStyle w:val="Normal"/>
        <w:numPr>
          <w:ilvl w:val="0"/>
          <w:numId w:val="1"/>
        </w:numPr>
        <w:spacing w:lineRule="auto" w:line="264" w:before="0" w:after="260"/>
        <w:ind w:left="240" w:right="59" w:hanging="240"/>
        <w:jc w:val="both"/>
        <w:rPr/>
      </w:pPr>
      <w:r>
        <w:rPr>
          <w:b/>
        </w:rPr>
        <w:t xml:space="preserve">HOSPODÁRENIE </w:t>
      </w:r>
    </w:p>
    <w:p>
      <w:pPr>
        <w:pStyle w:val="Normal"/>
        <w:numPr>
          <w:ilvl w:val="0"/>
          <w:numId w:val="1"/>
        </w:numPr>
        <w:spacing w:lineRule="auto" w:line="264" w:before="0" w:after="260"/>
        <w:ind w:left="240" w:right="59" w:hanging="240"/>
        <w:jc w:val="both"/>
        <w:rPr/>
      </w:pPr>
      <w:r>
        <w:rPr>
          <w:b/>
        </w:rPr>
        <w:t xml:space="preserve">ROČNÁ ÚČTOVNÁ ZÁVIERKA A ZHODNOTENIE ZÁKLADNÝCH ÚDAJOV V NEJ OBSIAHNUTÝCH </w:t>
      </w:r>
    </w:p>
    <w:p>
      <w:pPr>
        <w:pStyle w:val="Normal"/>
        <w:spacing w:lineRule="auto" w:line="264" w:before="0" w:after="12"/>
        <w:ind w:left="-5" w:right="59" w:hanging="0"/>
        <w:rPr/>
      </w:pPr>
      <w:r>
        <w:rPr>
          <w:b/>
        </w:rPr>
        <w:t xml:space="preserve">5.PREHĽAD ROZSAHU PRÍJMOV ( VÝNOSOV ) V ČLENENÍ PODĽA ZDROJOV </w:t>
      </w:r>
    </w:p>
    <w:p>
      <w:pPr>
        <w:pStyle w:val="Normal"/>
        <w:spacing w:before="0" w:after="67"/>
        <w:rPr/>
      </w:pPr>
      <w:r>
        <w:rPr>
          <w:b/>
        </w:rPr>
        <w:t xml:space="preserve"> </w:t>
      </w:r>
    </w:p>
    <w:p>
      <w:pPr>
        <w:pStyle w:val="Normal"/>
        <w:numPr>
          <w:ilvl w:val="0"/>
          <w:numId w:val="2"/>
        </w:numPr>
        <w:spacing w:lineRule="auto" w:line="264" w:before="0" w:after="260"/>
        <w:ind w:left="360" w:right="59" w:hanging="360"/>
        <w:jc w:val="both"/>
        <w:rPr/>
      </w:pPr>
      <w:r>
        <w:rPr>
          <w:b/>
        </w:rPr>
        <w:t xml:space="preserve">PREHĽAD O PEŇAŽNÝCH PRÍJMOCH A VÝDAVKOCH </w:t>
      </w:r>
    </w:p>
    <w:p>
      <w:pPr>
        <w:pStyle w:val="Normal"/>
        <w:numPr>
          <w:ilvl w:val="0"/>
          <w:numId w:val="2"/>
        </w:numPr>
        <w:spacing w:lineRule="auto" w:line="264" w:before="0" w:after="212"/>
        <w:ind w:left="360" w:right="59" w:hanging="360"/>
        <w:jc w:val="both"/>
        <w:rPr/>
      </w:pPr>
      <w:r>
        <w:rPr>
          <w:b/>
        </w:rPr>
        <w:t xml:space="preserve">STAV A POHYB MAJETKU A ZÁVÄZKOV NEZISKOVEJ ORGANIZÁCIE  </w:t>
      </w:r>
    </w:p>
    <w:p>
      <w:pPr>
        <w:pStyle w:val="Normal"/>
        <w:numPr>
          <w:ilvl w:val="0"/>
          <w:numId w:val="2"/>
        </w:numPr>
        <w:spacing w:lineRule="auto" w:line="264" w:before="0" w:after="206"/>
        <w:ind w:left="360" w:right="59" w:hanging="360"/>
        <w:jc w:val="both"/>
        <w:rPr/>
      </w:pPr>
      <w:r>
        <w:rPr>
          <w:b/>
        </w:rPr>
        <w:t xml:space="preserve">EKONOMICKY OPRÁVNENÉ NÁKLADY NA JEDNÉHO PRIJÍMATEĽA SOCIÁLNEJ SLUŽBY PODĽA DRUHU POSKYTOVANEJ SOCIÁLNEJ SLUŽBY ZA KALENDÁRNY ROK  </w:t>
      </w:r>
    </w:p>
    <w:p>
      <w:pPr>
        <w:pStyle w:val="Normal"/>
        <w:numPr>
          <w:ilvl w:val="0"/>
          <w:numId w:val="2"/>
        </w:numPr>
        <w:spacing w:lineRule="auto" w:line="264" w:before="0" w:after="199"/>
        <w:ind w:left="360" w:right="59" w:hanging="360"/>
        <w:jc w:val="both"/>
        <w:rPr/>
      </w:pPr>
      <w:r>
        <w:rPr>
          <w:b/>
        </w:rPr>
        <w:t xml:space="preserve">ZMENY A NOVÉ ZLOŽENIE ORGÁNOV NEZISKOVEJ ORGANIZÁCIE, KU KTORÝM DOŠLO V PRIEBEHU ROKA  </w:t>
      </w:r>
    </w:p>
    <w:p>
      <w:pPr>
        <w:pStyle w:val="Normal"/>
        <w:numPr>
          <w:ilvl w:val="0"/>
          <w:numId w:val="2"/>
        </w:numPr>
        <w:spacing w:lineRule="auto" w:line="319" w:before="0" w:after="196"/>
        <w:ind w:left="360" w:right="59" w:hanging="360"/>
        <w:jc w:val="both"/>
        <w:rPr/>
      </w:pPr>
      <w:r>
        <w:rPr>
          <w:b/>
        </w:rPr>
        <w:t xml:space="preserve">VÝROK ŠTATUTÁRNEHO AUDÍTORA K ROČNEJ ÚČTOVNEJ ZÁVIERKE, AK JU ŠTATUTÁRNY AUDÍTOR OVEROVAL </w:t>
      </w:r>
    </w:p>
    <w:p>
      <w:pPr>
        <w:pStyle w:val="Normal"/>
        <w:numPr>
          <w:ilvl w:val="0"/>
          <w:numId w:val="2"/>
        </w:numPr>
        <w:spacing w:lineRule="auto" w:line="264" w:before="0" w:after="260"/>
        <w:ind w:left="360" w:right="59" w:hanging="360"/>
        <w:jc w:val="both"/>
        <w:rPr/>
      </w:pPr>
      <w:r>
        <w:rPr>
          <w:b/>
        </w:rPr>
        <w:t xml:space="preserve">ĎALŠIE ÚDAJE URČENÉ SPRÁVNOU RADOU </w:t>
      </w:r>
    </w:p>
    <w:p>
      <w:pPr>
        <w:pStyle w:val="Normal"/>
        <w:numPr>
          <w:ilvl w:val="0"/>
          <w:numId w:val="2"/>
        </w:numPr>
        <w:spacing w:lineRule="auto" w:line="264" w:before="0" w:after="212"/>
        <w:ind w:left="360" w:right="59" w:hanging="360"/>
        <w:jc w:val="both"/>
        <w:rPr/>
      </w:pPr>
      <w:r>
        <w:rPr>
          <w:b/>
        </w:rPr>
        <w:t xml:space="preserve">ZÁVER </w:t>
      </w:r>
    </w:p>
    <w:p>
      <w:pPr>
        <w:pStyle w:val="Normal"/>
        <w:spacing w:before="0" w:after="200"/>
        <w:rPr/>
      </w:pPr>
      <w:r>
        <w:rPr>
          <w:b/>
        </w:rPr>
        <w:t xml:space="preserve"> </w:t>
      </w:r>
    </w:p>
    <w:p>
      <w:pPr>
        <w:pStyle w:val="Normal"/>
        <w:spacing w:before="0" w:after="217"/>
        <w:rPr/>
      </w:pPr>
      <w:r>
        <w:rPr/>
        <w:t xml:space="preserve"> </w:t>
      </w:r>
    </w:p>
    <w:p>
      <w:pPr>
        <w:pStyle w:val="Normal"/>
        <w:spacing w:before="0" w:after="0"/>
        <w:rPr/>
      </w:pPr>
      <w:r>
        <w:rPr/>
        <w:t xml:space="preserve"> </w:t>
      </w:r>
    </w:p>
    <w:p>
      <w:pPr>
        <w:pStyle w:val="Normal"/>
        <w:spacing w:lineRule="auto" w:line="259" w:before="0" w:after="251"/>
        <w:ind w:left="7" w:right="51" w:hanging="0"/>
        <w:rPr/>
      </w:pPr>
      <w:r>
        <w:rPr/>
        <w:t>_________________________________________________________________________________</w:t>
      </w:r>
      <w:r>
        <w:rPr>
          <w:rFonts w:eastAsia="Calibri" w:cs="Calibri"/>
        </w:rPr>
        <w:t xml:space="preserve"> </w:t>
      </w:r>
    </w:p>
    <w:p>
      <w:pPr>
        <w:pStyle w:val="Normal"/>
        <w:spacing w:before="0" w:after="162"/>
        <w:ind w:right="2" w:hanging="0"/>
        <w:jc w:val="center"/>
        <w:rPr/>
      </w:pPr>
      <w:r>
        <w:rPr/>
      </w:r>
    </w:p>
    <w:p>
      <w:pPr>
        <w:pStyle w:val="Normal"/>
        <w:spacing w:before="0" w:after="162"/>
        <w:ind w:right="2" w:hanging="0"/>
        <w:jc w:val="center"/>
        <w:rPr/>
      </w:pPr>
      <w:r>
        <w:rPr/>
      </w:r>
    </w:p>
    <w:p>
      <w:pPr>
        <w:pStyle w:val="Normal"/>
        <w:spacing w:before="0" w:after="162"/>
        <w:ind w:right="2" w:hanging="0"/>
        <w:jc w:val="center"/>
        <w:rPr/>
      </w:pPr>
      <w:r>
        <w:rPr/>
      </w:r>
    </w:p>
    <w:p>
      <w:pPr>
        <w:pStyle w:val="Normal"/>
        <w:spacing w:before="0" w:after="162"/>
        <w:ind w:right="2" w:hanging="0"/>
        <w:jc w:val="center"/>
        <w:rPr/>
      </w:pPr>
      <w:r>
        <w:rPr>
          <w:b/>
          <w:sz w:val="28"/>
        </w:rPr>
        <w:t xml:space="preserve"> </w:t>
      </w:r>
    </w:p>
    <w:p>
      <w:pPr>
        <w:pStyle w:val="Normal"/>
        <w:spacing w:before="0" w:after="154"/>
        <w:ind w:right="68" w:hanging="0"/>
        <w:jc w:val="center"/>
        <w:rPr/>
      </w:pPr>
      <w:r>
        <w:rPr>
          <w:b/>
          <w:sz w:val="28"/>
        </w:rPr>
        <w:t xml:space="preserve">1. </w:t>
      </w:r>
    </w:p>
    <w:p>
      <w:pPr>
        <w:pStyle w:val="Normal"/>
        <w:spacing w:before="0" w:after="135"/>
        <w:ind w:right="69" w:hanging="0"/>
        <w:jc w:val="center"/>
        <w:rPr>
          <w:color w:val="C9211E"/>
        </w:rPr>
      </w:pPr>
      <w:r>
        <w:rPr>
          <w:b/>
          <w:color w:val="C9211E"/>
          <w:sz w:val="28"/>
        </w:rPr>
        <w:t>ÚVOD</w:t>
      </w:r>
      <w:r>
        <w:rPr>
          <w:color w:val="C9211E"/>
        </w:rPr>
        <w:t xml:space="preserve"> </w:t>
      </w:r>
    </w:p>
    <w:p>
      <w:pPr>
        <w:pStyle w:val="Normal"/>
        <w:spacing w:before="0" w:after="135"/>
        <w:ind w:right="69" w:hanging="0"/>
        <w:jc w:val="left"/>
        <w:rPr>
          <w:color w:val="C9211E"/>
        </w:rPr>
      </w:pPr>
      <w:r>
        <w:rPr>
          <w:b/>
          <w:color w:val="C9211E"/>
          <w:sz w:val="28"/>
        </w:rPr>
        <w:t>Motto zariadenia:</w:t>
      </w:r>
    </w:p>
    <w:p>
      <w:pPr>
        <w:pStyle w:val="Normal"/>
        <w:spacing w:before="0" w:after="135"/>
        <w:ind w:right="69" w:hanging="0"/>
        <w:jc w:val="left"/>
        <w:rPr>
          <w:color w:val="000000"/>
        </w:rPr>
      </w:pPr>
      <w:r>
        <w:rPr>
          <w:b/>
          <w:color w:val="000000"/>
          <w:sz w:val="28"/>
        </w:rPr>
        <w:t>Tam kde prinášaš úsmev a radosť do života, robíš najkrajšiu vec na svete.</w:t>
      </w:r>
    </w:p>
    <w:p>
      <w:pPr>
        <w:pStyle w:val="Normal"/>
        <w:spacing w:before="0" w:after="135"/>
        <w:ind w:right="69" w:hanging="0"/>
        <w:jc w:val="left"/>
        <w:rPr>
          <w:b/>
          <w:sz w:val="28"/>
        </w:rPr>
      </w:pPr>
      <w:r>
        <w:rPr>
          <w:b/>
          <w:sz w:val="28"/>
        </w:rPr>
      </w:r>
    </w:p>
    <w:p>
      <w:pPr>
        <w:pStyle w:val="Normal"/>
        <w:spacing w:before="0" w:after="225"/>
        <w:ind w:left="-5" w:right="60" w:hanging="0"/>
        <w:rPr>
          <w:color w:val="FF0000"/>
        </w:rPr>
      </w:pPr>
      <w:r>
        <w:rPr/>
        <w:t xml:space="preserve"> </w:t>
      </w:r>
      <w:r>
        <w:rPr/>
        <w:t>Nezisková organizácia Harmonia Chmeľová, n. o. , so sídlom Chmeľová 166,086 33 Zborov , IČO: 53818491 vznikla dňa 25.5.2021 na základe rozhodnutia Okresného úradu Prešov, odbor všeobecnej vnútornej správy, číslo : OU-PO-OVVS1-2021/021174-NO/Cm</w:t>
      </w:r>
      <w:r>
        <w:rPr>
          <w:color w:val="FF0000"/>
        </w:rPr>
        <w:t xml:space="preserve"> </w:t>
      </w:r>
      <w:r>
        <w:rPr/>
        <w:t>podľa ustanovenia § 9 ods. 2 zákona NR SR č. 213/1997 Z. z. o neziskových organizáciách poskytujúcich všeobecne prospešné služby v znení neskorších predpisov (ďalej len „zákon o neziskových organizáciách“) a bola zapísaná do registra ku dňu právoplatnosti tohto rozhodnutia pod č. OVVS-674/2021-NO, pričom uvedené rozhodnutie nadobudlo právoplatnosť dňa 25.5.2021</w:t>
      </w:r>
      <w:r>
        <w:rPr>
          <w:b/>
          <w:sz w:val="28"/>
        </w:rPr>
        <w:t xml:space="preserve"> </w:t>
      </w:r>
    </w:p>
    <w:p>
      <w:pPr>
        <w:pStyle w:val="Normal"/>
        <w:spacing w:before="0" w:after="36"/>
        <w:ind w:right="69" w:hanging="0"/>
        <w:jc w:val="center"/>
        <w:rPr>
          <w:color w:val="C9211E"/>
        </w:rPr>
      </w:pPr>
      <w:r>
        <w:rPr>
          <w:b/>
          <w:color w:val="C9211E"/>
          <w:sz w:val="28"/>
        </w:rPr>
        <w:t xml:space="preserve">Harmónia Chmeľová, n. o.  </w:t>
      </w:r>
    </w:p>
    <w:p>
      <w:pPr>
        <w:pStyle w:val="Normal"/>
        <w:spacing w:lineRule="auto" w:line="324" w:before="0" w:after="145"/>
        <w:ind w:firstLine="696"/>
        <w:rPr/>
      </w:pPr>
      <w:r>
        <w:rPr>
          <w:b/>
          <w:color w:val="C9211E"/>
          <w:sz w:val="28"/>
        </w:rPr>
        <w:t>v súlade so zakladacou listinou neziskovej organizácie poskytuje</w:t>
      </w:r>
      <w:r>
        <w:rPr>
          <w:color w:val="C9211E"/>
        </w:rPr>
        <w:t xml:space="preserve"> </w:t>
      </w:r>
      <w:r>
        <w:rPr/>
        <w:t xml:space="preserve"> Prevádzkovanie Zariadenia pre seniorov, v ktorom: </w:t>
      </w:r>
    </w:p>
    <w:p>
      <w:pPr>
        <w:pStyle w:val="Normal"/>
        <w:ind w:left="730" w:right="60" w:hanging="0"/>
        <w:rPr/>
      </w:pPr>
      <w:r>
        <w:rPr/>
        <w:t xml:space="preserve">       </w:t>
      </w:r>
      <w:r>
        <w:rPr/>
        <w:t xml:space="preserve">a) poskytuje </w:t>
      </w:r>
    </w:p>
    <w:p>
      <w:pPr>
        <w:pStyle w:val="Normal"/>
        <w:numPr>
          <w:ilvl w:val="0"/>
          <w:numId w:val="3"/>
        </w:numPr>
        <w:spacing w:lineRule="auto" w:line="264" w:before="0" w:after="171"/>
        <w:ind w:left="1080" w:right="60" w:hanging="360"/>
        <w:jc w:val="both"/>
        <w:rPr/>
      </w:pPr>
      <w:r>
        <w:rPr/>
        <w:t xml:space="preserve">Pomoc pri odkázanosti na pomoc inej fyzickej osoby </w:t>
      </w:r>
    </w:p>
    <w:p>
      <w:pPr>
        <w:pStyle w:val="Normal"/>
        <w:numPr>
          <w:ilvl w:val="0"/>
          <w:numId w:val="3"/>
        </w:numPr>
        <w:spacing w:lineRule="auto" w:line="264" w:before="0" w:after="175"/>
        <w:ind w:left="1080" w:right="60" w:hanging="360"/>
        <w:jc w:val="both"/>
        <w:rPr/>
      </w:pPr>
      <w:r>
        <w:rPr/>
        <w:t xml:space="preserve">Sociálne poradenstvo </w:t>
      </w:r>
    </w:p>
    <w:p>
      <w:pPr>
        <w:pStyle w:val="Normal"/>
        <w:numPr>
          <w:ilvl w:val="0"/>
          <w:numId w:val="3"/>
        </w:numPr>
        <w:spacing w:lineRule="auto" w:line="264" w:before="0" w:after="173"/>
        <w:ind w:left="1080" w:right="60" w:hanging="360"/>
        <w:jc w:val="both"/>
        <w:rPr/>
      </w:pPr>
      <w:r>
        <w:rPr/>
        <w:t xml:space="preserve">Sociálna rehabilitácia </w:t>
      </w:r>
    </w:p>
    <w:p>
      <w:pPr>
        <w:pStyle w:val="Normal"/>
        <w:numPr>
          <w:ilvl w:val="0"/>
          <w:numId w:val="3"/>
        </w:numPr>
        <w:spacing w:lineRule="auto" w:line="264" w:before="0" w:after="130"/>
        <w:ind w:left="1080" w:right="60" w:hanging="360"/>
        <w:jc w:val="both"/>
        <w:rPr/>
      </w:pPr>
      <w:r>
        <w:rPr/>
        <w:t xml:space="preserve">Opatrovateľská starostlivosť </w:t>
      </w:r>
    </w:p>
    <w:p>
      <w:pPr>
        <w:pStyle w:val="Normal"/>
        <w:numPr>
          <w:ilvl w:val="0"/>
          <w:numId w:val="3"/>
        </w:numPr>
        <w:spacing w:lineRule="auto" w:line="264" w:before="0" w:after="134"/>
        <w:ind w:left="1080" w:right="60" w:hanging="360"/>
        <w:jc w:val="both"/>
        <w:rPr/>
      </w:pPr>
      <w:r>
        <w:rPr/>
        <w:t xml:space="preserve">Ubytovanie </w:t>
      </w:r>
    </w:p>
    <w:p>
      <w:pPr>
        <w:pStyle w:val="Normal"/>
        <w:numPr>
          <w:ilvl w:val="0"/>
          <w:numId w:val="3"/>
        </w:numPr>
        <w:spacing w:lineRule="auto" w:line="264" w:before="0" w:after="175"/>
        <w:ind w:left="1080" w:right="60" w:hanging="360"/>
        <w:jc w:val="both"/>
        <w:rPr/>
      </w:pPr>
      <w:r>
        <w:rPr/>
        <w:t xml:space="preserve">Stravovanie </w:t>
      </w:r>
    </w:p>
    <w:p>
      <w:pPr>
        <w:pStyle w:val="Normal"/>
        <w:numPr>
          <w:ilvl w:val="0"/>
          <w:numId w:val="3"/>
        </w:numPr>
        <w:spacing w:lineRule="auto" w:line="264" w:before="0" w:after="170"/>
        <w:ind w:left="1080" w:right="60" w:hanging="360"/>
        <w:jc w:val="both"/>
        <w:rPr/>
      </w:pPr>
      <w:r>
        <w:rPr/>
        <w:t xml:space="preserve">Upratovanie, pranie, žehlenie a údržba bielizne a šatstva </w:t>
      </w:r>
    </w:p>
    <w:p>
      <w:pPr>
        <w:pStyle w:val="Normal"/>
        <w:numPr>
          <w:ilvl w:val="0"/>
          <w:numId w:val="3"/>
        </w:numPr>
        <w:spacing w:lineRule="auto" w:line="264" w:before="0" w:after="178"/>
        <w:ind w:left="1080" w:right="60" w:hanging="360"/>
        <w:jc w:val="both"/>
        <w:rPr/>
      </w:pPr>
      <w:r>
        <w:rPr/>
        <w:t xml:space="preserve">Osobné vybavenie </w:t>
      </w:r>
    </w:p>
    <w:p>
      <w:pPr>
        <w:pStyle w:val="Normal"/>
        <w:numPr>
          <w:ilvl w:val="1"/>
          <w:numId w:val="3"/>
        </w:numPr>
        <w:spacing w:lineRule="auto" w:line="264" w:before="0" w:after="208"/>
        <w:ind w:left="1340" w:right="60" w:hanging="260"/>
        <w:jc w:val="both"/>
        <w:rPr/>
      </w:pPr>
      <w:r>
        <w:rPr/>
        <w:t xml:space="preserve">utvára podmienky na úschovu cenných vecí </w:t>
      </w:r>
    </w:p>
    <w:p>
      <w:pPr>
        <w:pStyle w:val="Normal"/>
        <w:numPr>
          <w:ilvl w:val="1"/>
          <w:numId w:val="3"/>
        </w:numPr>
        <w:spacing w:lineRule="auto" w:line="264" w:before="0" w:after="125"/>
        <w:ind w:left="1340" w:right="60" w:hanging="260"/>
        <w:jc w:val="both"/>
        <w:rPr/>
      </w:pPr>
      <w:r>
        <w:rPr/>
        <w:t>zabezpečuje záujmovú činnosť</w:t>
      </w:r>
      <w:r>
        <w:rPr>
          <w:b/>
          <w:sz w:val="28"/>
        </w:rPr>
        <w:t xml:space="preserve"> </w:t>
      </w:r>
    </w:p>
    <w:p>
      <w:pPr>
        <w:pStyle w:val="Normal"/>
        <w:spacing w:before="0" w:after="237"/>
        <w:ind w:left="663" w:hanging="0"/>
        <w:jc w:val="center"/>
        <w:rPr>
          <w:b/>
          <w:sz w:val="28"/>
        </w:rPr>
      </w:pPr>
      <w:r>
        <w:rPr>
          <w:b/>
          <w:sz w:val="28"/>
        </w:rPr>
      </w:r>
    </w:p>
    <w:p>
      <w:pPr>
        <w:pStyle w:val="Normal"/>
        <w:ind w:left="-5" w:right="60" w:hanging="0"/>
        <w:rPr/>
      </w:pPr>
      <w:r>
        <w:rPr/>
        <w:t xml:space="preserve"> </w:t>
      </w:r>
      <w:r>
        <w:rPr/>
        <w:t xml:space="preserve">Hlavným cieľom Zariadenia pre seniorov Harmónia Chmeľová, n.o. je poskytovať sociálne služby fyzickým osobám, ktoré dovŕšili dôchodkový vek. V zariadení je poskytovaná celoročná starostlivosť pre seniorov občanom v dôchodkovom veku, ktorí spĺňajú podmienky pre umiestnenie v tomto zariadení. </w:t>
      </w:r>
    </w:p>
    <w:p>
      <w:pPr>
        <w:pStyle w:val="Normal"/>
        <w:ind w:left="-5" w:right="60" w:hanging="0"/>
        <w:rPr/>
      </w:pPr>
      <w:r>
        <w:rPr/>
        <w:t xml:space="preserve">Stravovanie našich klientov je zabezpečené celodennou stravou – raňajky, desiata, obed, olovrant, večera a v prípade diabetikov aj druhú večeru. Čistenie a pranie odevov, sociálna prevencia a poradenstvo je zabezpečované priamo činnosťou zariadenia. Sociálne služby sú v zariadení poskytované odo dňa určeného v zmluve o poskytovaní sociálnej služby na dobu neurčitú. Výročná správa o hospodárení neziskovej organizácie Harmonia Chmeľová, n.o. je predkladaná v súlade s §34 ods. 1 zákona č. 213/1997 Z. z. o neziskových organizáciách poskytujúcich všeobecne prospešné služby a o zmene a doplnení niektorých zákonov v znení neskorších predpisov. Prehľad činností neziskovej organizácie V zariadení pre seniorov Harmonia Chmeľová, Chmeľová 166, 086 33 Zborov: 1. poskytuje : a) pomoc pri odkázanosti na pomoc inej fyzickej osoby, b) sociálne poradenstvo, c) rehabilitácia, d) ošetrovateľská starostlivosť, e) ubytovanie, f) stravovanie, g) upratovanie, žehlenie, pranie 2. uzatvárajú sa podmienky na úschovu cenných vecí 3. zabezpečuje sa záujmová činnosť pre prijímateľov sociálnych služieb (ďalej len PSS), t.j. v Zariadenie pre senirov Harmonia Chmeľová, n.o. sa realizujú záujmové činnosti a aktivity pre PSS ktorá je zabezpečovaná sociálnymi pracovníčkami, s klientmi sú vykonávané rôzne druhy činností, ako napríklad: </w:t>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color w:val="C9211E"/>
        </w:rPr>
      </w:pPr>
      <w:r>
        <w:rPr>
          <w:b/>
          <w:color w:val="C9211E"/>
          <w:sz w:val="28"/>
        </w:rPr>
        <w:t>Orgánmi neziskovej organizácie sú:</w:t>
      </w:r>
      <w:r>
        <w:rPr>
          <w:rFonts w:eastAsia="Segoe UI Symbol" w:cs="Segoe UI Symbol" w:ascii="Segoe UI Symbol" w:hAnsi="Segoe UI Symbol"/>
          <w:color w:val="C9211E"/>
        </w:rPr>
        <w:t xml:space="preserve"> </w:t>
      </w:r>
    </w:p>
    <w:p>
      <w:pPr>
        <w:pStyle w:val="Normal"/>
        <w:numPr>
          <w:ilvl w:val="0"/>
          <w:numId w:val="4"/>
        </w:numPr>
        <w:spacing w:lineRule="auto" w:line="264" w:before="0" w:after="228"/>
        <w:ind w:left="892" w:right="60" w:hanging="172"/>
        <w:jc w:val="both"/>
        <w:rPr/>
      </w:pPr>
      <w:r>
        <w:rPr/>
        <w:t xml:space="preserve">správna rada </w:t>
      </w:r>
      <w:r>
        <w:rPr>
          <w:rFonts w:eastAsia="Segoe UI Symbol" w:cs="Segoe UI Symbol" w:ascii="Segoe UI Symbol" w:hAnsi="Segoe UI Symbol"/>
        </w:rPr>
        <w:t xml:space="preserve"> </w:t>
      </w:r>
    </w:p>
    <w:p>
      <w:pPr>
        <w:pStyle w:val="Normal"/>
        <w:numPr>
          <w:ilvl w:val="0"/>
          <w:numId w:val="4"/>
        </w:numPr>
        <w:spacing w:lineRule="auto" w:line="264" w:before="0" w:after="212"/>
        <w:ind w:left="892" w:right="60" w:hanging="172"/>
        <w:jc w:val="both"/>
        <w:rPr/>
      </w:pPr>
      <w:r>
        <w:rPr/>
        <w:t xml:space="preserve">riaditeľ </w:t>
      </w:r>
      <w:r>
        <w:rPr>
          <w:rFonts w:eastAsia="Segoe UI Symbol" w:cs="Segoe UI Symbol" w:ascii="Segoe UI Symbol" w:hAnsi="Segoe UI Symbol"/>
        </w:rPr>
        <w:t xml:space="preserve"> </w:t>
      </w:r>
    </w:p>
    <w:p>
      <w:pPr>
        <w:pStyle w:val="Normal"/>
        <w:ind w:left="892" w:right="60" w:hanging="0"/>
        <w:rPr/>
      </w:pPr>
      <w:r>
        <w:rPr/>
      </w:r>
    </w:p>
    <w:p>
      <w:pPr>
        <w:pStyle w:val="Nadpis2"/>
        <w:spacing w:before="0" w:after="18"/>
        <w:ind w:left="46" w:right="0" w:hanging="10"/>
        <w:rPr>
          <w:color w:val="C9211E"/>
        </w:rPr>
      </w:pPr>
      <w:r>
        <w:rPr>
          <w:color w:val="C9211E"/>
        </w:rPr>
        <w:t xml:space="preserve">PREHĽAD  ČINNOSTÍ VYKONÁVANÝCH V KALENDÁRNOM ROKU </w:t>
      </w:r>
    </w:p>
    <w:p>
      <w:pPr>
        <w:pStyle w:val="Normal"/>
        <w:spacing w:before="0" w:after="11"/>
        <w:ind w:right="76" w:hanging="0"/>
        <w:jc w:val="center"/>
        <w:rPr>
          <w:color w:val="C9211E"/>
        </w:rPr>
      </w:pPr>
      <w:r>
        <w:rPr>
          <w:b/>
          <w:color w:val="C9211E"/>
          <w:sz w:val="28"/>
        </w:rPr>
        <w:t xml:space="preserve">S UVEDENÍM VZŤAHU K ÚČELU ZALOŽENIA NEZISKOVEJ </w:t>
      </w:r>
    </w:p>
    <w:p>
      <w:pPr>
        <w:pStyle w:val="Normal"/>
        <w:spacing w:before="0" w:after="7"/>
        <w:ind w:right="72" w:hanging="0"/>
        <w:jc w:val="center"/>
        <w:rPr>
          <w:color w:val="C9211E"/>
        </w:rPr>
      </w:pPr>
      <w:r>
        <w:rPr>
          <w:b/>
          <w:color w:val="C9211E"/>
          <w:sz w:val="28"/>
        </w:rPr>
        <w:t xml:space="preserve">ORGANIZÁCIE A PREHĽAD  O POSKYTOVANÍ SOCIÁLNEJ </w:t>
      </w:r>
    </w:p>
    <w:p>
      <w:pPr>
        <w:pStyle w:val="Nadpis2"/>
        <w:ind w:left="194" w:right="0" w:hanging="10"/>
        <w:rPr>
          <w:color w:val="C9211E"/>
        </w:rPr>
      </w:pPr>
      <w:r>
        <w:rPr>
          <w:color w:val="C9211E"/>
        </w:rPr>
        <w:t xml:space="preserve">SLUŽBY A O INOM  PREDMETE ČINNOSTI ALEBO PODNIKANIA </w:t>
      </w:r>
    </w:p>
    <w:p>
      <w:pPr>
        <w:pStyle w:val="Normal"/>
        <w:spacing w:before="0" w:after="215"/>
        <w:ind w:right="69" w:hanging="0"/>
        <w:jc w:val="center"/>
        <w:rPr>
          <w:color w:val="C9211E"/>
        </w:rPr>
      </w:pPr>
      <w:r>
        <w:rPr>
          <w:b/>
          <w:color w:val="C9211E"/>
          <w:sz w:val="28"/>
        </w:rPr>
        <w:t xml:space="preserve">VYKONÁVANÝCH V KALENDÁRNOM ROKU </w:t>
      </w:r>
      <w:r>
        <w:rPr>
          <w:color w:val="C9211E"/>
        </w:rPr>
        <w:t xml:space="preserve"> </w:t>
      </w:r>
    </w:p>
    <w:p>
      <w:pPr>
        <w:pStyle w:val="Normal"/>
        <w:spacing w:before="0" w:after="199"/>
        <w:ind w:left="-5" w:right="60" w:hanging="0"/>
        <w:rPr/>
      </w:pPr>
      <w:r>
        <w:rPr/>
        <w:t xml:space="preserve"> </w:t>
      </w:r>
      <w:r>
        <w:rPr/>
        <w:t>Rok 2023 bol tretím rokom existencie neziskovej organizácie.</w:t>
      </w:r>
    </w:p>
    <w:p>
      <w:pPr>
        <w:pStyle w:val="Normal"/>
        <w:spacing w:before="0" w:after="215"/>
        <w:ind w:right="69" w:hanging="0"/>
        <w:jc w:val="center"/>
        <w:rPr>
          <w:color w:val="C9211E"/>
        </w:rPr>
      </w:pPr>
      <w:r>
        <w:rPr>
          <w:b/>
          <w:color w:val="C9211E"/>
          <w:sz w:val="28"/>
        </w:rPr>
        <w:t>AKTIVITY NEZISKOVEJ ORGANIZÁCIE v r. 2023</w:t>
      </w:r>
      <w:r>
        <w:rPr>
          <w:color w:val="C9211E"/>
        </w:rPr>
        <w:t xml:space="preserve"> </w:t>
      </w:r>
    </w:p>
    <w:p>
      <w:pPr>
        <w:pStyle w:val="Normal"/>
        <w:ind w:left="-5" w:right="60" w:hanging="0"/>
        <w:rPr/>
      </w:pPr>
      <w:r>
        <w:rPr/>
        <w:t xml:space="preserve"> </w:t>
      </w:r>
      <w:r>
        <w:rPr/>
        <w:t xml:space="preserve">S klientmi sú vykonávané rôzne druhy činností, ako napríklad: </w:t>
      </w:r>
    </w:p>
    <w:p>
      <w:pPr>
        <w:pStyle w:val="Normal"/>
        <w:ind w:left="-5" w:right="60" w:hanging="0"/>
        <w:rPr/>
      </w:pPr>
      <w:r>
        <w:rPr/>
        <w:t xml:space="preserve"> </w:t>
      </w:r>
      <w:r>
        <w:rPr/>
        <w:t xml:space="preserve">Záujmové činnosti ako je modelovanie, ručné práce – štrikovanie, strihanie, maľovanie, výroba tematických dekoratívnych predmetov (vianočná, veľkonočná výzdoba....) </w:t>
      </w:r>
    </w:p>
    <w:p>
      <w:pPr>
        <w:pStyle w:val="Normal"/>
        <w:ind w:left="-5" w:right="60" w:hanging="0"/>
        <w:rPr/>
      </w:pPr>
      <w:r>
        <w:rPr/>
        <w:t xml:space="preserve"> </w:t>
      </w:r>
      <w:r>
        <w:rPr/>
        <w:t xml:space="preserve">Cvičenia a podpora fyzickej aktivity a jej zachovávanie, denné prechádzky, ktorými zabezpečujeme aj kontakty so širším okolím </w:t>
      </w:r>
    </w:p>
    <w:p>
      <w:pPr>
        <w:pStyle w:val="Normal"/>
        <w:ind w:left="-5" w:right="60" w:hanging="0"/>
        <w:rPr/>
      </w:pPr>
      <w:r>
        <w:rPr/>
        <w:t xml:space="preserve"> </w:t>
      </w:r>
      <w:r>
        <w:rPr/>
        <w:t>Pravidelné koncerty detí, súborov, združení a jednotlivcov v našom zariadení </w:t>
      </w:r>
    </w:p>
    <w:p>
      <w:pPr>
        <w:pStyle w:val="Normal"/>
        <w:ind w:left="-5" w:right="60" w:hanging="0"/>
        <w:rPr/>
      </w:pPr>
      <w:r>
        <w:rPr/>
      </w:r>
    </w:p>
    <w:p>
      <w:pPr>
        <w:pStyle w:val="Normal"/>
        <w:ind w:left="-5" w:right="60" w:hanging="0"/>
        <w:rPr/>
      </w:pPr>
      <w:r>
        <w:rPr/>
      </w:r>
    </w:p>
    <w:p>
      <w:pPr>
        <w:pStyle w:val="Normal"/>
        <w:ind w:left="-5" w:right="60" w:hanging="0"/>
        <w:rPr/>
      </w:pPr>
      <w:r>
        <w:rPr/>
        <w:t xml:space="preserve"> </w:t>
      </w:r>
      <w:r>
        <w:rPr/>
        <w:t xml:space="preserve">Záujmové činnosti ako je modelovanie, ručné práce – štrikovanie, strihanie, maľovanie, výroba tematických dekoratívnych predmetov (vianočná, veľkonočná výzdoba....) </w:t>
      </w:r>
    </w:p>
    <w:p>
      <w:pPr>
        <w:pStyle w:val="Normal"/>
        <w:ind w:left="-5" w:right="60" w:hanging="0"/>
        <w:rPr/>
      </w:pPr>
      <w:r>
        <w:rPr/>
        <w:t xml:space="preserve"> </w:t>
      </w:r>
      <w:r>
        <w:rPr/>
        <w:t xml:space="preserve">Cvičenia a podpora fyzickej aktivity a jej zachovávanie, denné prechádzky, ktorými zabezpečujeme aj kontakty so širším okolím </w:t>
      </w:r>
    </w:p>
    <w:p>
      <w:pPr>
        <w:pStyle w:val="Normal"/>
        <w:ind w:left="-5" w:right="60" w:hanging="0"/>
        <w:rPr/>
      </w:pPr>
      <w:r>
        <w:rPr/>
        <w:t xml:space="preserve"> </w:t>
      </w:r>
      <w:r>
        <w:rPr/>
        <w:t xml:space="preserve">Pravidelné koncerty detí, súborov, združení a jednotlivcov v našom zariadení </w:t>
      </w:r>
    </w:p>
    <w:p>
      <w:pPr>
        <w:pStyle w:val="Normal"/>
        <w:ind w:left="-5" w:right="60" w:hanging="0"/>
        <w:rPr/>
      </w:pPr>
      <w:r>
        <w:rPr/>
        <w:t xml:space="preserve"> </w:t>
      </w:r>
      <w:r>
        <w:rPr/>
        <w:t xml:space="preserve">Aktívna účasť prijímateľov na komunitných trhoch s vlastnoručne vyrobenými výrobkami Výročná správa neziskovej organizácie Zariadenie pre seniorov, Harmonia Chmeľová, n.o. </w:t>
      </w:r>
    </w:p>
    <w:p>
      <w:pPr>
        <w:pStyle w:val="Normal"/>
        <w:ind w:left="-5" w:right="60" w:hanging="0"/>
        <w:rPr/>
      </w:pPr>
      <w:r>
        <w:rPr/>
        <w:t xml:space="preserve"> </w:t>
      </w:r>
      <w:r>
        <w:rPr/>
        <w:t xml:space="preserve">Vychádzky do okolia – Bardejovské Kúpele, Zborov, okolie </w:t>
      </w:r>
    </w:p>
    <w:p>
      <w:pPr>
        <w:pStyle w:val="Normal"/>
        <w:ind w:left="-5" w:right="60" w:hanging="0"/>
        <w:rPr/>
      </w:pPr>
      <w:r>
        <w:rPr/>
        <w:t xml:space="preserve"> </w:t>
      </w:r>
      <w:r>
        <w:rPr/>
        <w:t xml:space="preserve">Oslavy menín, narodenín, životných jubileí prijímateľov </w:t>
      </w:r>
    </w:p>
    <w:p>
      <w:pPr>
        <w:pStyle w:val="Normal"/>
        <w:ind w:left="-5" w:right="60" w:hanging="0"/>
        <w:rPr/>
      </w:pPr>
      <w:r>
        <w:rPr/>
        <w:t xml:space="preserve"> </w:t>
      </w:r>
      <w:r>
        <w:rPr/>
        <w:t xml:space="preserve">Posedenia pri rozhovore na rôzne témy – aktuálne, duchovné ... </w:t>
      </w:r>
    </w:p>
    <w:p>
      <w:pPr>
        <w:pStyle w:val="Normal"/>
        <w:ind w:left="-5" w:right="60" w:hanging="0"/>
        <w:rPr/>
      </w:pPr>
      <w:r>
        <w:rPr/>
        <w:t xml:space="preserve"> </w:t>
      </w:r>
      <w:r>
        <w:rPr/>
        <w:t xml:space="preserve">Spoločenské hry a turnaje </w:t>
      </w:r>
    </w:p>
    <w:p>
      <w:pPr>
        <w:pStyle w:val="Normal"/>
        <w:ind w:left="-5" w:right="60" w:hanging="0"/>
        <w:rPr/>
      </w:pPr>
      <w:r>
        <w:rPr/>
        <w:t xml:space="preserve"> </w:t>
      </w:r>
      <w:r>
        <w:rPr/>
        <w:t xml:space="preserve">Aktivity na cibrenie pamäte, čítanie a počúvanie čítaného, cibrenie pamäte pomocou rôznych kvízov </w:t>
      </w:r>
    </w:p>
    <w:p>
      <w:pPr>
        <w:pStyle w:val="Normal"/>
        <w:ind w:left="-5" w:right="60" w:hanging="0"/>
        <w:rPr/>
      </w:pPr>
      <w:r>
        <w:rPr/>
        <w:t xml:space="preserve"> </w:t>
      </w:r>
      <w:r>
        <w:rPr/>
        <w:t xml:space="preserve">Aktivity a činnosti na prácu s hudbou, knihou </w:t>
      </w:r>
    </w:p>
    <w:p>
      <w:pPr>
        <w:pStyle w:val="Normal"/>
        <w:ind w:left="-5" w:right="60" w:hanging="0"/>
        <w:rPr/>
      </w:pPr>
      <w:r>
        <w:rPr/>
        <w:t xml:space="preserve"> </w:t>
      </w:r>
      <w:r>
        <w:rPr/>
        <w:t xml:space="preserve">Aktivity v komunitách a pod. </w:t>
      </w:r>
    </w:p>
    <w:p>
      <w:pPr>
        <w:pStyle w:val="Normal"/>
        <w:ind w:left="-5" w:right="60" w:hanging="0"/>
        <w:rPr/>
      </w:pPr>
      <w:r>
        <w:rPr/>
        <w:t xml:space="preserve"> </w:t>
      </w:r>
      <w:r>
        <w:rPr/>
        <w:t xml:space="preserve">nezisková organizácie zabezpečovala  : </w:t>
      </w:r>
    </w:p>
    <w:p>
      <w:pPr>
        <w:pStyle w:val="Normal"/>
        <w:ind w:left="-5" w:right="60" w:hanging="0"/>
        <w:rPr/>
      </w:pPr>
      <w:r>
        <w:rPr/>
        <w:t xml:space="preserve">Zmyslová stimulácia pri ktorej sa aktivizujú všetky zmysly pomocou vhodných podnetov, ako sú obrázky, predmety, videá, filmy a klient má určitým spôsobom reagovať na podnety: pomenovať, zopakovať pohyb, slovo, vetu. Vnímanie je pritom základnou mentálnou potrebnou funkciou. Rozvíjanie špecifických funkcií zlepšuje pozornosť, pamäť, orientáciu na tele a v priestore </w:t>
      </w:r>
    </w:p>
    <w:p>
      <w:pPr>
        <w:pStyle w:val="Normal"/>
        <w:numPr>
          <w:ilvl w:val="0"/>
          <w:numId w:val="5"/>
        </w:numPr>
        <w:spacing w:lineRule="auto" w:line="264" w:before="0" w:after="253"/>
        <w:ind w:left="240" w:right="60" w:hanging="240"/>
        <w:jc w:val="both"/>
        <w:rPr/>
      </w:pPr>
      <w:r>
        <w:rPr/>
        <w:t xml:space="preserve">administratívne a manažérske zabezpečenie prevádzky   </w:t>
      </w:r>
    </w:p>
    <w:p>
      <w:pPr>
        <w:pStyle w:val="Normal"/>
        <w:numPr>
          <w:ilvl w:val="0"/>
          <w:numId w:val="5"/>
        </w:numPr>
        <w:spacing w:lineRule="auto" w:line="264" w:before="0" w:after="253"/>
        <w:ind w:left="240" w:right="60" w:hanging="240"/>
        <w:jc w:val="both"/>
        <w:rPr/>
      </w:pPr>
      <w:r>
        <w:rPr/>
        <w:t xml:space="preserve">technické zabezpečenie prevádzky </w:t>
      </w:r>
    </w:p>
    <w:p>
      <w:pPr>
        <w:pStyle w:val="Normal"/>
        <w:numPr>
          <w:ilvl w:val="0"/>
          <w:numId w:val="5"/>
        </w:numPr>
        <w:spacing w:lineRule="auto" w:line="264" w:before="0" w:after="253"/>
        <w:ind w:left="240" w:right="60" w:hanging="240"/>
        <w:jc w:val="both"/>
        <w:rPr/>
      </w:pPr>
      <w:r>
        <w:rPr/>
        <w:t xml:space="preserve">personálne zabezpečenie prevádzky   </w:t>
      </w:r>
    </w:p>
    <w:p>
      <w:pPr>
        <w:pStyle w:val="Normal"/>
        <w:numPr>
          <w:ilvl w:val="0"/>
          <w:numId w:val="5"/>
        </w:numPr>
        <w:spacing w:lineRule="auto" w:line="264" w:before="0" w:after="253"/>
        <w:ind w:left="240" w:right="60" w:hanging="240"/>
        <w:jc w:val="both"/>
        <w:rPr/>
      </w:pPr>
      <w:r>
        <w:rPr/>
        <w:t xml:space="preserve">zabezpečenie vzdelávania personálu   </w:t>
      </w:r>
    </w:p>
    <w:p>
      <w:pPr>
        <w:pStyle w:val="Normal"/>
        <w:numPr>
          <w:ilvl w:val="0"/>
          <w:numId w:val="5"/>
        </w:numPr>
        <w:spacing w:lineRule="auto" w:line="264" w:before="0" w:after="253"/>
        <w:ind w:left="240" w:right="60" w:hanging="240"/>
        <w:jc w:val="both"/>
        <w:rPr/>
      </w:pPr>
      <w:r>
        <w:rPr/>
        <w:t xml:space="preserve">zabezpečovanie financovania prevádzky zariadenia pre seniorov a neziskovej  organizácie </w:t>
      </w:r>
    </w:p>
    <w:p>
      <w:pPr>
        <w:pStyle w:val="Normal"/>
        <w:numPr>
          <w:ilvl w:val="0"/>
          <w:numId w:val="5"/>
        </w:numPr>
        <w:spacing w:lineRule="auto" w:line="264" w:before="0" w:after="253"/>
        <w:ind w:left="240" w:right="60" w:hanging="240"/>
        <w:jc w:val="both"/>
        <w:rPr/>
      </w:pPr>
      <w:r>
        <w:rPr/>
        <w:t xml:space="preserve">zabezpečenie obsadenosti zariadenia </w:t>
      </w:r>
    </w:p>
    <w:p>
      <w:pPr>
        <w:pStyle w:val="Normal"/>
        <w:numPr>
          <w:ilvl w:val="0"/>
          <w:numId w:val="5"/>
        </w:numPr>
        <w:spacing w:lineRule="auto" w:line="264" w:before="0" w:after="253"/>
        <w:ind w:left="240" w:right="60" w:hanging="240"/>
        <w:jc w:val="both"/>
        <w:rPr/>
      </w:pPr>
      <w:r>
        <w:rPr/>
        <w:t xml:space="preserve">realizácia vonkajšieho prostredia pre PSS </w:t>
      </w:r>
    </w:p>
    <w:p>
      <w:pPr>
        <w:pStyle w:val="Normal"/>
        <w:numPr>
          <w:ilvl w:val="0"/>
          <w:numId w:val="5"/>
        </w:numPr>
        <w:spacing w:lineRule="auto" w:line="264" w:before="0" w:after="207"/>
        <w:ind w:left="240" w:right="60" w:hanging="240"/>
        <w:jc w:val="both"/>
        <w:rPr/>
      </w:pPr>
      <w:r>
        <w:rPr/>
        <w:t xml:space="preserve">rekonštrukčné práce v objekte zariadenia </w:t>
      </w:r>
    </w:p>
    <w:p>
      <w:pPr>
        <w:pStyle w:val="Normal"/>
        <w:spacing w:before="0" w:after="0"/>
        <w:rPr/>
      </w:pPr>
      <w:r>
        <w:rPr/>
        <w:t xml:space="preserve"> </w:t>
      </w:r>
    </w:p>
    <w:p>
      <w:pPr>
        <w:pStyle w:val="Normal"/>
        <w:spacing w:before="0" w:after="200"/>
        <w:rPr/>
      </w:pPr>
      <w:r>
        <w:rPr/>
        <w:t xml:space="preserve"> </w:t>
      </w:r>
    </w:p>
    <w:p>
      <w:pPr>
        <w:pStyle w:val="Normal"/>
        <w:spacing w:lineRule="auto" w:line="259" w:before="0" w:after="251"/>
        <w:ind w:left="7" w:right="51" w:hanging="0"/>
        <w:rPr>
          <w:rFonts w:ascii="Calibri" w:hAnsi="Calibri" w:eastAsia="Calibri" w:cs="Calibri"/>
        </w:rPr>
      </w:pPr>
      <w:r>
        <w:rPr>
          <w:rFonts w:eastAsia="Calibri" w:cs="Calibri"/>
        </w:rPr>
      </w:r>
    </w:p>
    <w:p>
      <w:pPr>
        <w:pStyle w:val="Normal"/>
        <w:spacing w:before="0" w:after="182"/>
        <w:ind w:right="2" w:hanging="0"/>
        <w:jc w:val="center"/>
        <w:rPr/>
      </w:pPr>
      <w:r>
        <w:rPr>
          <w:b/>
          <w:sz w:val="28"/>
        </w:rPr>
        <w:t xml:space="preserve"> </w:t>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color w:val="C9211E"/>
        </w:rPr>
      </w:pPr>
      <w:r>
        <w:rPr>
          <w:b/>
          <w:color w:val="C9211E"/>
          <w:sz w:val="28"/>
        </w:rPr>
        <w:t>ĎALŠIE AKTIVITY NEZISKOVEJ ORGANIZÁCIE</w:t>
      </w:r>
      <w:r>
        <w:rPr>
          <w:color w:val="C9211E"/>
        </w:rPr>
        <w:t xml:space="preserve"> </w:t>
      </w:r>
    </w:p>
    <w:p>
      <w:pPr>
        <w:pStyle w:val="Normal"/>
        <w:numPr>
          <w:ilvl w:val="0"/>
          <w:numId w:val="6"/>
        </w:numPr>
        <w:spacing w:lineRule="auto" w:line="264" w:before="0" w:after="173"/>
        <w:ind w:left="240" w:right="60" w:hanging="240"/>
        <w:jc w:val="both"/>
        <w:rPr/>
      </w:pPr>
      <w:r>
        <w:rPr/>
        <w:t>prevádzka webovej stránky</w:t>
      </w:r>
    </w:p>
    <w:p>
      <w:pPr>
        <w:pStyle w:val="Normal"/>
        <w:numPr>
          <w:ilvl w:val="0"/>
          <w:numId w:val="6"/>
        </w:numPr>
        <w:spacing w:lineRule="auto" w:line="264" w:before="0" w:after="165"/>
        <w:ind w:left="240" w:right="60" w:hanging="240"/>
        <w:jc w:val="both"/>
        <w:rPr/>
      </w:pPr>
      <w:r>
        <w:rPr/>
        <w:t xml:space="preserve">zabezpečenie úkonov vo vzťahu k štátnej správe, Ministerstvu práce, sociálnych vecí a rodiny SR a samospráve súvisiacich s prevádzkou zariadenie pre seniorov  </w:t>
      </w:r>
    </w:p>
    <w:p>
      <w:pPr>
        <w:pStyle w:val="Normal"/>
        <w:numPr>
          <w:ilvl w:val="0"/>
          <w:numId w:val="6"/>
        </w:numPr>
        <w:spacing w:lineRule="auto" w:line="264" w:before="0" w:after="127"/>
        <w:ind w:left="240" w:right="60" w:hanging="240"/>
        <w:jc w:val="both"/>
        <w:rPr/>
      </w:pPr>
      <w:r>
        <w:rPr/>
        <w:t>príprava plánu činnosti  na rok 2024</w:t>
      </w:r>
    </w:p>
    <w:p>
      <w:pPr>
        <w:pStyle w:val="Normal"/>
        <w:spacing w:lineRule="auto" w:line="264" w:before="0" w:after="127"/>
        <w:ind w:left="240" w:right="60" w:hanging="240"/>
        <w:jc w:val="both"/>
        <w:rPr/>
      </w:pPr>
      <w:r>
        <w:rPr/>
      </w:r>
    </w:p>
    <w:p>
      <w:pPr>
        <w:pStyle w:val="Normal"/>
        <w:spacing w:lineRule="auto" w:line="264" w:before="0" w:after="127"/>
        <w:ind w:left="240" w:right="60" w:hanging="240"/>
        <w:jc w:val="both"/>
        <w:rPr/>
      </w:pPr>
      <w:r>
        <w:rPr/>
      </w:r>
    </w:p>
    <w:p>
      <w:pPr>
        <w:pStyle w:val="Normal"/>
        <w:spacing w:lineRule="auto" w:line="264" w:before="0" w:after="127"/>
        <w:ind w:left="240" w:right="60" w:hanging="240"/>
        <w:jc w:val="both"/>
        <w:rPr/>
      </w:pPr>
      <w:r>
        <w:rPr/>
      </w:r>
    </w:p>
    <w:p>
      <w:pPr>
        <w:pStyle w:val="Normal"/>
        <w:spacing w:before="0" w:after="54"/>
        <w:ind w:right="78" w:hanging="0"/>
        <w:jc w:val="center"/>
        <w:rPr/>
      </w:pPr>
      <w:r>
        <w:rPr>
          <w:b/>
          <w:color w:val="C9211E"/>
          <w:sz w:val="28"/>
        </w:rPr>
        <w:t xml:space="preserve">PRE ĎALŠIE OBDOBIE, T.J.  ROK 2024 BOLI STANOVENÉ </w:t>
      </w:r>
    </w:p>
    <w:p>
      <w:pPr>
        <w:pStyle w:val="Normal"/>
        <w:spacing w:before="0" w:after="215"/>
        <w:ind w:right="76" w:hanging="0"/>
        <w:jc w:val="center"/>
        <w:rPr>
          <w:color w:val="C9211E"/>
        </w:rPr>
      </w:pPr>
      <w:r>
        <w:rPr>
          <w:b/>
          <w:color w:val="C9211E"/>
          <w:sz w:val="28"/>
        </w:rPr>
        <w:t>NASLEDOVNÉ CIELE A ÚLOHY</w:t>
      </w:r>
      <w:r>
        <w:rPr>
          <w:color w:val="C9211E"/>
        </w:rPr>
        <w:t xml:space="preserve"> </w:t>
      </w:r>
    </w:p>
    <w:p>
      <w:pPr>
        <w:pStyle w:val="Normal"/>
        <w:numPr>
          <w:ilvl w:val="0"/>
          <w:numId w:val="7"/>
        </w:numPr>
        <w:spacing w:lineRule="auto" w:line="264" w:before="0" w:after="127"/>
        <w:ind w:left="240" w:right="60" w:hanging="240"/>
        <w:jc w:val="both"/>
        <w:rPr/>
      </w:pPr>
      <w:r>
        <w:rPr/>
        <w:t xml:space="preserve">Organizačne a legislatívne naďalej zabezpečovať chod a prevádzku zariadenia. </w:t>
      </w:r>
    </w:p>
    <w:p>
      <w:pPr>
        <w:pStyle w:val="Normal"/>
        <w:numPr>
          <w:ilvl w:val="0"/>
          <w:numId w:val="7"/>
        </w:numPr>
        <w:spacing w:lineRule="auto" w:line="264" w:before="0" w:after="178"/>
        <w:ind w:left="240" w:right="60" w:hanging="240"/>
        <w:jc w:val="both"/>
        <w:rPr/>
      </w:pPr>
      <w:r>
        <w:rPr/>
        <w:t>Údržba  plôch , a zveľadenie okolia</w:t>
      </w:r>
    </w:p>
    <w:p>
      <w:pPr>
        <w:pStyle w:val="Normal"/>
        <w:numPr>
          <w:ilvl w:val="0"/>
          <w:numId w:val="7"/>
        </w:numPr>
        <w:spacing w:lineRule="auto" w:line="264" w:before="0" w:after="174"/>
        <w:ind w:left="240" w:right="60" w:hanging="240"/>
        <w:jc w:val="both"/>
        <w:rPr/>
      </w:pPr>
      <w:r>
        <w:rPr/>
        <w:t xml:space="preserve">Príprava úprav časti nášho okolia, kde vzniknú miesta pre relax, oddychové zóny.      </w:t>
      </w:r>
    </w:p>
    <w:p>
      <w:pPr>
        <w:pStyle w:val="Normal"/>
        <w:numPr>
          <w:ilvl w:val="0"/>
          <w:numId w:val="7"/>
        </w:numPr>
        <w:spacing w:lineRule="auto" w:line="264" w:before="0" w:after="169"/>
        <w:ind w:left="240" w:right="60" w:hanging="240"/>
        <w:jc w:val="both"/>
        <w:rPr/>
      </w:pPr>
      <w:r>
        <w:rPr/>
        <w:t xml:space="preserve">Realizácia stavebných úprav </w:t>
      </w:r>
    </w:p>
    <w:p>
      <w:pPr>
        <w:pStyle w:val="Normal"/>
        <w:numPr>
          <w:ilvl w:val="0"/>
          <w:numId w:val="7"/>
        </w:numPr>
        <w:spacing w:lineRule="auto" w:line="264" w:before="0" w:after="118"/>
        <w:ind w:left="240" w:right="60" w:hanging="240"/>
        <w:jc w:val="both"/>
        <w:rPr/>
      </w:pPr>
      <w:r>
        <w:rPr/>
        <w:t xml:space="preserve">Spolupráca s Mestom Prešov a mestami v SR v oblasti poskytovania sociálnej služby pre ich  občanov. Pôjde hlavne o občanov, ktorí sú sociálne slabí a potrebujú pomoc so zabezpečením dôstojného života.  </w:t>
      </w:r>
    </w:p>
    <w:p>
      <w:pPr>
        <w:pStyle w:val="Normal"/>
        <w:numPr>
          <w:ilvl w:val="0"/>
          <w:numId w:val="7"/>
        </w:numPr>
        <w:spacing w:lineRule="auto" w:line="264" w:before="0" w:after="198"/>
        <w:ind w:left="240" w:right="60" w:hanging="240"/>
        <w:jc w:val="both"/>
        <w:rPr/>
      </w:pPr>
      <w:r>
        <w:rPr/>
        <w:t xml:space="preserve">Zabezpečenie individuálnej, ale aj skupinovej práce s našimi prijímateľmi sociálnych služieb ( PSS). </w:t>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216"/>
        <w:rPr/>
      </w:pPr>
      <w:r>
        <w:rPr/>
        <w:t xml:space="preserve"> </w:t>
      </w:r>
    </w:p>
    <w:p>
      <w:pPr>
        <w:pStyle w:val="Normal"/>
        <w:spacing w:before="0" w:after="220"/>
        <w:rPr/>
      </w:pPr>
      <w:r>
        <w:rPr/>
        <w:t xml:space="preserve"> </w:t>
      </w:r>
    </w:p>
    <w:p>
      <w:pPr>
        <w:pStyle w:val="Normal"/>
        <w:spacing w:before="0" w:after="216"/>
        <w:rPr/>
      </w:pPr>
      <w:r>
        <w:rPr/>
        <w:t xml:space="preserve"> </w:t>
      </w:r>
    </w:p>
    <w:p>
      <w:pPr>
        <w:pStyle w:val="Normal"/>
        <w:spacing w:before="0" w:after="0"/>
        <w:rPr/>
      </w:pPr>
      <w:r>
        <w:rPr/>
        <w:t xml:space="preserve"> </w:t>
      </w:r>
    </w:p>
    <w:p>
      <w:pPr>
        <w:pStyle w:val="Normal"/>
        <w:spacing w:before="0" w:after="169"/>
        <w:ind w:right="2" w:hanging="0"/>
        <w:jc w:val="center"/>
        <w:rPr>
          <w:b/>
          <w:sz w:val="28"/>
        </w:rPr>
      </w:pPr>
      <w:r>
        <w:rPr>
          <w:b/>
          <w:sz w:val="28"/>
        </w:rPr>
      </w:r>
    </w:p>
    <w:p>
      <w:pPr>
        <w:pStyle w:val="Normal"/>
        <w:spacing w:before="0" w:after="169"/>
        <w:ind w:right="2" w:hanging="0"/>
        <w:jc w:val="center"/>
        <w:rPr/>
      </w:pPr>
      <w:r>
        <w:rPr>
          <w:b/>
          <w:sz w:val="28"/>
        </w:rPr>
        <w:t xml:space="preserve"> </w:t>
      </w:r>
      <w:r>
        <w:rPr>
          <w:b/>
          <w:sz w:val="28"/>
        </w:rPr>
        <w:t>3</w:t>
      </w:r>
      <w:r>
        <w:rPr/>
        <w:t>.</w:t>
      </w:r>
      <w:r>
        <w:rPr>
          <w:b/>
          <w:sz w:val="28"/>
        </w:rPr>
        <w:t xml:space="preserve"> </w:t>
      </w:r>
    </w:p>
    <w:p>
      <w:pPr>
        <w:pStyle w:val="Normal"/>
        <w:spacing w:before="0" w:after="215"/>
        <w:ind w:right="69" w:hanging="0"/>
        <w:jc w:val="center"/>
        <w:rPr>
          <w:color w:val="C9211E"/>
        </w:rPr>
      </w:pPr>
      <w:r>
        <w:rPr>
          <w:b/>
          <w:color w:val="C9211E"/>
          <w:sz w:val="28"/>
        </w:rPr>
        <w:t>HOSPODÁRENIE</w:t>
      </w:r>
      <w:r>
        <w:rPr>
          <w:color w:val="C9211E"/>
        </w:rPr>
        <w:t xml:space="preserve"> </w:t>
      </w:r>
    </w:p>
    <w:p>
      <w:pPr>
        <w:pStyle w:val="Normal"/>
        <w:spacing w:before="0" w:after="46"/>
        <w:ind w:left="-5" w:right="60" w:hanging="0"/>
        <w:rPr/>
      </w:pPr>
      <w:r>
        <w:rPr/>
        <w:t xml:space="preserve"> </w:t>
      </w:r>
      <w:r>
        <w:rPr/>
        <w:t xml:space="preserve">Hospodárenie neziskovej organizácie v roku 2023 vyplýva z riadnej účtovnej závierky za obdobie roku 2023, ktorá je prílohou tejto výročnej správy </w:t>
      </w:r>
      <w:r>
        <w:rPr>
          <w:b/>
        </w:rPr>
        <w:t>(príloha č.1).</w:t>
      </w:r>
      <w:r>
        <w:rPr/>
        <w:t xml:space="preserve"> </w:t>
      </w:r>
    </w:p>
    <w:p>
      <w:pPr>
        <w:pStyle w:val="Normal"/>
        <w:spacing w:before="0" w:after="20"/>
        <w:rPr/>
      </w:pPr>
      <w:r>
        <w:rPr/>
        <w:t xml:space="preserve"> </w:t>
      </w:r>
    </w:p>
    <w:p>
      <w:pPr>
        <w:pStyle w:val="Normal"/>
        <w:spacing w:before="0" w:after="64"/>
        <w:rPr/>
      </w:pPr>
      <w:r>
        <w:rPr/>
        <w:t xml:space="preserve"> </w:t>
      </w:r>
    </w:p>
    <w:p>
      <w:pPr>
        <w:pStyle w:val="Normal"/>
        <w:spacing w:before="0" w:after="0"/>
        <w:ind w:right="68" w:hanging="0"/>
        <w:jc w:val="center"/>
        <w:rPr/>
      </w:pPr>
      <w:r>
        <w:rPr>
          <w:b/>
          <w:sz w:val="28"/>
        </w:rPr>
        <w:t>4.</w:t>
      </w:r>
      <w:r>
        <w:rPr/>
        <w:t xml:space="preserve"> </w:t>
      </w:r>
    </w:p>
    <w:p>
      <w:pPr>
        <w:pStyle w:val="Normal"/>
        <w:spacing w:before="0" w:after="56"/>
        <w:ind w:right="10" w:hanging="0"/>
        <w:jc w:val="center"/>
        <w:rPr/>
      </w:pPr>
      <w:r>
        <w:rPr/>
        <w:t xml:space="preserve"> </w:t>
      </w:r>
    </w:p>
    <w:p>
      <w:pPr>
        <w:pStyle w:val="Normal"/>
        <w:spacing w:before="0" w:after="166"/>
        <w:jc w:val="center"/>
        <w:rPr>
          <w:color w:val="C9211E"/>
        </w:rPr>
      </w:pPr>
      <w:r>
        <w:rPr>
          <w:b/>
          <w:color w:val="C9211E"/>
          <w:sz w:val="28"/>
        </w:rPr>
        <w:t>ROČNÁ ÚČTOVNÁ ZÁVIERKA A ZHODNOTENIE ZÁKLADNÝCH ÚDAJOV V NEJ OBSIAHNUTÝCH</w:t>
      </w:r>
      <w:r>
        <w:rPr>
          <w:color w:val="C9211E"/>
        </w:rPr>
        <w:t xml:space="preserve"> </w:t>
      </w:r>
    </w:p>
    <w:p>
      <w:pPr>
        <w:pStyle w:val="Normal"/>
        <w:spacing w:before="0" w:after="263"/>
        <w:ind w:right="10" w:hanging="0"/>
        <w:jc w:val="center"/>
        <w:rPr/>
      </w:pPr>
      <w:r>
        <w:rPr/>
        <w:t xml:space="preserve"> </w:t>
      </w:r>
    </w:p>
    <w:p>
      <w:pPr>
        <w:pStyle w:val="Normal"/>
        <w:ind w:left="-5" w:right="60" w:hanging="0"/>
        <w:rPr/>
      </w:pPr>
      <w:r>
        <w:rPr/>
        <w:t xml:space="preserve"> </w:t>
      </w:r>
      <w:r>
        <w:rPr/>
        <w:t xml:space="preserve">Riadna účtovná závierka neziskovej účtovnej jednotky za účtovné obdobie od 01.01. 2023 do 31.12.2023 zostavená dňa 06.03.2023 je prílohou č. 1 tejto Výročnej správy. </w:t>
      </w:r>
    </w:p>
    <w:p>
      <w:pPr>
        <w:pStyle w:val="Normal"/>
        <w:spacing w:before="0" w:after="189"/>
        <w:ind w:left="-5" w:right="60" w:hanging="0"/>
        <w:rPr/>
      </w:pPr>
      <w:r>
        <w:rPr/>
        <w:t xml:space="preserve"> </w:t>
      </w:r>
      <w:r>
        <w:rPr/>
        <w:t xml:space="preserve">Nezisková organizácia vykázala celkový výsledok hospodárenia - stratu vo výške      46 508,79 EUR, a to výlučne zo svojej hlavnej činnosti. Nezisková organizácia nevykonávala podnikateľskú činnosť. </w:t>
      </w:r>
      <w:r>
        <w:rPr>
          <w:b/>
          <w:sz w:val="28"/>
        </w:rPr>
        <w:t xml:space="preserve"> </w:t>
      </w:r>
    </w:p>
    <w:p>
      <w:pPr>
        <w:pStyle w:val="Normal"/>
        <w:spacing w:before="0" w:after="221"/>
        <w:rPr/>
      </w:pPr>
      <w:r>
        <w:rPr>
          <w:b/>
          <w:sz w:val="28"/>
        </w:rPr>
        <w:t xml:space="preserve"> </w:t>
      </w:r>
    </w:p>
    <w:p>
      <w:pPr>
        <w:pStyle w:val="Normal"/>
        <w:spacing w:before="0" w:after="215"/>
        <w:ind w:left="302" w:hanging="0"/>
        <w:jc w:val="center"/>
        <w:rPr/>
      </w:pPr>
      <w:r>
        <w:rPr>
          <w:b/>
          <w:sz w:val="28"/>
        </w:rPr>
        <w:t xml:space="preserve">5. </w:t>
      </w:r>
    </w:p>
    <w:p>
      <w:pPr>
        <w:pStyle w:val="Normal"/>
        <w:spacing w:before="0" w:after="10"/>
        <w:jc w:val="center"/>
        <w:rPr>
          <w:color w:val="C9211E"/>
        </w:rPr>
      </w:pPr>
      <w:r>
        <w:rPr>
          <w:b/>
          <w:color w:val="C9211E"/>
          <w:sz w:val="28"/>
        </w:rPr>
        <w:t>PREHĽAD ROZSAHU PRÍJMOV ( VÝNOSOV ) V ČLENENÍ PODĽA ZDROJOV</w:t>
      </w:r>
      <w:r>
        <w:rPr>
          <w:b/>
          <w:color w:val="C9211E"/>
        </w:rPr>
        <w:t xml:space="preserve"> </w:t>
      </w:r>
    </w:p>
    <w:p>
      <w:pPr>
        <w:pStyle w:val="Normal"/>
        <w:spacing w:before="0" w:after="0"/>
        <w:ind w:right="15" w:hanging="0"/>
        <w:jc w:val="center"/>
        <w:rPr/>
      </w:pPr>
      <w:r>
        <w:rPr>
          <w:b/>
        </w:rPr>
        <w:t xml:space="preserve"> </w:t>
      </w:r>
    </w:p>
    <w:tbl>
      <w:tblPr>
        <w:tblStyle w:val="TableGrid"/>
        <w:tblW w:w="9111" w:type="dxa"/>
        <w:jc w:val="left"/>
        <w:tblInd w:w="-127" w:type="dxa"/>
        <w:tblLayout w:type="fixed"/>
        <w:tblCellMar>
          <w:top w:w="8" w:type="dxa"/>
          <w:left w:w="3" w:type="dxa"/>
          <w:bottom w:w="0" w:type="dxa"/>
          <w:right w:w="3" w:type="dxa"/>
        </w:tblCellMar>
        <w:tblLook w:firstRow="1" w:noVBand="1" w:lastRow="0" w:firstColumn="1" w:lastColumn="0" w:noHBand="0" w:val="04a0"/>
      </w:tblPr>
      <w:tblGrid>
        <w:gridCol w:w="4531"/>
        <w:gridCol w:w="4579"/>
      </w:tblGrid>
      <w:tr>
        <w:trPr>
          <w:trHeight w:val="520" w:hRule="atLeast"/>
        </w:trPr>
        <w:tc>
          <w:tcPr>
            <w:tcW w:w="4531" w:type="dxa"/>
            <w:tcBorders>
              <w:top w:val="single" w:sz="2" w:space="0" w:color="000000"/>
              <w:left w:val="single" w:sz="2" w:space="0" w:color="000000"/>
              <w:bottom w:val="single" w:sz="2" w:space="0" w:color="000000"/>
              <w:right w:val="single" w:sz="2" w:space="0" w:color="000000"/>
            </w:tcBorders>
            <w:shd w:color="auto" w:fill="D9E2F3" w:val="clear"/>
          </w:tcPr>
          <w:p>
            <w:pPr>
              <w:pStyle w:val="Normal"/>
              <w:widowControl w:val="false"/>
              <w:suppressAutoHyphens w:val="true"/>
              <w:spacing w:lineRule="auto" w:line="259" w:before="0" w:after="0"/>
              <w:jc w:val="left"/>
              <w:rPr>
                <w:rFonts w:ascii="Calibri" w:hAnsi="Calibri" w:eastAsia=""/>
                <w:kern w:val="0"/>
                <w:sz w:val="22"/>
                <w:szCs w:val="22"/>
                <w:lang w:val="sk-SK" w:eastAsia="sk-SK" w:bidi="ar-SA"/>
              </w:rPr>
            </w:pPr>
            <w:r>
              <w:rPr>
                <w:rFonts w:eastAsia="" w:cs=""/>
                <w:b/>
                <w:kern w:val="0"/>
                <w:sz w:val="22"/>
                <w:szCs w:val="22"/>
                <w:lang w:val="sk-SK" w:eastAsia="sk-SK" w:bidi="ar-SA"/>
              </w:rPr>
              <w:t>Peňažné príjmy neziskovej organizácie</w:t>
            </w:r>
            <w:r>
              <w:rPr>
                <w:rFonts w:eastAsia="" w:cs="Calibri"/>
                <w:kern w:val="0"/>
                <w:sz w:val="22"/>
                <w:szCs w:val="22"/>
                <w:lang w:val="sk-SK" w:eastAsia="sk-SK" w:bidi="ar-SA"/>
              </w:rPr>
              <w:t xml:space="preserve"> </w:t>
            </w:r>
          </w:p>
        </w:tc>
        <w:tc>
          <w:tcPr>
            <w:tcW w:w="4579" w:type="dxa"/>
            <w:tcBorders>
              <w:top w:val="single" w:sz="4" w:space="0" w:color="FFFFFF"/>
              <w:left w:val="single" w:sz="2" w:space="0" w:color="000000"/>
              <w:bottom w:val="single" w:sz="2" w:space="0" w:color="000000"/>
            </w:tcBorders>
          </w:tcPr>
          <w:p>
            <w:pPr>
              <w:pStyle w:val="Normal"/>
              <w:widowControl w:val="false"/>
              <w:suppressAutoHyphens w:val="true"/>
              <w:spacing w:lineRule="auto" w:line="259" w:before="0" w:after="0"/>
              <w:ind w:right="-9" w:hanging="0"/>
              <w:jc w:val="left"/>
              <w:rPr>
                <w:kern w:val="0"/>
                <w:sz w:val="22"/>
                <w:szCs w:val="22"/>
                <w:lang w:val="sk-SK" w:eastAsia="sk-SK" w:bidi="ar-SA"/>
              </w:rPr>
            </w:pPr>
            <w:r>
              <w:rPr>
                <w:rFonts w:eastAsia="Calibri" w:cs="Calibri"/>
                <w:kern w:val="0"/>
                <w:sz w:val="22"/>
                <w:szCs w:val="22"/>
                <w:lang w:val="sk-SK" w:eastAsia="sk-SK" w:bidi="ar-SA"/>
              </w:rPr>
              <w:t xml:space="preserve"> </w:t>
            </w:r>
            <w:r>
              <w:rPr>
                <w:rFonts w:eastAsia="Calibri" w:cs="Calibri"/>
                <w:kern w:val="0"/>
                <w:sz w:val="22"/>
                <w:szCs w:val="22"/>
                <w:lang w:val="sk-SK" w:eastAsia="sk-SK" w:bidi="ar-SA"/>
              </w:rPr>
              <w:tab/>
              <w:t xml:space="preserve"> </w:t>
            </w:r>
          </w:p>
        </w:tc>
      </w:tr>
      <w:tr>
        <w:trPr>
          <w:trHeight w:val="277" w:hRule="atLeast"/>
        </w:trPr>
        <w:tc>
          <w:tcPr>
            <w:tcW w:w="4531" w:type="dxa"/>
            <w:tcBorders>
              <w:top w:val="single" w:sz="2" w:space="0" w:color="000000"/>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2293"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Príjmy od klientov zariadenia za služby </w:t>
            </w:r>
          </w:p>
        </w:tc>
        <w:tc>
          <w:tcPr>
            <w:tcW w:w="4579" w:type="dxa"/>
            <w:tcBorders>
              <w:top w:val="single" w:sz="2"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4" w:hanging="0"/>
              <w:jc w:val="right"/>
              <w:rPr>
                <w:rFonts w:ascii="Calibri" w:hAnsi="Calibri" w:eastAsia="" w:cs=""/>
                <w:kern w:val="0"/>
                <w:szCs w:val="22"/>
                <w:lang w:val="sk-SK" w:eastAsia="sk-SK" w:bidi="ar-SA"/>
              </w:rPr>
            </w:pPr>
            <w:r>
              <w:rPr>
                <w:rFonts w:eastAsia="" w:cs=""/>
                <w:kern w:val="0"/>
                <w:sz w:val="20"/>
                <w:szCs w:val="22"/>
                <w:lang w:val="sk-SK" w:eastAsia="sk-SK" w:bidi="ar-SA"/>
              </w:rPr>
              <w:t>117 149,45 EUR</w:t>
            </w:r>
          </w:p>
        </w:tc>
      </w:tr>
      <w:tr>
        <w:trPr>
          <w:trHeight w:val="276" w:hRule="atLeast"/>
        </w:trPr>
        <w:tc>
          <w:tcPr>
            <w:tcW w:w="4531"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1284"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Prijaté dotácie </w:t>
            </w:r>
          </w:p>
        </w:tc>
        <w:tc>
          <w:tcPr>
            <w:tcW w:w="4579"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4"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 </w:t>
            </w:r>
            <w:r>
              <w:rPr>
                <w:rFonts w:eastAsia="" w:cs=""/>
                <w:kern w:val="0"/>
                <w:sz w:val="20"/>
                <w:szCs w:val="22"/>
                <w:lang w:val="sk-SK" w:eastAsia="sk-SK" w:bidi="ar-SA"/>
              </w:rPr>
              <w:t>EUR</w:t>
            </w:r>
          </w:p>
        </w:tc>
      </w:tr>
      <w:tr>
        <w:trPr>
          <w:trHeight w:val="280" w:hRule="atLeast"/>
        </w:trPr>
        <w:tc>
          <w:tcPr>
            <w:tcW w:w="4531" w:type="dxa"/>
            <w:tcBorders>
              <w:top w:val="single" w:sz="2" w:space="0" w:color="FFFFFF"/>
              <w:left w:val="single" w:sz="2" w:space="0" w:color="000000"/>
              <w:bottom w:val="single" w:sz="2" w:space="0" w:color="DBE5F1"/>
              <w:right w:val="single" w:sz="2" w:space="0" w:color="000000"/>
            </w:tcBorders>
          </w:tcPr>
          <w:p>
            <w:pPr>
              <w:pStyle w:val="Normal"/>
              <w:widowControl w:val="false"/>
              <w:tabs>
                <w:tab w:val="clear" w:pos="708"/>
                <w:tab w:val="center" w:pos="400" w:leader="none"/>
                <w:tab w:val="center" w:pos="1012"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Ostatné </w:t>
            </w:r>
          </w:p>
        </w:tc>
        <w:tc>
          <w:tcPr>
            <w:tcW w:w="4579" w:type="dxa"/>
            <w:tcBorders>
              <w:top w:val="single" w:sz="2" w:space="0" w:color="FFFFFF"/>
              <w:left w:val="single" w:sz="2" w:space="0" w:color="000000"/>
              <w:bottom w:val="single" w:sz="2" w:space="0" w:color="DBE5F1"/>
              <w:right w:val="single" w:sz="2" w:space="0" w:color="000000"/>
            </w:tcBorders>
          </w:tcPr>
          <w:p>
            <w:pPr>
              <w:pStyle w:val="Normal"/>
              <w:widowControl w:val="false"/>
              <w:suppressAutoHyphens w:val="true"/>
              <w:spacing w:lineRule="auto" w:line="259" w:before="0" w:after="0"/>
              <w:ind w:right="4"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3192,00EUR </w:t>
            </w:r>
          </w:p>
        </w:tc>
      </w:tr>
      <w:tr>
        <w:trPr>
          <w:trHeight w:val="283" w:hRule="atLeast"/>
        </w:trPr>
        <w:tc>
          <w:tcPr>
            <w:tcW w:w="4531" w:type="dxa"/>
            <w:tcBorders>
              <w:top w:val="single" w:sz="2" w:space="0" w:color="DBE5F1"/>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left="720"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SPOLU </w:t>
            </w:r>
          </w:p>
        </w:tc>
        <w:tc>
          <w:tcPr>
            <w:tcW w:w="4579" w:type="dxa"/>
            <w:tcBorders>
              <w:top w:val="single" w:sz="2" w:space="0" w:color="DBE5F1"/>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right="9" w:hanging="0"/>
              <w:jc w:val="right"/>
              <w:rPr>
                <w:rFonts w:ascii="Calibri" w:hAnsi="Calibri" w:eastAsia="" w:cs=""/>
                <w:kern w:val="0"/>
                <w:sz w:val="22"/>
                <w:szCs w:val="22"/>
                <w:lang w:val="sk-SK" w:eastAsia="sk-SK" w:bidi="ar-SA"/>
              </w:rPr>
            </w:pPr>
            <w:r>
              <w:rPr>
                <w:rFonts w:eastAsia="" w:cs=""/>
                <w:b/>
                <w:kern w:val="0"/>
                <w:sz w:val="22"/>
                <w:szCs w:val="22"/>
                <w:lang w:val="sk-SK" w:eastAsia="sk-SK" w:bidi="ar-SA"/>
              </w:rPr>
              <w:t>120 341,45EUR</w:t>
            </w:r>
          </w:p>
        </w:tc>
      </w:tr>
    </w:tbl>
    <w:p>
      <w:pPr>
        <w:pStyle w:val="Normal"/>
        <w:spacing w:before="0" w:after="175"/>
        <w:ind w:right="45" w:hanging="0"/>
        <w:jc w:val="center"/>
        <w:rPr/>
      </w:pPr>
      <w:r>
        <w:rPr>
          <w:b/>
          <w:sz w:val="10"/>
        </w:rPr>
        <w:t xml:space="preserve"> </w:t>
      </w:r>
    </w:p>
    <w:p>
      <w:pPr>
        <w:pStyle w:val="Normal"/>
        <w:spacing w:before="0" w:after="0"/>
        <w:jc w:val="center"/>
        <w:rPr/>
      </w:pPr>
      <w:r>
        <w:rPr>
          <w:b/>
          <w:sz w:val="28"/>
        </w:rPr>
        <w:t xml:space="preserve"> </w:t>
      </w:r>
    </w:p>
    <w:p>
      <w:pPr>
        <w:pStyle w:val="Normal"/>
        <w:spacing w:before="0" w:after="0"/>
        <w:rPr/>
      </w:pPr>
      <w:r>
        <w:rPr/>
        <w:t xml:space="preserve"> </w:t>
      </w:r>
    </w:p>
    <w:p>
      <w:pPr>
        <w:pStyle w:val="Normal"/>
        <w:spacing w:lineRule="auto" w:line="259" w:before="0" w:after="251"/>
        <w:ind w:left="7" w:right="51" w:hanging="0"/>
        <w:rPr/>
      </w:pPr>
      <w:r>
        <w:rPr/>
        <w:t>________________________________________________________________________________</w:t>
      </w:r>
      <w:r>
        <w:rPr>
          <w:rFonts w:eastAsia="Calibri" w:cs="Calibri"/>
        </w:rPr>
        <w:t xml:space="preserve"> </w:t>
      </w:r>
    </w:p>
    <w:p>
      <w:pPr>
        <w:pStyle w:val="Normal"/>
        <w:spacing w:before="0" w:after="162"/>
        <w:ind w:right="2" w:hanging="0"/>
        <w:jc w:val="center"/>
        <w:rPr>
          <w:b/>
          <w:sz w:val="28"/>
        </w:rPr>
      </w:pPr>
      <w:r>
        <w:rPr>
          <w:b/>
          <w:sz w:val="28"/>
        </w:rPr>
      </w:r>
    </w:p>
    <w:p>
      <w:pPr>
        <w:pStyle w:val="Normal"/>
        <w:spacing w:before="0" w:after="162"/>
        <w:ind w:right="2" w:hanging="0"/>
        <w:jc w:val="center"/>
        <w:rPr>
          <w:b/>
          <w:sz w:val="28"/>
        </w:rPr>
      </w:pPr>
      <w:r>
        <w:rPr>
          <w:b/>
          <w:sz w:val="28"/>
        </w:rPr>
      </w:r>
    </w:p>
    <w:p>
      <w:pPr>
        <w:pStyle w:val="Normal"/>
        <w:spacing w:before="0" w:after="162"/>
        <w:ind w:right="2" w:hanging="0"/>
        <w:jc w:val="center"/>
        <w:rPr>
          <w:b/>
          <w:sz w:val="28"/>
        </w:rPr>
      </w:pPr>
      <w:r>
        <w:rPr>
          <w:b/>
          <w:sz w:val="28"/>
        </w:rPr>
      </w:r>
    </w:p>
    <w:p>
      <w:pPr>
        <w:pStyle w:val="Normal"/>
        <w:spacing w:before="0" w:after="162"/>
        <w:ind w:right="2" w:hanging="0"/>
        <w:jc w:val="center"/>
        <w:rPr>
          <w:b/>
          <w:sz w:val="28"/>
        </w:rPr>
      </w:pPr>
      <w:r>
        <w:rPr>
          <w:b/>
          <w:sz w:val="28"/>
        </w:rPr>
      </w:r>
    </w:p>
    <w:p>
      <w:pPr>
        <w:pStyle w:val="Normal"/>
        <w:spacing w:before="0" w:after="162"/>
        <w:ind w:right="2" w:hanging="0"/>
        <w:jc w:val="center"/>
        <w:rPr/>
      </w:pPr>
      <w:r>
        <w:rPr>
          <w:b/>
          <w:sz w:val="28"/>
        </w:rPr>
        <w:t xml:space="preserve"> </w:t>
      </w:r>
    </w:p>
    <w:p>
      <w:pPr>
        <w:pStyle w:val="Normal"/>
        <w:spacing w:before="0" w:after="270"/>
        <w:ind w:right="68" w:hanging="0"/>
        <w:jc w:val="center"/>
        <w:rPr/>
      </w:pPr>
      <w:r>
        <w:rPr>
          <w:b/>
          <w:sz w:val="28"/>
        </w:rPr>
        <w:t xml:space="preserve">6. </w:t>
      </w:r>
    </w:p>
    <w:p>
      <w:pPr>
        <w:pStyle w:val="Normal"/>
        <w:spacing w:before="0" w:after="151"/>
        <w:ind w:right="70" w:hanging="0"/>
        <w:jc w:val="center"/>
        <w:rPr>
          <w:color w:val="C9211E"/>
        </w:rPr>
      </w:pPr>
      <w:r>
        <w:rPr>
          <w:b/>
          <w:color w:val="C9211E"/>
          <w:sz w:val="28"/>
        </w:rPr>
        <w:t xml:space="preserve">PREHĽAD O PEŇAŽNÝCH PRÍJMOCH A VÝDAVKOCH </w:t>
      </w:r>
    </w:p>
    <w:p>
      <w:pPr>
        <w:pStyle w:val="Normal"/>
        <w:spacing w:before="0" w:after="0"/>
        <w:ind w:right="15" w:hanging="0"/>
        <w:jc w:val="center"/>
        <w:rPr/>
      </w:pPr>
      <w:r>
        <w:rPr>
          <w:b/>
        </w:rPr>
        <w:t xml:space="preserve"> </w:t>
      </w:r>
    </w:p>
    <w:tbl>
      <w:tblPr>
        <w:tblStyle w:val="TableGrid"/>
        <w:tblW w:w="9111" w:type="dxa"/>
        <w:jc w:val="left"/>
        <w:tblInd w:w="-131" w:type="dxa"/>
        <w:tblLayout w:type="fixed"/>
        <w:tblCellMar>
          <w:top w:w="9" w:type="dxa"/>
          <w:left w:w="3" w:type="dxa"/>
          <w:bottom w:w="0" w:type="dxa"/>
          <w:right w:w="3" w:type="dxa"/>
        </w:tblCellMar>
        <w:tblLook w:firstRow="1" w:noVBand="1" w:lastRow="0" w:firstColumn="1" w:lastColumn="0" w:noHBand="0" w:val="04a0"/>
      </w:tblPr>
      <w:tblGrid>
        <w:gridCol w:w="4533"/>
        <w:gridCol w:w="4577"/>
      </w:tblGrid>
      <w:tr>
        <w:trPr>
          <w:trHeight w:val="519" w:hRule="atLeast"/>
        </w:trPr>
        <w:tc>
          <w:tcPr>
            <w:tcW w:w="4533" w:type="dxa"/>
            <w:tcBorders>
              <w:top w:val="single" w:sz="2" w:space="0" w:color="000000"/>
              <w:left w:val="single" w:sz="2" w:space="0" w:color="000000"/>
              <w:bottom w:val="single" w:sz="2" w:space="0" w:color="000000"/>
              <w:right w:val="single" w:sz="2" w:space="0" w:color="000000"/>
            </w:tcBorders>
            <w:shd w:color="auto" w:fill="D9E2F3" w:val="clear"/>
          </w:tcPr>
          <w:p>
            <w:pPr>
              <w:pStyle w:val="Normal"/>
              <w:widowControl w:val="false"/>
              <w:suppressAutoHyphens w:val="true"/>
              <w:spacing w:lineRule="auto" w:line="259" w:before="0" w:after="0"/>
              <w:jc w:val="left"/>
              <w:rPr>
                <w:rFonts w:ascii="Calibri" w:hAnsi="Calibri" w:eastAsia=""/>
                <w:kern w:val="0"/>
                <w:sz w:val="22"/>
                <w:szCs w:val="22"/>
                <w:lang w:val="sk-SK" w:eastAsia="sk-SK" w:bidi="ar-SA"/>
              </w:rPr>
            </w:pPr>
            <w:r>
              <w:rPr>
                <w:rFonts w:eastAsia="" w:cs=""/>
                <w:b/>
                <w:kern w:val="0"/>
                <w:sz w:val="22"/>
                <w:szCs w:val="22"/>
                <w:lang w:val="sk-SK" w:eastAsia="sk-SK" w:bidi="ar-SA"/>
              </w:rPr>
              <w:t>Peňažné príjmy neziskovej organizácie</w:t>
            </w:r>
            <w:r>
              <w:rPr>
                <w:rFonts w:eastAsia="" w:cs="Calibri"/>
                <w:kern w:val="0"/>
                <w:sz w:val="22"/>
                <w:szCs w:val="22"/>
                <w:lang w:val="sk-SK" w:eastAsia="sk-SK" w:bidi="ar-SA"/>
              </w:rPr>
              <w:t xml:space="preserve"> </w:t>
            </w:r>
          </w:p>
        </w:tc>
        <w:tc>
          <w:tcPr>
            <w:tcW w:w="4577" w:type="dxa"/>
            <w:tcBorders>
              <w:left w:val="single" w:sz="2" w:space="0" w:color="000000"/>
              <w:bottom w:val="single" w:sz="2" w:space="0" w:color="000000"/>
            </w:tcBorders>
          </w:tcPr>
          <w:p>
            <w:pPr>
              <w:pStyle w:val="Normal"/>
              <w:widowControl w:val="false"/>
              <w:suppressAutoHyphens w:val="true"/>
              <w:spacing w:lineRule="auto" w:line="259" w:before="0" w:after="0"/>
              <w:ind w:left="8" w:right="-9" w:hanging="0"/>
              <w:jc w:val="left"/>
              <w:rPr>
                <w:kern w:val="0"/>
                <w:sz w:val="22"/>
                <w:szCs w:val="22"/>
                <w:lang w:val="sk-SK" w:eastAsia="sk-SK" w:bidi="ar-SA"/>
              </w:rPr>
            </w:pPr>
            <w:r>
              <w:rPr>
                <w:rFonts w:eastAsia="Calibri" w:cs="Calibri"/>
                <w:kern w:val="0"/>
                <w:sz w:val="22"/>
                <w:szCs w:val="22"/>
                <w:lang w:val="sk-SK" w:eastAsia="sk-SK" w:bidi="ar-SA"/>
              </w:rPr>
              <w:t xml:space="preserve"> </w:t>
            </w:r>
            <w:r>
              <w:rPr>
                <w:rFonts w:eastAsia="Calibri" w:cs="Calibri"/>
                <w:kern w:val="0"/>
                <w:sz w:val="22"/>
                <w:szCs w:val="22"/>
                <w:lang w:val="sk-SK" w:eastAsia="sk-SK" w:bidi="ar-SA"/>
              </w:rPr>
              <w:tab/>
              <w:t xml:space="preserve"> </w:t>
            </w:r>
          </w:p>
        </w:tc>
      </w:tr>
      <w:tr>
        <w:trPr>
          <w:trHeight w:val="277" w:hRule="atLeast"/>
        </w:trPr>
        <w:tc>
          <w:tcPr>
            <w:tcW w:w="4533" w:type="dxa"/>
            <w:tcBorders>
              <w:top w:val="single" w:sz="2" w:space="0" w:color="000000"/>
              <w:left w:val="single" w:sz="2" w:space="0" w:color="000000"/>
              <w:bottom w:val="single" w:sz="2" w:space="0" w:color="FFFFFF"/>
              <w:right w:val="single" w:sz="2" w:space="0" w:color="000000"/>
            </w:tcBorders>
          </w:tcPr>
          <w:p>
            <w:pPr>
              <w:pStyle w:val="Normal"/>
              <w:widowControl w:val="false"/>
              <w:tabs>
                <w:tab w:val="clear" w:pos="708"/>
                <w:tab w:val="center" w:pos="504" w:leader="none"/>
                <w:tab w:val="center" w:pos="2397"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Príjmy od klientov zariadenia za služby </w:t>
            </w:r>
          </w:p>
        </w:tc>
        <w:tc>
          <w:tcPr>
            <w:tcW w:w="4577" w:type="dxa"/>
            <w:tcBorders>
              <w:top w:val="single" w:sz="2"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108" w:hanging="0"/>
              <w:jc w:val="right"/>
              <w:rPr>
                <w:rFonts w:ascii="Calibri" w:hAnsi="Calibri" w:eastAsia=""/>
                <w:kern w:val="0"/>
                <w:szCs w:val="22"/>
                <w:lang w:val="sk-SK" w:eastAsia="sk-SK" w:bidi="ar-SA"/>
              </w:rPr>
            </w:pPr>
            <w:r>
              <w:rPr>
                <w:rFonts w:eastAsia="" w:cs=""/>
                <w:kern w:val="0"/>
                <w:sz w:val="20"/>
                <w:szCs w:val="22"/>
                <w:lang w:val="sk-SK" w:eastAsia="sk-SK" w:bidi="ar-SA"/>
              </w:rPr>
              <w:t>117 149,45 EUR</w:t>
            </w:r>
            <w:r>
              <w:rPr>
                <w:rFonts w:eastAsia="" w:cs="Calibri"/>
                <w:kern w:val="0"/>
                <w:sz w:val="22"/>
                <w:szCs w:val="22"/>
                <w:lang w:val="sk-SK" w:eastAsia="sk-SK" w:bidi="ar-SA"/>
              </w:rPr>
              <w:t xml:space="preserve"> </w:t>
            </w:r>
          </w:p>
        </w:tc>
      </w:tr>
      <w:tr>
        <w:trPr>
          <w:trHeight w:val="276" w:hRule="atLeast"/>
        </w:trPr>
        <w:tc>
          <w:tcPr>
            <w:tcW w:w="4533"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504" w:leader="none"/>
                <w:tab w:val="center" w:pos="1388"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Prijaté dotácie </w:t>
            </w:r>
          </w:p>
        </w:tc>
        <w:tc>
          <w:tcPr>
            <w:tcW w:w="4577"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108" w:hanging="0"/>
              <w:jc w:val="right"/>
              <w:rPr>
                <w:rFonts w:ascii="Calibri" w:hAnsi="Calibri" w:eastAsia=""/>
                <w:kern w:val="0"/>
                <w:szCs w:val="22"/>
                <w:lang w:val="sk-SK" w:eastAsia="sk-SK" w:bidi="ar-SA"/>
              </w:rPr>
            </w:pPr>
            <w:r>
              <w:rPr>
                <w:rFonts w:eastAsia="" w:cs=""/>
                <w:kern w:val="0"/>
                <w:sz w:val="20"/>
                <w:szCs w:val="22"/>
                <w:lang w:val="sk-SK" w:eastAsia="sk-SK" w:bidi="ar-SA"/>
              </w:rPr>
              <w:t>0,00 EUR</w:t>
            </w:r>
            <w:r>
              <w:rPr>
                <w:rFonts w:eastAsia="" w:cs="Calibri"/>
                <w:kern w:val="0"/>
                <w:sz w:val="22"/>
                <w:szCs w:val="22"/>
                <w:lang w:val="sk-SK" w:eastAsia="sk-SK" w:bidi="ar-SA"/>
              </w:rPr>
              <w:t xml:space="preserve"> </w:t>
            </w:r>
          </w:p>
        </w:tc>
      </w:tr>
      <w:tr>
        <w:trPr>
          <w:trHeight w:val="280" w:hRule="atLeast"/>
        </w:trPr>
        <w:tc>
          <w:tcPr>
            <w:tcW w:w="4533" w:type="dxa"/>
            <w:tcBorders>
              <w:top w:val="single" w:sz="2" w:space="0" w:color="FFFFFF"/>
              <w:left w:val="single" w:sz="2" w:space="0" w:color="000000"/>
              <w:bottom w:val="single" w:sz="2" w:space="0" w:color="000000"/>
              <w:right w:val="single" w:sz="2" w:space="0" w:color="000000"/>
            </w:tcBorders>
          </w:tcPr>
          <w:p>
            <w:pPr>
              <w:pStyle w:val="Normal"/>
              <w:widowControl w:val="false"/>
              <w:tabs>
                <w:tab w:val="clear" w:pos="708"/>
                <w:tab w:val="center" w:pos="504" w:leader="none"/>
                <w:tab w:val="center" w:pos="1116"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Ostatné </w:t>
            </w:r>
          </w:p>
        </w:tc>
        <w:tc>
          <w:tcPr>
            <w:tcW w:w="4577" w:type="dxa"/>
            <w:tcBorders>
              <w:top w:val="single" w:sz="2" w:space="0" w:color="FFFFFF"/>
              <w:left w:val="single" w:sz="2" w:space="0" w:color="000000"/>
              <w:bottom w:val="single" w:sz="2" w:space="0" w:color="DBE5F1"/>
              <w:right w:val="single" w:sz="2" w:space="0" w:color="000000"/>
            </w:tcBorders>
          </w:tcPr>
          <w:p>
            <w:pPr>
              <w:pStyle w:val="Normal"/>
              <w:widowControl w:val="false"/>
              <w:suppressAutoHyphens w:val="true"/>
              <w:spacing w:lineRule="auto" w:line="259" w:before="0" w:after="0"/>
              <w:ind w:right="108"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3306,65 EUR   </w:t>
            </w:r>
          </w:p>
        </w:tc>
      </w:tr>
      <w:tr>
        <w:trPr>
          <w:trHeight w:val="283" w:hRule="atLeast"/>
        </w:trPr>
        <w:tc>
          <w:tcPr>
            <w:tcW w:w="4533" w:type="dxa"/>
            <w:tcBorders>
              <w:top w:val="single" w:sz="2" w:space="0" w:color="000000"/>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left="824"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SPOLU </w:t>
            </w:r>
          </w:p>
        </w:tc>
        <w:tc>
          <w:tcPr>
            <w:tcW w:w="4577" w:type="dxa"/>
            <w:tcBorders>
              <w:top w:val="single" w:sz="2" w:space="0" w:color="DBE5F1"/>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right="113" w:hanging="0"/>
              <w:jc w:val="right"/>
              <w:rPr>
                <w:rFonts w:ascii="Calibri" w:hAnsi="Calibri" w:eastAsia=""/>
                <w:kern w:val="0"/>
                <w:sz w:val="22"/>
                <w:szCs w:val="22"/>
                <w:lang w:val="sk-SK" w:eastAsia="sk-SK" w:bidi="ar-SA"/>
              </w:rPr>
            </w:pPr>
            <w:r>
              <w:rPr>
                <w:rFonts w:eastAsia="" w:cs=""/>
                <w:b/>
                <w:kern w:val="0"/>
                <w:sz w:val="22"/>
                <w:szCs w:val="22"/>
                <w:lang w:val="sk-SK" w:eastAsia="sk-SK" w:bidi="ar-SA"/>
              </w:rPr>
              <w:t>120 406,10 EUR</w:t>
            </w:r>
            <w:r>
              <w:rPr>
                <w:rFonts w:eastAsia="" w:cs="Calibri"/>
                <w:kern w:val="0"/>
                <w:sz w:val="22"/>
                <w:szCs w:val="22"/>
                <w:lang w:val="sk-SK" w:eastAsia="sk-SK" w:bidi="ar-SA"/>
              </w:rPr>
              <w:t xml:space="preserve"> </w:t>
            </w:r>
          </w:p>
        </w:tc>
      </w:tr>
    </w:tbl>
    <w:p>
      <w:pPr>
        <w:pStyle w:val="Normal"/>
        <w:spacing w:before="0" w:after="0"/>
        <w:ind w:right="45" w:hanging="0"/>
        <w:jc w:val="center"/>
        <w:rPr/>
      </w:pPr>
      <w:r>
        <w:rPr>
          <w:b/>
          <w:sz w:val="10"/>
        </w:rPr>
        <w:t xml:space="preserve"> </w:t>
      </w:r>
    </w:p>
    <w:tbl>
      <w:tblPr>
        <w:tblStyle w:val="TableGrid"/>
        <w:tblW w:w="9090" w:type="dxa"/>
        <w:jc w:val="left"/>
        <w:tblInd w:w="-115" w:type="dxa"/>
        <w:tblLayout w:type="fixed"/>
        <w:tblCellMar>
          <w:top w:w="7" w:type="dxa"/>
          <w:left w:w="5" w:type="dxa"/>
          <w:bottom w:w="0" w:type="dxa"/>
          <w:right w:w="3" w:type="dxa"/>
        </w:tblCellMar>
        <w:tblLook w:firstRow="1" w:noVBand="1" w:lastRow="0" w:firstColumn="1" w:lastColumn="0" w:noHBand="0" w:val="04a0"/>
      </w:tblPr>
      <w:tblGrid>
        <w:gridCol w:w="4485"/>
        <w:gridCol w:w="4604"/>
      </w:tblGrid>
      <w:tr>
        <w:trPr>
          <w:trHeight w:val="515" w:hRule="atLeast"/>
        </w:trPr>
        <w:tc>
          <w:tcPr>
            <w:tcW w:w="4485" w:type="dxa"/>
            <w:tcBorders>
              <w:top w:val="single" w:sz="2" w:space="0" w:color="000000"/>
              <w:left w:val="single" w:sz="2" w:space="0" w:color="000000"/>
              <w:bottom w:val="single" w:sz="2" w:space="0" w:color="000000"/>
              <w:right w:val="single" w:sz="2" w:space="0" w:color="000000"/>
            </w:tcBorders>
            <w:shd w:color="auto" w:fill="D9E2F3" w:val="clear"/>
          </w:tcPr>
          <w:p>
            <w:pPr>
              <w:pStyle w:val="Normal"/>
              <w:widowControl w:val="false"/>
              <w:suppressAutoHyphens w:val="true"/>
              <w:spacing w:lineRule="auto" w:line="259" w:before="0" w:after="0"/>
              <w:jc w:val="left"/>
              <w:rPr>
                <w:rFonts w:ascii="Calibri" w:hAnsi="Calibri" w:eastAsia=""/>
                <w:kern w:val="0"/>
                <w:sz w:val="22"/>
                <w:szCs w:val="22"/>
                <w:lang w:val="sk-SK" w:eastAsia="sk-SK" w:bidi="ar-SA"/>
              </w:rPr>
            </w:pPr>
            <w:r>
              <w:rPr>
                <w:rFonts w:eastAsia="" w:cs=""/>
                <w:b/>
                <w:kern w:val="0"/>
                <w:sz w:val="22"/>
                <w:szCs w:val="22"/>
                <w:lang w:val="sk-SK" w:eastAsia="sk-SK" w:bidi="ar-SA"/>
              </w:rPr>
              <w:t>Peňažné výdavky neziskovej organizácie</w:t>
            </w:r>
            <w:r>
              <w:rPr>
                <w:rFonts w:eastAsia="" w:cs="Calibri"/>
                <w:kern w:val="0"/>
                <w:sz w:val="22"/>
                <w:szCs w:val="22"/>
                <w:lang w:val="sk-SK" w:eastAsia="sk-SK" w:bidi="ar-SA"/>
              </w:rPr>
              <w:t xml:space="preserve"> </w:t>
            </w:r>
          </w:p>
        </w:tc>
        <w:tc>
          <w:tcPr>
            <w:tcW w:w="4604" w:type="dxa"/>
            <w:tcBorders>
              <w:left w:val="single" w:sz="2" w:space="0" w:color="000000"/>
              <w:bottom w:val="single" w:sz="2" w:space="0" w:color="000000"/>
            </w:tcBorders>
          </w:tcPr>
          <w:p>
            <w:pPr>
              <w:pStyle w:val="Normal"/>
              <w:widowControl w:val="false"/>
              <w:suppressAutoHyphens w:val="true"/>
              <w:spacing w:lineRule="auto" w:line="259" w:before="0" w:after="0"/>
              <w:ind w:left="9" w:hanging="0"/>
              <w:jc w:val="left"/>
              <w:rPr>
                <w:kern w:val="0"/>
                <w:sz w:val="22"/>
                <w:szCs w:val="22"/>
                <w:lang w:val="sk-SK" w:eastAsia="sk-SK" w:bidi="ar-SA"/>
              </w:rPr>
            </w:pPr>
            <w:r>
              <w:rPr>
                <w:rFonts w:eastAsia="Calibri" w:cs="Calibri"/>
                <w:kern w:val="0"/>
                <w:sz w:val="22"/>
                <w:szCs w:val="22"/>
                <w:lang w:val="sk-SK" w:eastAsia="sk-SK" w:bidi="ar-SA"/>
              </w:rPr>
              <w:t xml:space="preserve"> </w:t>
            </w:r>
            <w:r>
              <w:rPr>
                <w:rFonts w:eastAsia="Calibri" w:cs="Calibri"/>
                <w:kern w:val="0"/>
                <w:sz w:val="22"/>
                <w:szCs w:val="22"/>
                <w:lang w:val="sk-SK" w:eastAsia="sk-SK" w:bidi="ar-SA"/>
              </w:rPr>
              <w:tab/>
              <w:t xml:space="preserve"> </w:t>
            </w:r>
          </w:p>
        </w:tc>
      </w:tr>
      <w:tr>
        <w:trPr>
          <w:trHeight w:val="525" w:hRule="atLeast"/>
        </w:trPr>
        <w:tc>
          <w:tcPr>
            <w:tcW w:w="4485" w:type="dxa"/>
            <w:tcBorders>
              <w:top w:val="single" w:sz="2" w:space="0" w:color="000000"/>
              <w:left w:val="single" w:sz="2" w:space="0" w:color="000000"/>
              <w:bottom w:val="single" w:sz="8" w:space="0" w:color="000000"/>
              <w:right w:val="single" w:sz="2" w:space="0" w:color="000000"/>
            </w:tcBorders>
          </w:tcPr>
          <w:p>
            <w:pPr>
              <w:pStyle w:val="Normal"/>
              <w:widowControl w:val="false"/>
              <w:tabs>
                <w:tab w:val="clear" w:pos="708"/>
                <w:tab w:val="center" w:pos="400" w:leader="none"/>
                <w:tab w:val="center" w:pos="2138"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Výdavky na mzdy vrátane odvodov </w:t>
            </w:r>
          </w:p>
        </w:tc>
        <w:tc>
          <w:tcPr>
            <w:tcW w:w="4604" w:type="dxa"/>
            <w:tcBorders>
              <w:top w:val="single" w:sz="2"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87 547,51 EUR</w:t>
            </w:r>
          </w:p>
        </w:tc>
      </w:tr>
      <w:tr>
        <w:trPr>
          <w:trHeight w:val="524" w:hRule="atLeast"/>
        </w:trPr>
        <w:tc>
          <w:tcPr>
            <w:tcW w:w="4485"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left="34" w:hanging="0"/>
              <w:jc w:val="center"/>
              <w:rPr>
                <w:rFonts w:ascii="Calibri" w:hAnsi="Calibri" w:eastAsia="" w:cs=""/>
                <w:kern w:val="0"/>
                <w:szCs w:val="22"/>
                <w:lang w:val="sk-SK" w:eastAsia="sk-SK" w:bidi="ar-SA"/>
              </w:rPr>
            </w:pPr>
            <w:r>
              <w:rPr>
                <w:rFonts w:eastAsia="" w:cs=""/>
                <w:kern w:val="0"/>
                <w:sz w:val="20"/>
                <w:szCs w:val="22"/>
                <w:lang w:val="sk-SK" w:eastAsia="sk-SK" w:bidi="ar-SA"/>
              </w:rPr>
              <w:t xml:space="preserve">Lieky a zdravotné potreby pre klientov </w:t>
            </w:r>
          </w:p>
        </w:tc>
        <w:tc>
          <w:tcPr>
            <w:tcW w:w="4604"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tc>
      </w:tr>
      <w:tr>
        <w:trPr>
          <w:trHeight w:val="520" w:hRule="atLeast"/>
        </w:trPr>
        <w:tc>
          <w:tcPr>
            <w:tcW w:w="4485"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1362"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Drobný majetok </w:t>
            </w:r>
          </w:p>
        </w:tc>
        <w:tc>
          <w:tcPr>
            <w:tcW w:w="4604"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5"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tc>
      </w:tr>
      <w:tr>
        <w:trPr>
          <w:trHeight w:val="520" w:hRule="atLeast"/>
        </w:trPr>
        <w:tc>
          <w:tcPr>
            <w:tcW w:w="4485"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925"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 xml:space="preserve">      </w:t>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PHM</w:t>
            </w:r>
          </w:p>
          <w:p>
            <w:pPr>
              <w:pStyle w:val="Normal"/>
              <w:widowControl w:val="false"/>
              <w:tabs>
                <w:tab w:val="clear" w:pos="708"/>
                <w:tab w:val="center" w:pos="400" w:leader="none"/>
                <w:tab w:val="center" w:pos="925" w:leader="none"/>
              </w:tabs>
              <w:suppressAutoHyphens w:val="true"/>
              <w:spacing w:lineRule="auto" w:line="259" w:before="0" w:after="0"/>
              <w:jc w:val="left"/>
              <w:rPr>
                <w:rFonts w:ascii="Calibri" w:hAnsi="Calibri" w:eastAsia="" w:cs=""/>
                <w:sz w:val="20"/>
              </w:rPr>
            </w:pPr>
            <w:r>
              <w:rPr>
                <w:rFonts w:eastAsia="" w:cs=""/>
                <w:sz w:val="20"/>
              </w:rPr>
            </w:r>
          </w:p>
          <w:p>
            <w:pPr>
              <w:pStyle w:val="Normal"/>
              <w:widowControl w:val="false"/>
              <w:tabs>
                <w:tab w:val="clear" w:pos="708"/>
                <w:tab w:val="center" w:pos="400" w:leader="none"/>
                <w:tab w:val="center" w:pos="925" w:leader="none"/>
              </w:tabs>
              <w:suppressAutoHyphens w:val="true"/>
              <w:spacing w:lineRule="auto" w:line="259" w:before="0" w:after="0"/>
              <w:jc w:val="left"/>
              <w:rPr>
                <w:kern w:val="0"/>
                <w:szCs w:val="22"/>
                <w:lang w:val="sk-SK" w:eastAsia="sk-SK" w:bidi="ar-SA"/>
              </w:rPr>
            </w:pPr>
            <w:r>
              <w:rPr>
                <w:rFonts w:eastAsia="" w:cs=""/>
                <w:kern w:val="0"/>
                <w:sz w:val="20"/>
                <w:szCs w:val="22"/>
                <w:lang w:val="sk-SK" w:eastAsia="sk-SK" w:bidi="ar-SA"/>
              </w:rPr>
              <w:t xml:space="preserve">       </w:t>
            </w:r>
            <w:r>
              <w:rPr>
                <w:rFonts w:eastAsia="" w:cs=""/>
                <w:kern w:val="0"/>
                <w:sz w:val="20"/>
                <w:szCs w:val="22"/>
                <w:lang w:val="sk-SK" w:eastAsia="sk-SK" w:bidi="ar-SA"/>
              </w:rPr>
              <w:t xml:space="preserve">-       Spotreba materiálu </w:t>
            </w:r>
          </w:p>
        </w:tc>
        <w:tc>
          <w:tcPr>
            <w:tcW w:w="4604"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p>
            <w:pPr>
              <w:pStyle w:val="Normal"/>
              <w:widowControl w:val="false"/>
              <w:suppressAutoHyphens w:val="true"/>
              <w:spacing w:lineRule="auto" w:line="259" w:before="0" w:after="0"/>
              <w:ind w:right="29" w:hanging="0"/>
              <w:jc w:val="right"/>
              <w:rPr>
                <w:sz w:val="20"/>
              </w:rPr>
            </w:pPr>
            <w:r>
              <w:rPr>
                <w:sz w:val="20"/>
              </w:rPr>
            </w:r>
          </w:p>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16 079,41 EUR</w:t>
            </w:r>
          </w:p>
        </w:tc>
      </w:tr>
      <w:tr>
        <w:trPr>
          <w:trHeight w:val="524" w:hRule="atLeast"/>
        </w:trPr>
        <w:tc>
          <w:tcPr>
            <w:tcW w:w="4485" w:type="dxa"/>
            <w:tcBorders>
              <w:top w:val="single" w:sz="2" w:space="0" w:color="FFFFFF"/>
              <w:left w:val="single" w:sz="2" w:space="0" w:color="000000"/>
              <w:bottom w:val="single" w:sz="8" w:space="0" w:color="000000"/>
              <w:right w:val="single" w:sz="2" w:space="0" w:color="000000"/>
            </w:tcBorders>
          </w:tcPr>
          <w:p>
            <w:pPr>
              <w:pStyle w:val="Normal"/>
              <w:widowControl w:val="false"/>
              <w:tabs>
                <w:tab w:val="clear" w:pos="708"/>
                <w:tab w:val="center" w:pos="400" w:leader="none"/>
                <w:tab w:val="center" w:pos="1796"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t xml:space="preserve">      </w:t>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r>
            <w:r>
              <w:rPr>
                <w:rFonts w:eastAsia="" w:cs=""/>
                <w:kern w:val="0"/>
                <w:sz w:val="20"/>
                <w:szCs w:val="22"/>
                <w:lang w:val="sk-SK" w:eastAsia="sk-SK" w:bidi="ar-SA"/>
              </w:rPr>
              <w:t xml:space="preserve">Ostatné výdavky </w:t>
            </w:r>
          </w:p>
        </w:tc>
        <w:tc>
          <w:tcPr>
            <w:tcW w:w="4604" w:type="dxa"/>
            <w:tcBorders>
              <w:top w:val="single" w:sz="2" w:space="0" w:color="FFFFFF"/>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5" w:hanging="0"/>
              <w:jc w:val="right"/>
              <w:rPr>
                <w:rFonts w:ascii="Calibri" w:hAnsi="Calibri" w:eastAsia="" w:cs=""/>
                <w:kern w:val="0"/>
                <w:szCs w:val="22"/>
                <w:lang w:val="sk-SK" w:eastAsia="sk-SK" w:bidi="ar-SA"/>
              </w:rPr>
            </w:pPr>
            <w:r>
              <w:rPr>
                <w:rFonts w:eastAsia="" w:cs=""/>
                <w:kern w:val="0"/>
                <w:sz w:val="20"/>
                <w:szCs w:val="22"/>
                <w:lang w:val="sk-SK" w:eastAsia="sk-SK" w:bidi="ar-SA"/>
              </w:rPr>
              <w:t>155 EUR</w:t>
            </w:r>
          </w:p>
        </w:tc>
      </w:tr>
      <w:tr>
        <w:trPr>
          <w:trHeight w:val="529" w:hRule="atLeast"/>
        </w:trPr>
        <w:tc>
          <w:tcPr>
            <w:tcW w:w="4485"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Výdavky na energie </w:t>
            </w:r>
          </w:p>
        </w:tc>
        <w:tc>
          <w:tcPr>
            <w:tcW w:w="4604"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17 062,14EUR</w:t>
            </w:r>
          </w:p>
        </w:tc>
      </w:tr>
      <w:tr>
        <w:trPr>
          <w:trHeight w:val="524" w:hRule="atLeast"/>
        </w:trPr>
        <w:tc>
          <w:tcPr>
            <w:tcW w:w="4485"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Služby pre klientov </w:t>
            </w:r>
          </w:p>
        </w:tc>
        <w:tc>
          <w:tcPr>
            <w:tcW w:w="4604"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tc>
      </w:tr>
      <w:tr>
        <w:trPr>
          <w:trHeight w:val="524" w:hRule="atLeast"/>
        </w:trPr>
        <w:tc>
          <w:tcPr>
            <w:tcW w:w="4485" w:type="dxa"/>
            <w:tcBorders>
              <w:top w:val="single" w:sz="2" w:space="0" w:color="FFFFFF"/>
              <w:left w:val="single" w:sz="2" w:space="0" w:color="000000"/>
              <w:bottom w:val="single" w:sz="8" w:space="0" w:color="000000"/>
              <w:right w:val="single" w:sz="2" w:space="0" w:color="000000"/>
            </w:tcBorders>
          </w:tcPr>
          <w:p>
            <w:pPr>
              <w:pStyle w:val="Normal"/>
              <w:widowControl w:val="false"/>
              <w:tabs>
                <w:tab w:val="clear" w:pos="708"/>
                <w:tab w:val="center" w:pos="400" w:leader="none"/>
                <w:tab w:val="center" w:pos="1618"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r>
            <w:r>
              <w:rPr>
                <w:rFonts w:eastAsia="" w:cs=""/>
                <w:kern w:val="0"/>
                <w:sz w:val="20"/>
                <w:szCs w:val="22"/>
                <w:lang w:val="sk-SK" w:eastAsia="sk-SK" w:bidi="ar-SA"/>
              </w:rPr>
              <w:t xml:space="preserve">Ostatné služby </w:t>
            </w:r>
          </w:p>
        </w:tc>
        <w:tc>
          <w:tcPr>
            <w:tcW w:w="4604" w:type="dxa"/>
            <w:tcBorders>
              <w:top w:val="single" w:sz="2" w:space="0" w:color="FFFFFF"/>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46 035,39 EUR</w:t>
            </w:r>
          </w:p>
        </w:tc>
      </w:tr>
      <w:tr>
        <w:trPr>
          <w:trHeight w:val="530" w:hRule="atLeast"/>
        </w:trPr>
        <w:tc>
          <w:tcPr>
            <w:tcW w:w="4485"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Ostatné </w:t>
            </w:r>
          </w:p>
        </w:tc>
        <w:tc>
          <w:tcPr>
            <w:tcW w:w="4604"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35,44 EUR</w:t>
            </w:r>
          </w:p>
        </w:tc>
      </w:tr>
      <w:tr>
        <w:trPr>
          <w:trHeight w:val="292" w:hRule="atLeast"/>
        </w:trPr>
        <w:tc>
          <w:tcPr>
            <w:tcW w:w="4485" w:type="dxa"/>
            <w:tcBorders>
              <w:top w:val="single" w:sz="8" w:space="0" w:color="000000"/>
              <w:left w:val="single" w:sz="8" w:space="0" w:color="000000"/>
              <w:bottom w:val="single" w:sz="8" w:space="0" w:color="000000"/>
              <w:right w:val="single" w:sz="8" w:space="0" w:color="000000"/>
            </w:tcBorders>
            <w:shd w:color="auto" w:fill="D9E2F3" w:val="clear"/>
          </w:tcPr>
          <w:p>
            <w:pPr>
              <w:pStyle w:val="Normal"/>
              <w:widowControl w:val="false"/>
              <w:suppressAutoHyphens w:val="true"/>
              <w:spacing w:lineRule="auto" w:line="259" w:before="0" w:after="0"/>
              <w:ind w:left="820"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SPOLU </w:t>
            </w:r>
          </w:p>
        </w:tc>
        <w:tc>
          <w:tcPr>
            <w:tcW w:w="4604" w:type="dxa"/>
            <w:tcBorders>
              <w:top w:val="single" w:sz="8" w:space="0" w:color="000000"/>
              <w:left w:val="single" w:sz="8" w:space="0" w:color="000000"/>
              <w:bottom w:val="single" w:sz="8" w:space="0" w:color="000000"/>
              <w:right w:val="single" w:sz="14" w:space="0" w:color="000000"/>
            </w:tcBorders>
            <w:shd w:color="auto" w:fill="D9E2F3" w:val="clear"/>
          </w:tcPr>
          <w:p>
            <w:pPr>
              <w:pStyle w:val="Normal"/>
              <w:widowControl w:val="false"/>
              <w:suppressAutoHyphens w:val="true"/>
              <w:spacing w:lineRule="auto" w:line="259" w:before="0" w:after="0"/>
              <w:ind w:left="2297" w:hanging="0"/>
              <w:jc w:val="left"/>
              <w:rPr>
                <w:b/>
              </w:rPr>
            </w:pPr>
            <w:r>
              <w:rPr>
                <w:rFonts w:eastAsia="" w:cs=""/>
                <w:b/>
                <w:color w:val="C9211E"/>
                <w:kern w:val="0"/>
                <w:sz w:val="22"/>
                <w:szCs w:val="22"/>
                <w:lang w:val="sk-SK" w:eastAsia="sk-SK" w:bidi="ar-SA"/>
              </w:rPr>
              <w:t>166 914,89</w:t>
            </w:r>
            <w:r>
              <w:rPr>
                <w:rFonts w:eastAsia="" w:cs=""/>
                <w:b/>
                <w:kern w:val="0"/>
                <w:sz w:val="22"/>
                <w:szCs w:val="22"/>
                <w:lang w:val="sk-SK" w:eastAsia="sk-SK" w:bidi="ar-SA"/>
              </w:rPr>
              <w:t xml:space="preserve">  EUR</w:t>
            </w:r>
            <w:r>
              <w:rPr>
                <w:rFonts w:eastAsia="" w:cs="Calibri"/>
                <w:kern w:val="0"/>
                <w:sz w:val="22"/>
                <w:szCs w:val="22"/>
                <w:lang w:val="sk-SK" w:eastAsia="sk-SK" w:bidi="ar-SA"/>
              </w:rPr>
              <w:t xml:space="preserve"> </w:t>
            </w:r>
          </w:p>
        </w:tc>
      </w:tr>
    </w:tbl>
    <w:p>
      <w:pPr>
        <w:pStyle w:val="Normal"/>
        <w:spacing w:before="0" w:after="0"/>
        <w:ind w:right="158" w:hanging="0"/>
        <w:jc w:val="right"/>
        <w:rPr/>
      </w:pPr>
      <w:r>
        <w:rPr>
          <w:b/>
        </w:rPr>
        <w:t xml:space="preserve"> </w:t>
      </w:r>
      <w:r>
        <w:rPr>
          <w:b/>
        </w:rPr>
        <w:tab/>
        <w:t xml:space="preserve"> </w:t>
      </w:r>
      <w:r>
        <w:rPr>
          <w:rFonts w:eastAsia="Calibri" w:cs="Calibri"/>
        </w:rPr>
        <w:t xml:space="preserve"> </w:t>
      </w:r>
    </w:p>
    <w:tbl>
      <w:tblPr>
        <w:tblStyle w:val="TableGrid"/>
        <w:tblW w:w="9155" w:type="dxa"/>
        <w:jc w:val="left"/>
        <w:tblInd w:w="-159" w:type="dxa"/>
        <w:tblLayout w:type="fixed"/>
        <w:tblCellMar>
          <w:top w:w="16" w:type="dxa"/>
          <w:left w:w="105" w:type="dxa"/>
          <w:bottom w:w="0" w:type="dxa"/>
          <w:right w:w="10" w:type="dxa"/>
        </w:tblCellMar>
        <w:tblLook w:firstRow="1" w:noVBand="1" w:lastRow="0" w:firstColumn="1" w:lastColumn="0" w:noHBand="0" w:val="04a0"/>
      </w:tblPr>
      <w:tblGrid>
        <w:gridCol w:w="4529"/>
        <w:gridCol w:w="4625"/>
      </w:tblGrid>
      <w:tr>
        <w:trPr>
          <w:trHeight w:val="291" w:hRule="atLeast"/>
        </w:trPr>
        <w:tc>
          <w:tcPr>
            <w:tcW w:w="4529" w:type="dxa"/>
            <w:tcBorders>
              <w:top w:val="single" w:sz="8" w:space="0" w:color="000000"/>
              <w:left w:val="single" w:sz="8" w:space="0" w:color="000000"/>
              <w:bottom w:val="single" w:sz="8" w:space="0" w:color="000000"/>
              <w:right w:val="single" w:sz="8" w:space="0" w:color="000000"/>
            </w:tcBorders>
            <w:shd w:color="auto" w:fill="D9E2F3" w:val="clear"/>
          </w:tcPr>
          <w:p>
            <w:pPr>
              <w:pStyle w:val="Normal"/>
              <w:widowControl w:val="false"/>
              <w:suppressAutoHyphens w:val="true"/>
              <w:spacing w:lineRule="auto" w:line="259" w:before="0" w:after="0"/>
              <w:ind w:left="720"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Rozdiel </w:t>
            </w:r>
          </w:p>
        </w:tc>
        <w:tc>
          <w:tcPr>
            <w:tcW w:w="4625" w:type="dxa"/>
            <w:tcBorders>
              <w:top w:val="single" w:sz="8" w:space="0" w:color="000000"/>
              <w:left w:val="single" w:sz="8" w:space="0" w:color="000000"/>
              <w:bottom w:val="single" w:sz="8" w:space="0" w:color="000000"/>
              <w:right w:val="single" w:sz="14" w:space="0" w:color="000000"/>
            </w:tcBorders>
            <w:shd w:color="auto" w:fill="D9E2F3" w:val="clear"/>
          </w:tcPr>
          <w:p>
            <w:pPr>
              <w:pStyle w:val="Normal"/>
              <w:widowControl w:val="false"/>
              <w:suppressAutoHyphens w:val="true"/>
              <w:spacing w:lineRule="auto" w:line="259" w:before="0" w:after="0"/>
              <w:ind w:left="2200" w:hanging="0"/>
              <w:jc w:val="left"/>
              <w:rPr>
                <w:rFonts w:ascii="Calibri" w:hAnsi="Calibri" w:eastAsia=""/>
                <w:kern w:val="0"/>
                <w:sz w:val="22"/>
                <w:szCs w:val="22"/>
                <w:lang w:val="sk-SK" w:eastAsia="sk-SK" w:bidi="ar-SA"/>
              </w:rPr>
            </w:pPr>
            <w:r>
              <w:rPr>
                <w:rFonts w:eastAsia="" w:cs="Calibri"/>
                <w:kern w:val="0"/>
                <w:sz w:val="22"/>
                <w:szCs w:val="22"/>
                <w:lang w:val="sk-SK" w:eastAsia="sk-SK" w:bidi="ar-SA"/>
              </w:rPr>
              <w:t xml:space="preserve"> </w:t>
            </w:r>
            <w:r>
              <w:rPr>
                <w:rFonts w:eastAsia="" w:cs="Calibri"/>
                <w:kern w:val="0"/>
                <w:sz w:val="22"/>
                <w:szCs w:val="22"/>
                <w:lang w:val="sk-SK" w:eastAsia="sk-SK" w:bidi="ar-SA"/>
              </w:rPr>
              <w:t xml:space="preserve">EUR </w:t>
            </w:r>
          </w:p>
        </w:tc>
      </w:tr>
      <w:tr>
        <w:trPr>
          <w:trHeight w:val="531" w:hRule="atLeast"/>
        </w:trPr>
        <w:tc>
          <w:tcPr>
            <w:tcW w:w="4529" w:type="dxa"/>
            <w:tcBorders>
              <w:top w:val="single" w:sz="8" w:space="0" w:color="000000"/>
              <w:bottom w:val="single" w:sz="8" w:space="0" w:color="000000"/>
            </w:tcBorders>
          </w:tcPr>
          <w:p>
            <w:pPr>
              <w:pStyle w:val="Normal"/>
              <w:widowControl w:val="false"/>
              <w:suppressAutoHyphens w:val="true"/>
              <w:spacing w:lineRule="auto" w:line="259" w:before="0" w:after="0"/>
              <w:ind w:left="612"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 </w:t>
            </w:r>
          </w:p>
        </w:tc>
        <w:tc>
          <w:tcPr>
            <w:tcW w:w="4625" w:type="dxa"/>
            <w:tcBorders>
              <w:top w:val="single" w:sz="8" w:space="0" w:color="000000"/>
              <w:bottom w:val="single" w:sz="8" w:space="0" w:color="000000"/>
            </w:tcBorders>
          </w:tcPr>
          <w:p>
            <w:pPr>
              <w:pStyle w:val="Normal"/>
              <w:widowControl w:val="false"/>
              <w:suppressAutoHyphens w:val="true"/>
              <w:spacing w:lineRule="auto" w:line="259" w:before="0" w:after="0"/>
              <w:ind w:right="34" w:hanging="0"/>
              <w:jc w:val="right"/>
              <w:rPr>
                <w:rFonts w:ascii="Calibri" w:hAnsi="Calibri" w:eastAsia=""/>
                <w:kern w:val="0"/>
                <w:sz w:val="22"/>
                <w:szCs w:val="22"/>
                <w:lang w:val="sk-SK" w:eastAsia="sk-SK" w:bidi="ar-SA"/>
              </w:rPr>
            </w:pPr>
            <w:r>
              <w:rPr>
                <w:rFonts w:eastAsia="" w:cs=""/>
                <w:b/>
                <w:kern w:val="0"/>
                <w:sz w:val="22"/>
                <w:szCs w:val="22"/>
                <w:lang w:val="sk-SK" w:eastAsia="sk-SK" w:bidi="ar-SA"/>
              </w:rPr>
              <w:t xml:space="preserve"> </w:t>
            </w:r>
            <w:r>
              <w:rPr>
                <w:rFonts w:eastAsia="" w:cs="Calibri"/>
                <w:kern w:val="0"/>
                <w:sz w:val="22"/>
                <w:szCs w:val="22"/>
                <w:lang w:val="sk-SK" w:eastAsia="sk-SK" w:bidi="ar-SA"/>
              </w:rPr>
              <w:t xml:space="preserve"> </w:t>
            </w:r>
          </w:p>
        </w:tc>
      </w:tr>
      <w:tr>
        <w:trPr>
          <w:trHeight w:val="520" w:hRule="atLeast"/>
        </w:trPr>
        <w:tc>
          <w:tcPr>
            <w:tcW w:w="4529" w:type="dxa"/>
            <w:tcBorders>
              <w:top w:val="single" w:sz="8" w:space="0" w:color="000000"/>
              <w:left w:val="single" w:sz="8" w:space="0" w:color="000000"/>
              <w:bottom w:val="single" w:sz="8" w:space="0" w:color="000000"/>
              <w:right w:val="single" w:sz="8" w:space="0" w:color="000000"/>
            </w:tcBorders>
          </w:tcPr>
          <w:p>
            <w:pPr>
              <w:pStyle w:val="Normal"/>
              <w:widowControl w:val="false"/>
              <w:suppressAutoHyphens w:val="true"/>
              <w:spacing w:lineRule="auto" w:line="259" w:before="0" w:after="0"/>
              <w:ind w:right="113"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Počiatočný stav finančných prostriedkov k </w:t>
            </w:r>
          </w:p>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1.1.2023 </w:t>
            </w:r>
          </w:p>
        </w:tc>
        <w:tc>
          <w:tcPr>
            <w:tcW w:w="4625" w:type="dxa"/>
            <w:tcBorders>
              <w:top w:val="single" w:sz="8" w:space="0" w:color="000000"/>
              <w:left w:val="single" w:sz="8" w:space="0" w:color="000000"/>
              <w:bottom w:val="single" w:sz="8" w:space="0" w:color="000000"/>
              <w:right w:val="single" w:sz="14" w:space="0" w:color="000000"/>
            </w:tcBorders>
          </w:tcPr>
          <w:p>
            <w:pPr>
              <w:pStyle w:val="Normal"/>
              <w:widowControl w:val="false"/>
              <w:suppressAutoHyphens w:val="true"/>
              <w:spacing w:lineRule="auto" w:line="259" w:before="0" w:after="0"/>
              <w:jc w:val="right"/>
              <w:rPr>
                <w:rFonts w:ascii="Calibri" w:hAnsi="Calibri" w:eastAsia="" w:cs=""/>
                <w:kern w:val="0"/>
                <w:szCs w:val="22"/>
                <w:lang w:val="sk-SK" w:eastAsia="sk-SK" w:bidi="ar-SA"/>
              </w:rPr>
            </w:pPr>
            <w:r>
              <w:rPr>
                <w:rFonts w:eastAsia="" w:cs=""/>
                <w:color w:val="C9211E"/>
                <w:kern w:val="0"/>
                <w:sz w:val="20"/>
                <w:szCs w:val="22"/>
                <w:lang w:val="sk-SK" w:eastAsia="sk-SK" w:bidi="ar-SA"/>
              </w:rPr>
              <w:t>0,00 EUR</w:t>
            </w:r>
            <w:r>
              <w:rPr>
                <w:rFonts w:eastAsia="" w:cs=""/>
                <w:kern w:val="0"/>
                <w:sz w:val="20"/>
                <w:szCs w:val="22"/>
                <w:lang w:val="sk-SK" w:eastAsia="sk-SK" w:bidi="ar-SA"/>
              </w:rPr>
              <w:t xml:space="preserve">   </w:t>
            </w:r>
          </w:p>
        </w:tc>
      </w:tr>
    </w:tbl>
    <w:p>
      <w:pPr>
        <w:pStyle w:val="Normal"/>
        <w:spacing w:before="0" w:after="18"/>
        <w:jc w:val="center"/>
        <w:rPr/>
      </w:pPr>
      <w:r>
        <w:rPr>
          <w:b/>
          <w:sz w:val="28"/>
        </w:rPr>
        <w:t xml:space="preserve"> </w:t>
      </w:r>
    </w:p>
    <w:p>
      <w:pPr>
        <w:pStyle w:val="Normal"/>
        <w:spacing w:before="0" w:after="22"/>
        <w:jc w:val="center"/>
        <w:rPr/>
      </w:pPr>
      <w:r>
        <w:rPr>
          <w:b/>
          <w:sz w:val="28"/>
        </w:rPr>
        <w:t xml:space="preserve"> </w:t>
      </w:r>
    </w:p>
    <w:p>
      <w:pPr>
        <w:pStyle w:val="Normal"/>
        <w:spacing w:before="0" w:after="0"/>
        <w:jc w:val="center"/>
        <w:rPr/>
      </w:pPr>
      <w:r>
        <w:rPr>
          <w:b/>
          <w:sz w:val="28"/>
        </w:rPr>
        <w:t xml:space="preserve"> </w:t>
      </w:r>
    </w:p>
    <w:p>
      <w:pPr>
        <w:pStyle w:val="Normal"/>
        <w:spacing w:lineRule="auto" w:line="259" w:before="0" w:after="251"/>
        <w:ind w:left="7" w:right="51" w:hanging="0"/>
        <w:rPr/>
      </w:pPr>
      <w:r>
        <w:rPr/>
        <w:t>__________________________________________________________________________________</w:t>
      </w:r>
      <w:r>
        <w:rPr>
          <w:rFonts w:eastAsia="Calibri" w:cs="Calibri"/>
        </w:rPr>
        <w:t xml:space="preserve"> </w:t>
      </w:r>
    </w:p>
    <w:p>
      <w:pPr>
        <w:pStyle w:val="Normal"/>
        <w:spacing w:before="0" w:after="170"/>
        <w:ind w:right="2" w:hanging="0"/>
        <w:jc w:val="center"/>
        <w:rPr/>
      </w:pPr>
      <w:r>
        <w:rPr/>
      </w:r>
    </w:p>
    <w:p>
      <w:pPr>
        <w:pStyle w:val="Normal"/>
        <w:spacing w:before="0" w:after="170"/>
        <w:ind w:right="2" w:hanging="0"/>
        <w:jc w:val="center"/>
        <w:rPr/>
      </w:pPr>
      <w:r>
        <w:rPr/>
      </w:r>
    </w:p>
    <w:p>
      <w:pPr>
        <w:pStyle w:val="Normal"/>
        <w:spacing w:before="0" w:after="170"/>
        <w:ind w:right="2" w:hanging="0"/>
        <w:jc w:val="center"/>
        <w:rPr/>
      </w:pPr>
      <w:r>
        <w:rPr/>
      </w:r>
    </w:p>
    <w:p>
      <w:pPr>
        <w:pStyle w:val="Normal"/>
        <w:spacing w:before="0" w:after="170"/>
        <w:ind w:right="2" w:hanging="0"/>
        <w:jc w:val="center"/>
        <w:rPr/>
      </w:pPr>
      <w:r>
        <w:rPr>
          <w:b/>
          <w:sz w:val="28"/>
        </w:rPr>
        <w:t xml:space="preserve"> </w:t>
      </w:r>
    </w:p>
    <w:p>
      <w:pPr>
        <w:pStyle w:val="Normal"/>
        <w:spacing w:before="0" w:after="13"/>
        <w:ind w:right="68" w:hanging="0"/>
        <w:jc w:val="center"/>
        <w:rPr/>
      </w:pPr>
      <w:r>
        <w:rPr>
          <w:b/>
          <w:sz w:val="28"/>
        </w:rPr>
        <w:t>7.</w:t>
      </w:r>
      <w:r>
        <w:rPr/>
        <w:t xml:space="preserve"> </w:t>
      </w:r>
    </w:p>
    <w:p>
      <w:pPr>
        <w:pStyle w:val="Normal"/>
        <w:spacing w:before="0" w:after="31"/>
        <w:ind w:right="76" w:hanging="0"/>
        <w:jc w:val="center"/>
        <w:rPr/>
      </w:pPr>
      <w:r>
        <w:rPr>
          <w:b/>
          <w:sz w:val="28"/>
        </w:rPr>
        <w:t xml:space="preserve">STAV A POHYB MAJETKU A ZÁVÄZKOV NEZISKOVEJ </w:t>
      </w:r>
    </w:p>
    <w:p>
      <w:pPr>
        <w:pStyle w:val="Normal"/>
        <w:spacing w:before="0" w:after="0"/>
        <w:ind w:right="69" w:hanging="0"/>
        <w:jc w:val="center"/>
        <w:rPr/>
      </w:pPr>
      <w:r>
        <w:rPr>
          <w:b/>
          <w:sz w:val="28"/>
        </w:rPr>
        <w:t>ORGANIZÁCIE</w:t>
      </w:r>
      <w:r>
        <w:rPr/>
        <w:t xml:space="preserve"> </w:t>
      </w:r>
    </w:p>
    <w:p>
      <w:pPr>
        <w:pStyle w:val="Normal"/>
        <w:spacing w:before="0" w:after="62"/>
        <w:ind w:right="10" w:hanging="0"/>
        <w:jc w:val="center"/>
        <w:rPr/>
      </w:pPr>
      <w:r>
        <w:rPr/>
        <w:t xml:space="preserve"> </w:t>
      </w:r>
    </w:p>
    <w:p>
      <w:pPr>
        <w:pStyle w:val="Normal"/>
        <w:spacing w:lineRule="auto" w:line="319" w:before="0" w:after="0"/>
        <w:ind w:left="-5" w:right="60" w:hanging="0"/>
        <w:rPr/>
      </w:pPr>
      <w:r>
        <w:rPr/>
        <w:t xml:space="preserve"> </w:t>
      </w:r>
      <w:r>
        <w:rPr/>
        <w:tab/>
        <w:t xml:space="preserve">Stav a pohyb majetku a záväzkov neziskovej organizácie vyplýva z priloženej riadnej účtovnej závierky a poznámok k účtovnej závierke za rok 2023  </w:t>
      </w:r>
      <w:r>
        <w:rPr>
          <w:b/>
        </w:rPr>
        <w:t xml:space="preserve">(príloha č. 1 a príloha č. 4) </w:t>
      </w:r>
    </w:p>
    <w:p>
      <w:pPr>
        <w:pStyle w:val="Normal"/>
        <w:spacing w:before="0" w:after="64"/>
        <w:rPr/>
      </w:pPr>
      <w:r>
        <w:rPr>
          <w:b/>
        </w:rPr>
        <w:t xml:space="preserve"> </w:t>
      </w:r>
    </w:p>
    <w:p>
      <w:pPr>
        <w:pStyle w:val="Normal"/>
        <w:spacing w:before="0" w:after="215"/>
        <w:ind w:right="68" w:hanging="0"/>
        <w:jc w:val="center"/>
        <w:rPr/>
      </w:pPr>
      <w:r>
        <w:rPr>
          <w:b/>
          <w:sz w:val="28"/>
        </w:rPr>
        <w:t>8.</w:t>
      </w:r>
      <w:r>
        <w:rPr>
          <w:b/>
        </w:rPr>
        <w:t xml:space="preserve"> </w:t>
      </w:r>
    </w:p>
    <w:p>
      <w:pPr>
        <w:pStyle w:val="Normal"/>
        <w:spacing w:before="0" w:after="16"/>
        <w:ind w:right="69" w:hanging="0"/>
        <w:jc w:val="center"/>
        <w:rPr/>
      </w:pPr>
      <w:r>
        <w:rPr>
          <w:b/>
        </w:rPr>
        <w:t xml:space="preserve"> </w:t>
      </w:r>
      <w:r>
        <w:rPr>
          <w:b/>
        </w:rPr>
        <w:t xml:space="preserve">EKONOMICKY OPRÁVNENÉ NÁKLADY NA JEDNÉHO PRIJÍMATEĽA </w:t>
      </w:r>
    </w:p>
    <w:p>
      <w:pPr>
        <w:pStyle w:val="Normal"/>
        <w:spacing w:lineRule="auto" w:line="264" w:before="0" w:after="58"/>
        <w:ind w:left="174" w:right="59" w:hanging="0"/>
        <w:rPr/>
      </w:pPr>
      <w:r>
        <w:rPr>
          <w:b/>
        </w:rPr>
        <w:t xml:space="preserve">SOCIÁLNEJ SLUŽBY PODĽA DRUHU POSKYTOVANEJ SOCIÁLNEJ SLUŽBY </w:t>
      </w:r>
    </w:p>
    <w:p>
      <w:pPr>
        <w:pStyle w:val="Normal"/>
        <w:spacing w:before="0" w:after="69"/>
        <w:ind w:right="73" w:hanging="0"/>
        <w:jc w:val="center"/>
        <w:rPr/>
      </w:pPr>
      <w:r>
        <w:rPr>
          <w:b/>
        </w:rPr>
        <w:t xml:space="preserve">ZA KALENDÁRNY ROK </w:t>
      </w:r>
      <w:r>
        <w:rPr/>
        <w:t xml:space="preserve"> </w:t>
      </w:r>
    </w:p>
    <w:p>
      <w:pPr>
        <w:pStyle w:val="Normal"/>
        <w:spacing w:before="0" w:after="69"/>
        <w:ind w:right="73" w:hanging="0"/>
        <w:jc w:val="center"/>
        <w:rPr/>
      </w:pPr>
      <w:r>
        <w:rPr/>
      </w:r>
    </w:p>
    <w:p>
      <w:pPr>
        <w:pStyle w:val="Normal"/>
        <w:spacing w:before="0" w:after="117"/>
        <w:ind w:left="-5" w:right="60" w:hanging="0"/>
        <w:rPr/>
      </w:pPr>
      <w:r>
        <w:rPr/>
        <w:t xml:space="preserve"> </w:t>
      </w:r>
      <w:r>
        <w:rPr/>
        <w:t xml:space="preserve">Ekonomicky oprávnené náklady na jedného prijímateľa sociálnej služby podľa druhu poskytovanej sociálnej služby za kalendárny rok 2023 sú </w:t>
      </w:r>
      <w:r>
        <w:rPr>
          <w:b/>
          <w:color w:val="000000"/>
          <w:sz w:val="28"/>
        </w:rPr>
        <w:t xml:space="preserve">779,98 eur </w:t>
      </w:r>
    </w:p>
    <w:p>
      <w:pPr>
        <w:pStyle w:val="Normal"/>
        <w:spacing w:before="0" w:after="169"/>
        <w:ind w:right="68" w:hanging="0"/>
        <w:jc w:val="center"/>
        <w:rPr/>
      </w:pPr>
      <w:r>
        <w:rPr>
          <w:b/>
          <w:sz w:val="28"/>
        </w:rPr>
        <w:t>9.</w:t>
      </w:r>
      <w:r>
        <w:rPr>
          <w:b/>
        </w:rPr>
        <w:t xml:space="preserve"> </w:t>
      </w:r>
    </w:p>
    <w:p>
      <w:pPr>
        <w:pStyle w:val="Normal"/>
        <w:spacing w:before="0" w:after="69"/>
        <w:ind w:right="75" w:hanging="0"/>
        <w:jc w:val="center"/>
        <w:rPr/>
      </w:pPr>
      <w:r>
        <w:rPr>
          <w:b/>
        </w:rPr>
        <w:t xml:space="preserve">ZMENY A NOVÉ ZLOŽENIE ORGÁNOV NEZISKOVEJ ORGANIZÁCIE, KU </w:t>
      </w:r>
    </w:p>
    <w:p>
      <w:pPr>
        <w:pStyle w:val="Normal"/>
        <w:spacing w:before="0" w:after="263"/>
        <w:ind w:right="68" w:hanging="0"/>
        <w:jc w:val="center"/>
        <w:rPr/>
      </w:pPr>
      <w:r>
        <w:rPr>
          <w:b/>
        </w:rPr>
        <w:t xml:space="preserve">KTORÝM DOŠLO V PRIEBEHU ROKA </w:t>
      </w:r>
      <w:r>
        <w:rPr/>
        <w:t xml:space="preserve"> </w:t>
      </w:r>
    </w:p>
    <w:p>
      <w:pPr>
        <w:pStyle w:val="Normal"/>
        <w:ind w:left="-5" w:right="60" w:hanging="0"/>
        <w:rPr/>
      </w:pPr>
      <w:r>
        <w:rPr/>
        <w:t xml:space="preserve"> </w:t>
      </w:r>
      <w:r>
        <w:rPr/>
        <w:t>V roku 2021 nedošlo k zmene štatutára ( riaditeľa) neziskovej organizácie a taktiež k zmene v zložení správnej rady neziskovej organizácie:</w:t>
      </w:r>
      <w:r>
        <w:rPr>
          <w:b/>
        </w:rPr>
        <w:t xml:space="preserve"> </w:t>
      </w:r>
    </w:p>
    <w:p>
      <w:pPr>
        <w:pStyle w:val="Normal"/>
        <w:ind w:right="71" w:hanging="0"/>
        <w:jc w:val="center"/>
        <w:rPr/>
      </w:pPr>
      <w:r>
        <w:rPr>
          <w:b/>
        </w:rPr>
        <w:t>Riaditeľ :</w:t>
      </w:r>
      <w:r>
        <w:rPr/>
        <w:t xml:space="preserve"> </w:t>
      </w:r>
    </w:p>
    <w:p>
      <w:pPr>
        <w:pStyle w:val="Normal"/>
        <w:spacing w:before="0" w:after="159"/>
        <w:ind w:left="1355" w:right="1407" w:hanging="0"/>
        <w:jc w:val="center"/>
        <w:rPr/>
      </w:pPr>
      <w:r>
        <w:rPr/>
        <w:t>Slávka Chovancová – riaditeľka od 23.8.2021</w:t>
      </w:r>
    </w:p>
    <w:p>
      <w:pPr>
        <w:pStyle w:val="Normal"/>
        <w:spacing w:before="0" w:after="189"/>
        <w:ind w:left="1355" w:right="1412" w:hanging="0"/>
        <w:jc w:val="center"/>
        <w:rPr/>
      </w:pPr>
      <w:r>
        <w:rPr/>
        <w:t xml:space="preserve">Mgr. Ľudmila Jaroščáková – od </w:t>
      </w:r>
      <w:r>
        <w:rPr>
          <w:b/>
        </w:rPr>
        <w:t xml:space="preserve"> </w:t>
      </w:r>
      <w:r>
        <w:rPr/>
        <w:t xml:space="preserve"> 06.03.2022 </w:t>
      </w:r>
    </w:p>
    <w:p>
      <w:pPr>
        <w:pStyle w:val="Normal"/>
        <w:spacing w:before="0" w:after="182"/>
        <w:ind w:right="75" w:hanging="0"/>
        <w:jc w:val="center"/>
        <w:rPr/>
      </w:pPr>
      <w:r>
        <w:rPr>
          <w:b/>
        </w:rPr>
        <w:t>Správna rada:</w:t>
      </w:r>
      <w:r>
        <w:rPr/>
        <w:t xml:space="preserve"> </w:t>
      </w:r>
    </w:p>
    <w:p>
      <w:pPr>
        <w:pStyle w:val="Normal"/>
        <w:spacing w:before="0" w:after="172"/>
        <w:ind w:left="1355" w:right="1414" w:hanging="0"/>
        <w:jc w:val="center"/>
        <w:rPr/>
      </w:pPr>
      <w:r>
        <w:rPr/>
        <w:t xml:space="preserve"> </w:t>
      </w:r>
      <w:r>
        <w:rPr/>
        <w:t xml:space="preserve">Tatiana Maskalíková – predseda správnej rady od 25.5.2021 </w:t>
      </w:r>
    </w:p>
    <w:p>
      <w:pPr>
        <w:pStyle w:val="Normal"/>
        <w:spacing w:lineRule="auto" w:line="410" w:before="0" w:after="2"/>
        <w:ind w:left="1355" w:right="1355" w:hanging="0"/>
        <w:jc w:val="center"/>
        <w:rPr/>
      </w:pPr>
      <w:r>
        <w:rPr/>
        <w:t xml:space="preserve"> </w:t>
      </w:r>
      <w:r>
        <w:rPr/>
        <w:t xml:space="preserve">Ivana Golisová  dozorná rada od 25.5.2021  </w:t>
      </w:r>
    </w:p>
    <w:p>
      <w:pPr>
        <w:pStyle w:val="Normal"/>
        <w:spacing w:lineRule="auto" w:line="410" w:before="0" w:after="2"/>
        <w:ind w:left="1355" w:right="1355" w:hanging="0"/>
        <w:jc w:val="center"/>
        <w:rPr/>
      </w:pPr>
      <w:r>
        <w:rPr/>
        <w:t xml:space="preserve">Slavko Vorobeľ – člen správnej rady – od 25.5.2021 </w:t>
      </w:r>
    </w:p>
    <w:p>
      <w:pPr>
        <w:pStyle w:val="Normal"/>
        <w:spacing w:lineRule="auto" w:line="410" w:before="0" w:after="2"/>
        <w:ind w:left="1355" w:right="1355" w:hanging="0"/>
        <w:jc w:val="center"/>
        <w:rPr>
          <w:b/>
        </w:rPr>
      </w:pPr>
      <w:r>
        <w:rPr/>
        <w:t xml:space="preserve"> </w:t>
      </w:r>
      <w:r>
        <w:rPr/>
        <w:t>Andrea Gmitterová  – člen správnej rady od 25.5.2021</w:t>
      </w:r>
    </w:p>
    <w:p>
      <w:pPr>
        <w:pStyle w:val="Normal"/>
        <w:spacing w:before="0" w:after="0"/>
        <w:ind w:right="10" w:hanging="0"/>
        <w:jc w:val="center"/>
        <w:rPr/>
      </w:pPr>
      <w:r>
        <w:rPr/>
      </w:r>
    </w:p>
    <w:p>
      <w:pPr>
        <w:pStyle w:val="Normal"/>
        <w:spacing w:lineRule="auto" w:line="259" w:before="0" w:after="251"/>
        <w:ind w:left="7" w:right="51" w:hanging="0"/>
        <w:rPr/>
      </w:pPr>
      <w:r>
        <w:rPr/>
        <w:t>__________________________________________________________________________________</w:t>
      </w:r>
      <w:r>
        <w:rPr>
          <w:rFonts w:eastAsia="Calibri" w:cs="Calibri"/>
        </w:rPr>
        <w:t xml:space="preserve"> </w:t>
      </w:r>
    </w:p>
    <w:p>
      <w:pPr>
        <w:pStyle w:val="Normal"/>
        <w:spacing w:before="0" w:after="213"/>
        <w:ind w:right="2" w:hanging="0"/>
        <w:jc w:val="center"/>
        <w:rPr>
          <w:sz w:val="28"/>
        </w:rPr>
      </w:pPr>
      <w:r>
        <w:rPr>
          <w:sz w:val="28"/>
        </w:rPr>
        <w:t xml:space="preserve"> </w:t>
      </w:r>
    </w:p>
    <w:p>
      <w:pPr>
        <w:pStyle w:val="Normal"/>
        <w:spacing w:before="0" w:after="213"/>
        <w:ind w:right="2" w:hanging="0"/>
        <w:jc w:val="center"/>
        <w:rPr>
          <w:sz w:val="28"/>
        </w:rPr>
      </w:pPr>
      <w:r>
        <w:rPr>
          <w:sz w:val="28"/>
        </w:rPr>
      </w:r>
    </w:p>
    <w:p>
      <w:pPr>
        <w:pStyle w:val="Normal"/>
        <w:spacing w:before="0" w:after="213"/>
        <w:ind w:right="2" w:hanging="0"/>
        <w:jc w:val="center"/>
        <w:rPr/>
      </w:pPr>
      <w:r>
        <w:rPr/>
      </w:r>
    </w:p>
    <w:p>
      <w:pPr>
        <w:pStyle w:val="Normal"/>
        <w:spacing w:before="0" w:after="81"/>
        <w:ind w:right="65" w:hanging="0"/>
        <w:jc w:val="center"/>
        <w:rPr/>
      </w:pPr>
      <w:r>
        <w:rPr>
          <w:b/>
          <w:sz w:val="28"/>
        </w:rPr>
        <w:t>10</w:t>
      </w:r>
      <w:r>
        <w:rPr>
          <w:rFonts w:eastAsia="Calibri" w:cs="Calibri"/>
          <w:sz w:val="28"/>
        </w:rPr>
        <w:t>.</w:t>
      </w:r>
      <w:r>
        <w:rPr>
          <w:b/>
          <w:sz w:val="28"/>
        </w:rPr>
        <w:t xml:space="preserve"> </w:t>
      </w:r>
    </w:p>
    <w:p>
      <w:pPr>
        <w:pStyle w:val="Nadpis2"/>
        <w:spacing w:before="0" w:after="95"/>
        <w:ind w:left="737" w:right="0" w:hanging="316"/>
        <w:rPr/>
      </w:pPr>
      <w:r>
        <w:rPr/>
        <w:t>VÝROK ŠTATUTÁRNEHO AUDÍTORA K ROČNEJ ÚČTOVNEJ ZÁVIERKE, AK JU ŠTATUTÁRNY AUDÍTOR OVEROVAL</w:t>
      </w:r>
      <w:r>
        <w:rPr>
          <w:b w:val="false"/>
          <w:sz w:val="24"/>
        </w:rPr>
        <w:t xml:space="preserve"> </w:t>
      </w:r>
    </w:p>
    <w:p>
      <w:pPr>
        <w:pStyle w:val="Normal"/>
        <w:spacing w:before="0" w:after="189"/>
        <w:rPr/>
      </w:pPr>
      <w:r>
        <w:rPr/>
        <w:t xml:space="preserve"> </w:t>
      </w:r>
      <w:r>
        <w:rPr/>
        <w:tab/>
        <w:t xml:space="preserve"> </w:t>
      </w:r>
    </w:p>
    <w:p>
      <w:pPr>
        <w:pStyle w:val="Normal"/>
        <w:spacing w:before="0" w:after="113"/>
        <w:ind w:left="-5" w:right="60" w:hanging="0"/>
        <w:rPr/>
      </w:pPr>
      <w:r>
        <w:rPr/>
        <w:t xml:space="preserve"> </w:t>
      </w:r>
      <w:r>
        <w:rPr/>
        <w:t xml:space="preserve">V zmysle § 67a ods. 4 zákona č. 448/2008 Z.z. o sociálnych službách a o zmene a doplnení zákona č. 455/1991 Zb. o živnostenskom podnikaní v znení neskorších predpisov v spojení s § 33 ods. 3 zákona č. 213/1997 Z.z o neziskových organizáciách poskytujúcich všeobecne prospešné služby v znení neskorších  predpisov </w:t>
      </w:r>
      <w:r>
        <w:rPr>
          <w:i/>
        </w:rPr>
        <w:t>nevznikla</w:t>
      </w:r>
      <w:r>
        <w:rPr/>
        <w:t xml:space="preserve">  povinnosť neziskovej  organizácii Harmónia Chmeľová, n.o. za účtovné obdobie od 01.01. 2023 do 31.12.2023  mať ročnú účtovnú  závierku a  výročnú správu overenú štatutárnym audítorom. </w:t>
      </w:r>
      <w:r>
        <w:rPr>
          <w:b/>
          <w:sz w:val="28"/>
        </w:rPr>
        <w:t xml:space="preserve">  </w:t>
      </w:r>
    </w:p>
    <w:p>
      <w:pPr>
        <w:pStyle w:val="Normal"/>
        <w:spacing w:before="0" w:after="222"/>
        <w:jc w:val="center"/>
        <w:rPr/>
      </w:pPr>
      <w:r>
        <w:rPr>
          <w:b/>
          <w:sz w:val="28"/>
        </w:rPr>
        <w:t xml:space="preserve"> </w:t>
      </w:r>
    </w:p>
    <w:p>
      <w:pPr>
        <w:pStyle w:val="Normal"/>
        <w:spacing w:before="0" w:after="215"/>
        <w:ind w:right="72" w:hanging="0"/>
        <w:jc w:val="center"/>
        <w:rPr/>
      </w:pPr>
      <w:r>
        <w:rPr>
          <w:b/>
          <w:sz w:val="28"/>
        </w:rPr>
        <w:t xml:space="preserve">11. </w:t>
      </w:r>
    </w:p>
    <w:p>
      <w:pPr>
        <w:pStyle w:val="Normal"/>
        <w:spacing w:before="0" w:after="215"/>
        <w:ind w:right="70" w:hanging="0"/>
        <w:jc w:val="center"/>
        <w:rPr/>
      </w:pPr>
      <w:r>
        <w:rPr>
          <w:b/>
          <w:sz w:val="28"/>
        </w:rPr>
        <w:t>ĎALŠIE ÚDAJE URČENÉ SPRÁVNOU RADOU</w:t>
      </w:r>
      <w:r>
        <w:rPr/>
        <w:t xml:space="preserve"> </w:t>
      </w:r>
    </w:p>
    <w:p>
      <w:pPr>
        <w:pStyle w:val="Normal"/>
        <w:tabs>
          <w:tab w:val="clear" w:pos="708"/>
          <w:tab w:val="center" w:pos="3937" w:leader="none"/>
        </w:tabs>
        <w:ind w:left="-15" w:hanging="0"/>
        <w:rPr/>
      </w:pPr>
      <w:r>
        <w:rPr/>
        <w:t xml:space="preserve"> </w:t>
      </w:r>
      <w:r>
        <w:rPr/>
        <w:tab/>
        <w:t xml:space="preserve">Správna rada nerozhodla o žiadnych ďalších doplňujúcich údajoch. </w:t>
      </w:r>
    </w:p>
    <w:p>
      <w:pPr>
        <w:pStyle w:val="Normal"/>
        <w:spacing w:before="0" w:after="222"/>
        <w:rPr/>
      </w:pPr>
      <w:r>
        <w:rPr>
          <w:b/>
          <w:sz w:val="28"/>
        </w:rPr>
        <w:t xml:space="preserve"> </w:t>
      </w:r>
    </w:p>
    <w:p>
      <w:pPr>
        <w:pStyle w:val="Normal"/>
        <w:spacing w:before="0" w:after="262"/>
        <w:ind w:right="72" w:hanging="0"/>
        <w:jc w:val="center"/>
        <w:rPr/>
      </w:pPr>
      <w:r>
        <w:rPr>
          <w:b/>
          <w:sz w:val="28"/>
        </w:rPr>
        <w:t xml:space="preserve">12. </w:t>
      </w:r>
    </w:p>
    <w:p>
      <w:pPr>
        <w:pStyle w:val="Normal"/>
        <w:spacing w:before="0" w:after="215"/>
        <w:ind w:right="65" w:hanging="0"/>
        <w:jc w:val="center"/>
        <w:rPr/>
      </w:pPr>
      <w:r>
        <w:rPr>
          <w:b/>
          <w:sz w:val="28"/>
        </w:rPr>
        <w:t xml:space="preserve"> </w:t>
      </w:r>
      <w:r>
        <w:rPr>
          <w:b/>
          <w:sz w:val="28"/>
        </w:rPr>
        <w:t>ZÁVER</w:t>
      </w:r>
      <w:r>
        <w:rPr/>
        <w:t xml:space="preserve"> </w:t>
      </w:r>
    </w:p>
    <w:p>
      <w:pPr>
        <w:pStyle w:val="Normal"/>
        <w:spacing w:before="0" w:after="187"/>
        <w:ind w:left="-5" w:right="60" w:hanging="0"/>
        <w:rPr/>
      </w:pPr>
      <w:r>
        <w:rPr/>
        <w:t xml:space="preserve"> </w:t>
      </w:r>
      <w:r>
        <w:rPr/>
        <w:t xml:space="preserve">Výročná správa neziskovej organizácie bola schválená Správnou radou neziskovej organizácie dňa 01.04.2025.  Táto výročná správa bude uložená do verejnej časti  registra  účtovných závierok do 30.06.2026, ako aj bude verejne prístupná v sídle neziskovej organizácie v mieste prevádzkovania zariadenia pre seniorov na adrese Chmeľová 166, 086 33 Zborov </w:t>
      </w:r>
    </w:p>
    <w:p>
      <w:pPr>
        <w:pStyle w:val="Normal"/>
        <w:spacing w:before="0" w:after="217"/>
        <w:rPr/>
      </w:pPr>
      <w:r>
        <w:rPr/>
        <w:t xml:space="preserve"> </w:t>
      </w:r>
    </w:p>
    <w:p>
      <w:pPr>
        <w:pStyle w:val="Normal"/>
        <w:spacing w:before="0" w:after="217"/>
        <w:rPr/>
      </w:pPr>
      <w:r>
        <w:rPr/>
        <w:t xml:space="preserve"> </w:t>
      </w:r>
    </w:p>
    <w:p>
      <w:pPr>
        <w:pStyle w:val="Normal"/>
        <w:spacing w:before="0" w:after="217"/>
        <w:rPr/>
      </w:pPr>
      <w:r>
        <w:rPr/>
        <w:t xml:space="preserve"> </w:t>
      </w:r>
    </w:p>
    <w:p>
      <w:pPr>
        <w:pStyle w:val="Normal"/>
        <w:spacing w:before="0" w:after="213"/>
        <w:rPr/>
      </w:pPr>
      <w:r>
        <w:rPr/>
        <w:t xml:space="preserve"> </w:t>
      </w:r>
    </w:p>
    <w:p>
      <w:pPr>
        <w:pStyle w:val="Normal"/>
        <w:spacing w:before="0" w:after="164"/>
        <w:ind w:right="12" w:hanging="0"/>
        <w:jc w:val="center"/>
        <w:rPr/>
      </w:pPr>
      <w:r>
        <w:rPr/>
      </w:r>
    </w:p>
    <w:p>
      <w:pPr>
        <w:pStyle w:val="Normal"/>
        <w:spacing w:before="0" w:after="164"/>
        <w:ind w:right="12" w:hanging="0"/>
        <w:jc w:val="center"/>
        <w:rPr/>
      </w:pPr>
      <w:r>
        <w:rPr/>
      </w:r>
    </w:p>
    <w:p>
      <w:pPr>
        <w:pStyle w:val="Normal"/>
        <w:rPr/>
      </w:pPr>
      <w:r>
        <w:rPr/>
      </w:r>
    </w:p>
    <w:p>
      <w:pPr>
        <w:pStyle w:val="Normal"/>
        <w:rPr/>
      </w:pPr>
      <w:r>
        <w:rPr/>
      </w:r>
    </w:p>
    <w:p>
      <w:pPr>
        <w:pStyle w:val="Normal"/>
        <w:rPr/>
      </w:pPr>
      <w:r>
        <w:rPr/>
        <w:drawing>
          <wp:inline distT="0" distB="0" distL="0" distR="0">
            <wp:extent cx="5760720" cy="7978140"/>
            <wp:effectExtent l="0" t="0" r="0" b="0"/>
            <wp:docPr id="1" name="Obrázok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
                    <pic:cNvPicPr>
                      <a:picLocks noChangeAspect="1" noChangeArrowheads="1"/>
                    </pic:cNvPicPr>
                  </pic:nvPicPr>
                  <pic:blipFill>
                    <a:blip r:embed="rId2"/>
                    <a:stretch>
                      <a:fillRect/>
                    </a:stretch>
                  </pic:blipFill>
                  <pic:spPr bwMode="auto">
                    <a:xfrm>
                      <a:off x="0" y="0"/>
                      <a:ext cx="5760720" cy="7978140"/>
                    </a:xfrm>
                    <a:prstGeom prst="rect">
                      <a:avLst/>
                    </a:prstGeom>
                  </pic:spPr>
                </pic:pic>
              </a:graphicData>
            </a:graphic>
          </wp:inline>
        </w:drawing>
      </w:r>
    </w:p>
    <w:p>
      <w:pPr>
        <w:pStyle w:val="Normal"/>
        <w:rPr/>
      </w:pPr>
      <w:r>
        <w:rPr/>
      </w:r>
    </w:p>
    <w:p>
      <w:pPr>
        <w:pStyle w:val="Normal"/>
        <w:rPr/>
      </w:pPr>
      <w:r>
        <w:rPr/>
      </w:r>
    </w:p>
    <w:p>
      <w:pPr>
        <w:pStyle w:val="Normal"/>
        <w:widowControl/>
        <w:bidi w:val="0"/>
        <w:spacing w:lineRule="auto" w:line="259" w:before="0" w:after="160"/>
        <w:jc w:val="left"/>
        <w:rPr/>
      </w:pPr>
      <w:r>
        <w:rPr/>
      </w:r>
    </w:p>
    <w:sectPr>
      <w:type w:val="nextPage"/>
      <w:pgSz w:w="11906" w:h="16838"/>
      <w:pgMar w:left="1417" w:right="1417" w:gutter="0" w:header="0" w:top="1417" w:footer="0"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Times New Roman">
    <w:charset w:val="ee"/>
    <w:family w:val="roman"/>
    <w:pitch w:val="variable"/>
  </w:font>
  <w:font w:name="Liberation Sans">
    <w:altName w:val="Arial"/>
    <w:charset w:val="ee"/>
    <w:family w:val="roman"/>
    <w:pitch w:val="variable"/>
  </w:font>
  <w:font w:name="Segoe UI Symbol">
    <w:charset w:val="ee"/>
    <w:family w:val="roman"/>
    <w:pitch w:val="variable"/>
  </w:font>
  <w:font w:name="Arial">
    <w:charset w:val="ee"/>
    <w:family w:val="roman"/>
    <w:pitch w:val="variable"/>
  </w:font>
  <w:font w:name="Arial">
    <w:charset w:val="01"/>
    <w:family w:val="swiss"/>
    <w:pitch w:val="variable"/>
  </w:font>
  <w:font w:name="Segoe UI Symbol">
    <w:charset w:val="0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abstractNum>
  <w:abstractNum w:abstractNumId="2">
    <w:lvl w:ilvl="0">
      <w:start w:val="6"/>
      <w:numFmt w:val="decimal"/>
      <w:lvlText w:val="%1."/>
      <w:lvlJc w:val="left"/>
      <w:pPr>
        <w:tabs>
          <w:tab w:val="num" w:pos="0"/>
        </w:tabs>
        <w:ind w:left="36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abstractNum>
  <w:abstractNum w:abstractNumId="3">
    <w:lvl w:ilvl="0">
      <w:start w:val="1"/>
      <w:numFmt w:val="decimal"/>
      <w:lvlText w:val="%1."/>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2"/>
      <w:numFmt w:val="lowerLetter"/>
      <w:lvlText w:val="%2)"/>
      <w:lvlJc w:val="left"/>
      <w:pPr>
        <w:tabs>
          <w:tab w:val="num" w:pos="0"/>
        </w:tabs>
        <w:ind w:left="13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216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88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60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432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504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76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48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4">
    <w:lvl w:ilvl="0">
      <w:start w:val="1"/>
      <w:numFmt w:val="bullet"/>
      <w:lvlText w:val="•"/>
      <w:lvlJc w:val="left"/>
      <w:pPr>
        <w:tabs>
          <w:tab w:val="num" w:pos="0"/>
        </w:tabs>
        <w:ind w:left="892" w:hanging="0"/>
      </w:pPr>
      <w:rPr>
        <w:rFonts w:ascii="Arial" w:hAnsi="Arial" w:cs="Arial" w:hint="default"/>
        <w:dstrike w:val="false"/>
        <w:strike w:val="false"/>
        <w:vertAlign w:val="baseline"/>
        <w:position w:val="0"/>
        <w:sz w:val="24"/>
        <w:sz w:val="24"/>
        <w:i w:val="false"/>
        <w:u w:val="none" w:color="000000"/>
        <w:b w:val="false"/>
        <w:shd w:fill="auto" w:val="clear"/>
        <w:szCs w:val="24"/>
        <w:color w:val="000000"/>
      </w:rPr>
    </w:lvl>
    <w:lvl w:ilvl="1">
      <w:start w:val="1"/>
      <w:numFmt w:val="bullet"/>
      <w:lvlText w:val="o"/>
      <w:lvlJc w:val="left"/>
      <w:pPr>
        <w:tabs>
          <w:tab w:val="num" w:pos="0"/>
        </w:tabs>
        <w:ind w:left="180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2">
      <w:start w:val="1"/>
      <w:numFmt w:val="bullet"/>
      <w:lvlText w:val="▪"/>
      <w:lvlJc w:val="left"/>
      <w:pPr>
        <w:tabs>
          <w:tab w:val="num" w:pos="0"/>
        </w:tabs>
        <w:ind w:left="252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3">
      <w:start w:val="1"/>
      <w:numFmt w:val="bullet"/>
      <w:lvlText w:val="•"/>
      <w:lvlJc w:val="left"/>
      <w:pPr>
        <w:tabs>
          <w:tab w:val="num" w:pos="0"/>
        </w:tabs>
        <w:ind w:left="3240" w:hanging="0"/>
      </w:pPr>
      <w:rPr>
        <w:rFonts w:ascii="Arial" w:hAnsi="Arial" w:cs="Arial" w:hint="default"/>
        <w:dstrike w:val="false"/>
        <w:strike w:val="false"/>
        <w:vertAlign w:val="baseline"/>
        <w:position w:val="0"/>
        <w:sz w:val="24"/>
        <w:sz w:val="24"/>
        <w:i w:val="false"/>
        <w:u w:val="none" w:color="000000"/>
        <w:b w:val="false"/>
        <w:shd w:fill="auto" w:val="clear"/>
        <w:szCs w:val="24"/>
        <w:color w:val="000000"/>
      </w:rPr>
    </w:lvl>
    <w:lvl w:ilvl="4">
      <w:start w:val="1"/>
      <w:numFmt w:val="bullet"/>
      <w:lvlText w:val="o"/>
      <w:lvlJc w:val="left"/>
      <w:pPr>
        <w:tabs>
          <w:tab w:val="num" w:pos="0"/>
        </w:tabs>
        <w:ind w:left="396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5">
      <w:start w:val="1"/>
      <w:numFmt w:val="bullet"/>
      <w:lvlText w:val="▪"/>
      <w:lvlJc w:val="left"/>
      <w:pPr>
        <w:tabs>
          <w:tab w:val="num" w:pos="0"/>
        </w:tabs>
        <w:ind w:left="468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6">
      <w:start w:val="1"/>
      <w:numFmt w:val="bullet"/>
      <w:lvlText w:val="•"/>
      <w:lvlJc w:val="left"/>
      <w:pPr>
        <w:tabs>
          <w:tab w:val="num" w:pos="0"/>
        </w:tabs>
        <w:ind w:left="5400" w:hanging="0"/>
      </w:pPr>
      <w:rPr>
        <w:rFonts w:ascii="Arial" w:hAnsi="Arial" w:cs="Arial" w:hint="default"/>
        <w:dstrike w:val="false"/>
        <w:strike w:val="false"/>
        <w:vertAlign w:val="baseline"/>
        <w:position w:val="0"/>
        <w:sz w:val="24"/>
        <w:sz w:val="24"/>
        <w:i w:val="false"/>
        <w:u w:val="none" w:color="000000"/>
        <w:b w:val="false"/>
        <w:shd w:fill="auto" w:val="clear"/>
        <w:szCs w:val="24"/>
        <w:color w:val="000000"/>
      </w:rPr>
    </w:lvl>
    <w:lvl w:ilvl="7">
      <w:start w:val="1"/>
      <w:numFmt w:val="bullet"/>
      <w:lvlText w:val="o"/>
      <w:lvlJc w:val="left"/>
      <w:pPr>
        <w:tabs>
          <w:tab w:val="num" w:pos="0"/>
        </w:tabs>
        <w:ind w:left="612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8">
      <w:start w:val="1"/>
      <w:numFmt w:val="bullet"/>
      <w:lvlText w:val="▪"/>
      <w:lvlJc w:val="left"/>
      <w:pPr>
        <w:tabs>
          <w:tab w:val="num" w:pos="0"/>
        </w:tabs>
        <w:ind w:left="684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abstractNum>
  <w:abstractNum w:abstractNumId="5">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6">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7">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8">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kern w:val="2"/>
        <w:sz w:val="22"/>
        <w:szCs w:val="22"/>
        <w:lang w:val="sk-SK" w:eastAsia="en-US" w:bidi="ar-SA"/>
        <w14:ligatures w14:val="standardContextual"/>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59" w:before="0" w:after="160"/>
      <w:jc w:val="left"/>
    </w:pPr>
    <w:rPr>
      <w:rFonts w:ascii="Calibri" w:hAnsi="Calibri" w:eastAsia="Calibri" w:cs="" w:asciiTheme="minorHAnsi" w:cstheme="minorBidi" w:eastAsiaTheme="minorHAnsi" w:hAnsiTheme="minorHAnsi"/>
      <w:color w:val="auto"/>
      <w:kern w:val="2"/>
      <w:sz w:val="22"/>
      <w:szCs w:val="22"/>
      <w:lang w:val="sk-SK" w:eastAsia="en-US" w:bidi="ar-SA"/>
      <w14:ligatures w14:val="standardContextual"/>
    </w:rPr>
  </w:style>
  <w:style w:type="paragraph" w:styleId="Nadpis1">
    <w:name w:val="Heading 1"/>
    <w:next w:val="Normal"/>
    <w:link w:val="Nadpis1Char"/>
    <w:uiPriority w:val="9"/>
    <w:unhideWhenUsed/>
    <w:qFormat/>
    <w:rsid w:val="00581637"/>
    <w:pPr>
      <w:keepNext w:val="true"/>
      <w:keepLines/>
      <w:widowControl/>
      <w:suppressAutoHyphens w:val="true"/>
      <w:bidi w:val="0"/>
      <w:spacing w:lineRule="auto" w:line="331" w:before="0" w:after="0"/>
      <w:ind w:left="769" w:right="513" w:hanging="0"/>
      <w:jc w:val="center"/>
      <w:outlineLvl w:val="0"/>
    </w:pPr>
    <w:rPr>
      <w:rFonts w:ascii="Calibri" w:hAnsi="Calibri" w:eastAsia="Calibri" w:cs="Calibri"/>
      <w:color w:val="000000"/>
      <w:kern w:val="0"/>
      <w:sz w:val="72"/>
      <w:szCs w:val="22"/>
      <w:lang w:val="sk-SK" w:eastAsia="sk-SK" w:bidi="ar-SA"/>
      <w14:ligatures w14:val="none"/>
    </w:rPr>
  </w:style>
  <w:style w:type="paragraph" w:styleId="Nadpis2">
    <w:name w:val="Heading 2"/>
    <w:next w:val="Normal"/>
    <w:link w:val="Nadpis2Char"/>
    <w:uiPriority w:val="9"/>
    <w:unhideWhenUsed/>
    <w:qFormat/>
    <w:rsid w:val="00581637"/>
    <w:pPr>
      <w:keepNext w:val="true"/>
      <w:keepLines/>
      <w:widowControl/>
      <w:suppressAutoHyphens w:val="true"/>
      <w:bidi w:val="0"/>
      <w:spacing w:lineRule="auto" w:line="259" w:before="0" w:after="70"/>
      <w:ind w:left="10" w:right="70" w:hanging="10"/>
      <w:jc w:val="left"/>
      <w:outlineLvl w:val="1"/>
    </w:pPr>
    <w:rPr>
      <w:rFonts w:ascii="Times New Roman" w:hAnsi="Times New Roman" w:eastAsia="Times New Roman" w:cs="Times New Roman"/>
      <w:b/>
      <w:color w:val="000000"/>
      <w:kern w:val="0"/>
      <w:sz w:val="28"/>
      <w:szCs w:val="22"/>
      <w:lang w:val="sk-SK" w:eastAsia="sk-SK" w:bidi="ar-SA"/>
      <w14:ligatures w14:val="none"/>
    </w:rPr>
  </w:style>
  <w:style w:type="character" w:styleId="DefaultParagraphFont" w:default="1">
    <w:name w:val="Default Paragraph Font"/>
    <w:uiPriority w:val="1"/>
    <w:semiHidden/>
    <w:unhideWhenUsed/>
    <w:qFormat/>
    <w:rPr/>
  </w:style>
  <w:style w:type="character" w:styleId="Nadpis1Char" w:customStyle="1">
    <w:name w:val="Nadpis 1 Char"/>
    <w:basedOn w:val="DefaultParagraphFont"/>
    <w:uiPriority w:val="9"/>
    <w:qFormat/>
    <w:rsid w:val="00581637"/>
    <w:rPr>
      <w:rFonts w:ascii="Calibri" w:hAnsi="Calibri" w:eastAsia="Calibri" w:cs="Calibri"/>
      <w:color w:val="000000"/>
      <w:kern w:val="0"/>
      <w:sz w:val="72"/>
      <w:lang w:eastAsia="sk-SK"/>
      <w14:ligatures w14:val="none"/>
    </w:rPr>
  </w:style>
  <w:style w:type="character" w:styleId="Nadpis2Char" w:customStyle="1">
    <w:name w:val="Nadpis 2 Char"/>
    <w:basedOn w:val="DefaultParagraphFont"/>
    <w:uiPriority w:val="9"/>
    <w:qFormat/>
    <w:rsid w:val="00581637"/>
    <w:rPr>
      <w:rFonts w:ascii="Times New Roman" w:hAnsi="Times New Roman" w:eastAsia="Times New Roman" w:cs="Times New Roman"/>
      <w:b/>
      <w:color w:val="000000"/>
      <w:kern w:val="0"/>
      <w:sz w:val="28"/>
      <w:lang w:eastAsia="sk-SK"/>
      <w14:ligatures w14:val="none"/>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 w:type="table" w:customStyle="1" w:styleId="TableGrid">
    <w:name w:val="TableGrid"/>
    <w:rsid w:val="00581637"/>
    <w:pPr>
      <w:spacing w:after="0" w:line="240" w:lineRule="auto"/>
    </w:pPr>
    <w:rPr>
      <w:rFonts w:eastAsiaTheme="minorEastAsia"/>
      <w:lang w:eastAsia="sk-SK"/>
    </w:rPr>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1153</TotalTime>
  <Application>LibreOffice/7.5.3.2$Windows_X86_64 LibreOffice_project/9f56dff12ba03b9acd7730a5a481eea045e468f3</Application>
  <AppVersion>15.0000</AppVersion>
  <Pages>12</Pages>
  <Words>1536</Words>
  <Characters>9792</Characters>
  <CharactersWithSpaces>11499</CharactersWithSpaces>
  <Paragraphs>235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2023-03-29T13:03:00Z</dcterms:created>
  <dc:creator>hp</dc:creator>
  <dc:description/>
  <dc:language>sk-SK</dc:language>
  <cp:lastModifiedBy/>
  <cp:lastPrinted>2023-03-29T13:11:00Z</cp:lastPrinted>
  <dcterms:modified xsi:type="dcterms:W3CDTF">2025-04-02T14:16:01Z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