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numPr>
          <w:ilvl w:val="0"/>
          <w:numId w:val="2"/>
        </w:numPr>
        <w:shd w:val="clear" w:color="auto" w:fill="FFFFFF" w:themeFill="background1"/>
        <w:spacing w:before="120" w:after="60"/>
        <w:ind w:left="360" w:hanging="360"/>
        <w:rPr/>
      </w:pPr>
      <w:r>
        <w:rPr/>
        <w:t xml:space="preserve"> </w:t>
      </w:r>
      <w:r>
        <w:rPr/>
        <w:t>Všeobecné údaje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Názov právnickej osoby a jej sídlo:</w:t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: </w:t>
      </w:r>
      <w:r>
        <w:rPr/>
        <w:t>Beauty, s. r. o. , Rustaveliho 8, 83106 Bratislava</w:t>
      </w:r>
      <w:r>
        <w:rPr/>
        <w:t xml:space="preserve"> (ďalej len Spoločnosť), </w:t>
      </w:r>
    </w:p>
    <w:p>
      <w:pPr>
        <w:pStyle w:val="Normal"/>
        <w:shd w:val="clear" w:color="auto" w:fill="FFFFFF" w:themeFill="background1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adpis2"/>
        <w:numPr>
          <w:ilvl w:val="0"/>
          <w:numId w:val="15"/>
        </w:numPr>
        <w:shd w:val="clear" w:color="auto" w:fill="FFFFFF" w:themeFill="background1"/>
        <w:rPr/>
      </w:pPr>
      <w:r>
        <w:rPr/>
        <w:t>Informácie o konsolidovanom celku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Spoločnosť nie je </w:t>
      </w:r>
      <w:r>
        <w:rPr>
          <w:shd w:fill="auto" w:val="clear"/>
        </w:rPr>
        <w:t>súčasťou konsolidovaného celku</w:t>
      </w:r>
      <w:r>
        <w:rPr/>
        <w:t xml:space="preserve">. 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  <w:bookmarkStart w:id="0" w:name="_Toc530739896"/>
      <w:bookmarkStart w:id="1" w:name="_Toc530739896"/>
      <w:bookmarkEnd w:id="1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Priemerný prepočítaný počet zamestnancov: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>
          <w:highlight w:val="none"/>
          <w:shd w:fill="auto" w:val="clear"/>
        </w:rPr>
      </w:pPr>
      <w:r>
        <w:rPr>
          <w:shd w:fill="auto" w:val="clear"/>
        </w:rPr>
        <w:t xml:space="preserve">Za bežné účtovné obdobie predstavoval priemerný prepočítaný počet bol:  </w:t>
      </w:r>
      <w:r>
        <w:rPr>
          <w:shd w:fill="auto" w:val="clear"/>
        </w:rPr>
        <w:t>0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>
          <w:b/>
          <w:b/>
          <w:bCs/>
        </w:rPr>
      </w:pPr>
      <w:r>
        <w:rPr>
          <w:b/>
          <w:bCs/>
        </w:rPr>
        <w:t xml:space="preserve">         </w:t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r>
        <w:rPr/>
        <w:t>informácia  o  prijatých  postupoch 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16"/>
        </w:numPr>
        <w:shd w:val="clear" w:color="auto" w:fill="FFFFFF" w:themeFill="background1"/>
        <w:rPr/>
      </w:pPr>
      <w:r>
        <w:rPr/>
        <w:t>Východiská pre zostavenie účtovnej závierky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  <w:t xml:space="preserve">Účtovná závierka bola zostavená za predpokladu, že Spoločnosť bude nepretržite pokračovať vo svojej činnosti </w:t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7"/>
        </w:numPr>
        <w:shd w:val="clear" w:color="auto" w:fill="FFFFFF" w:themeFill="background1"/>
        <w:rPr/>
      </w:pPr>
      <w:r>
        <w:rPr/>
        <w:t>Spôsob oceňovania jednotlivých položiek majetku a záväzkov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Dlhodobý nehmotný majetok a dlhodobý hmotný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hmotného majetku nie sú úroky z cudzích zdrojov ani realizované kurzové rozdiely, ktoré vznikli do momentu uvedenia dlhodobého majetku do 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Súčasťou obstarávacej ceny dlhodobého nehmotného majetku nie sú úroky z cudzích zdrojov, ktoré vznikli do momentu zaradenia dlhodobého nehmotného majetku do používania.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 xml:space="preserve">Zásoby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Zásoby sa oceňujú obstarávacou cenou.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Zníženie hodnoty zásob sa zohľadňuje vytvorením opravnej položky.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Pohľadávky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Krátkodobý finančný majetok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</w:p>
    <w:p>
      <w:pPr>
        <w:pStyle w:val="Pismenka"/>
        <w:numPr>
          <w:ilvl w:val="0"/>
          <w:numId w:val="5"/>
        </w:numPr>
        <w:shd w:val="clear" w:color="auto" w:fill="FFFFFF" w:themeFill="background1"/>
        <w:ind w:left="709" w:hanging="360"/>
        <w:rPr/>
      </w:pPr>
      <w:r>
        <w:rPr/>
        <w:t>Záväzky vrátane rezerv, dlhopisov, pôžičiek a úverov</w:t>
      </w:r>
    </w:p>
    <w:p>
      <w:pPr>
        <w:pStyle w:val="Pismenka"/>
        <w:numPr>
          <w:ilvl w:val="0"/>
          <w:numId w:val="0"/>
        </w:numPr>
        <w:shd w:val="clear" w:color="auto" w:fill="FFFFFF" w:themeFill="background1"/>
        <w:ind w:left="720" w:hanging="0"/>
        <w:rPr>
          <w:b w:val="false"/>
          <w:b w:val="false"/>
        </w:rPr>
      </w:pPr>
      <w:r>
        <w:rPr>
          <w:b w:val="false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Telotextu"/>
        <w:shd w:val="clear" w:color="auto" w:fill="FFFFFF" w:themeFill="background1"/>
        <w:ind w:left="720" w:hanging="0"/>
        <w:rPr/>
      </w:pPr>
      <w:r>
        <w:rPr/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Telotextu"/>
        <w:shd w:val="clear" w:color="auto" w:fill="FFFFFF" w:themeFill="background1"/>
        <w:ind w:left="720" w:hanging="0"/>
        <w:rPr>
          <w:sz w:val="24"/>
        </w:rPr>
      </w:pPr>
      <w:r>
        <w:rPr>
          <w:sz w:val="24"/>
        </w:rPr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18"/>
        </w:numPr>
        <w:shd w:val="clear" w:color="auto" w:fill="FFFFFF" w:themeFill="background1"/>
        <w:rPr/>
      </w:pPr>
      <w:r>
        <w:rPr/>
        <w:t>Tvorba odpisovaného plánu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>
      <w:pPr>
        <w:pStyle w:val="Telotextu"/>
        <w:shd w:val="clear" w:color="auto" w:fill="FFFFFF" w:themeFill="background1"/>
        <w:rPr/>
      </w:pPr>
      <w:r>
        <w:rPr/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rPr/>
            </w:pPr>
            <w:r>
              <w:rPr/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/>
            </w:pPr>
            <w:r>
              <w:rPr/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rFonts w:ascii="Times New Roman" w:hAnsi="Times New Roman" w:eastAsia="Times New Roman" w:cs="Times New Roman"/>
                <w:color w:val="000000"/>
                <w:kern w:val="0"/>
                <w:sz w:val="18"/>
                <w:szCs w:val="20"/>
                <w:shd w:fill="auto" w:val="clear"/>
                <w:lang w:val="sk-SK" w:eastAsia="en-US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20"/>
                <w:shd w:fill="auto" w:val="clear"/>
                <w:lang w:val="sk-SK" w:eastAsia="en-US" w:bidi="ar-SA"/>
              </w:rPr>
              <w:t>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Stroje, prístroje a zariadenia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4 až 6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Dopravné prostriedky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3 až 4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lineárna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Drobný dlhodobý hmotný majetok</w:t>
            </w:r>
          </w:p>
        </w:tc>
        <w:tc>
          <w:tcPr>
            <w:tcW w:w="1985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rôzna</w:t>
            </w:r>
          </w:p>
        </w:tc>
        <w:tc>
          <w:tcPr>
            <w:tcW w:w="14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  <w:t>jednorazový odpis</w:t>
            </w:r>
          </w:p>
        </w:tc>
        <w:tc>
          <w:tcPr>
            <w:tcW w:w="142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  <w:tc>
          <w:tcPr>
            <w:tcW w:w="1701" w:type="dxa"/>
            <w:tcBorders/>
            <w:shd w:color="auto" w:fill="FFFFFF" w:themeFill="background1" w:val="clear"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none"/>
                <w:shd w:fill="auto" w:val="clear"/>
              </w:rPr>
            </w:pPr>
            <w:r>
              <w:rPr>
                <w:shd w:fill="auto" w:val="clear"/>
              </w:rPr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shd w:val="clear" w:color="auto" w:fill="FFFFFF" w:themeFill="background1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</w:tbl>
    <w:p>
      <w:pPr>
        <w:pStyle w:val="Nadpis2"/>
        <w:numPr>
          <w:ilvl w:val="0"/>
          <w:numId w:val="19"/>
        </w:numPr>
        <w:shd w:val="clear" w:color="auto" w:fill="FFFFFF" w:themeFill="background1"/>
        <w:rPr/>
      </w:pPr>
      <w:r>
        <w:rPr/>
        <w:t>Počas účtovného obdobia neboli prijaté zmeny účtovných zásad a účtovných metód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450" w:hanging="0"/>
        <w:rPr/>
      </w:pPr>
      <w:r>
        <w:rPr/>
      </w:r>
    </w:p>
    <w:p>
      <w:pPr>
        <w:pStyle w:val="Nadpis2"/>
        <w:numPr>
          <w:ilvl w:val="0"/>
          <w:numId w:val="20"/>
        </w:numPr>
        <w:shd w:val="clear" w:color="auto" w:fill="FFFFFF" w:themeFill="background1"/>
        <w:rPr/>
      </w:pPr>
      <w:r>
        <w:rPr/>
        <w:t>Informácie o dotáciách a ich oceňovanie v účtovníctve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  <w:br/>
        <w:t xml:space="preserve">z tohto dlhodobého majetku.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2"/>
        <w:numPr>
          <w:ilvl w:val="0"/>
          <w:numId w:val="21"/>
        </w:numPr>
        <w:shd w:val="clear" w:color="auto" w:fill="FFFFFF" w:themeFill="background1"/>
        <w:rPr/>
      </w:pPr>
      <w:r>
        <w:rPr/>
        <w:t>Informácia o opravách významných chýb minulých účtovných období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>
      <w:pPr>
        <w:pStyle w:val="Normal"/>
        <w:shd w:val="clear" w:color="auto" w:fill="FFFFFF" w:themeFill="background1"/>
        <w:ind w:left="450" w:hanging="0"/>
        <w:jc w:val="both"/>
        <w:rPr>
          <w:sz w:val="18"/>
        </w:rPr>
      </w:pPr>
      <w:r>
        <w:rPr>
          <w:sz w:val="18"/>
        </w:rPr>
      </w:r>
    </w:p>
    <w:p>
      <w:pPr>
        <w:pStyle w:val="Nadpis1"/>
        <w:numPr>
          <w:ilvl w:val="0"/>
          <w:numId w:val="2"/>
        </w:numPr>
        <w:shd w:val="clear" w:color="auto" w:fill="FFFFFF" w:themeFill="background1"/>
        <w:ind w:left="360" w:hanging="360"/>
        <w:rPr/>
      </w:pPr>
      <w:bookmarkStart w:id="2" w:name="_Toc530739900"/>
      <w:r>
        <w:rPr/>
        <w:t xml:space="preserve">informácie, ktoré vysvetľujú a dopĺňajú súvahu a výkaz ziskov a strát </w:t>
      </w:r>
      <w:bookmarkEnd w:id="2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0"/>
        <w:rPr/>
      </w:pPr>
      <w:r>
        <w:rPr/>
      </w:r>
      <w:bookmarkStart w:id="3" w:name="_Toc530739901"/>
      <w:bookmarkStart w:id="4" w:name="_Toc530739901"/>
      <w:bookmarkEnd w:id="4"/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/>
      </w:pPr>
      <w:r>
        <w:rPr/>
      </w:r>
    </w:p>
    <w:p>
      <w:pPr>
        <w:pStyle w:val="Telotextu"/>
        <w:shd w:val="clear" w:color="auto" w:fill="FFFFFF" w:themeFill="background1"/>
        <w:rPr>
          <w:szCs w:val="18"/>
        </w:rPr>
      </w:pPr>
      <w:r>
        <w:rPr>
          <w:szCs w:val="18"/>
        </w:rPr>
      </w:r>
    </w:p>
    <w:p>
      <w:pPr>
        <w:pStyle w:val="Nadpis2"/>
        <w:numPr>
          <w:ilvl w:val="0"/>
          <w:numId w:val="0"/>
        </w:numPr>
        <w:shd w:val="clear" w:color="auto" w:fill="FFFFFF" w:themeFill="background1"/>
        <w:ind w:left="360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</w:r>
    </w:p>
    <w:p>
      <w:pPr>
        <w:pStyle w:val="Normal"/>
        <w:shd w:val="clear" w:color="auto" w:fill="FFFFFF" w:themeFill="background1"/>
        <w:ind w:left="426" w:hanging="0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>
      <w:pPr>
        <w:pStyle w:val="Normal"/>
        <w:shd w:val="clear" w:color="auto" w:fill="FFFFFF" w:themeFill="background1"/>
        <w:ind w:left="426" w:hanging="0"/>
        <w:rPr>
          <w:rFonts w:eastAsia="Calibri"/>
          <w:lang w:eastAsia="sk-SK"/>
        </w:rPr>
      </w:pPr>
      <w:r>
        <w:rPr>
          <w:rFonts w:eastAsia="Calibri"/>
          <w:lang w:eastAsia="sk-SK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 záväzkoch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ind w:left="786" w:hanging="0"/>
        <w:rPr>
          <w:highlight w:val="none"/>
          <w:shd w:fill="auto" w:val="clear"/>
        </w:rPr>
      </w:pPr>
      <w:r>
        <w:rPr>
          <w:shd w:fill="auto" w:val="clear"/>
        </w:rPr>
        <w:t>Spoločnosť nemá  zabezpečené záväzky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vlastných akciách: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  <w:t>Spoločnosť nemá vlastné akcie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spacing w:lineRule="auto" w:line="276" w:before="0" w:after="20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</w:r>
      <w:bookmarkStart w:id="5" w:name="_MON_1453793569"/>
      <w:bookmarkStart w:id="6" w:name="_MON_1453793569"/>
      <w:bookmarkEnd w:id="6"/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>Informácie o orgánoch účtovnej jednotky</w:t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Výška jednotlivých druhov záruk alebo iných zabezpečení poskytnutých pre členov štatutárneho orgánu, dozorného orgánu a iného orgánu ÚJ:</w:t>
      </w:r>
    </w:p>
    <w:p>
      <w:pPr>
        <w:pStyle w:val="Telotextu"/>
        <w:numPr>
          <w:ilvl w:val="0"/>
          <w:numId w:val="6"/>
        </w:numPr>
        <w:shd w:val="clear" w:color="auto" w:fill="FFFFFF" w:themeFill="background1"/>
        <w:rPr/>
      </w:pPr>
      <w:r>
        <w:rPr/>
        <w:t>Informácia o pôžičkách: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poskytnutých pôžičiek k 31.12. bežného obdobia podľa jednotlivých orgánov: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splatených pôžičiek za posledné účtovné obdobie:</w:t>
      </w:r>
    </w:p>
    <w:p>
      <w:pPr>
        <w:pStyle w:val="Telotextu"/>
        <w:shd w:val="clear" w:color="auto" w:fill="FFFFFF" w:themeFill="background1"/>
        <w:ind w:left="786" w:firstLine="630"/>
        <w:rPr/>
      </w:pPr>
      <w:r>
        <w:rPr/>
        <w:t>Konateľ: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Predseda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ab/>
        <w:t>Člen predstavenstva: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Celková suma odpustených pôžičiek a odpísaných pôžičiek k 31.12. bežného obdobia:</w:t>
      </w:r>
    </w:p>
    <w:p>
      <w:pPr>
        <w:pStyle w:val="Telotextu"/>
        <w:shd w:val="clear" w:color="auto" w:fill="FFFFFF" w:themeFill="background1"/>
        <w:ind w:left="786" w:hanging="0"/>
        <w:rPr/>
      </w:pPr>
      <w:r>
        <w:rPr/>
        <w:t>V roku 202</w:t>
      </w:r>
      <w:r>
        <w:rPr/>
        <w:t>4</w:t>
      </w:r>
      <w:r>
        <w:rPr/>
        <w:t xml:space="preserve"> nebola odpustené ani odpísané žiadne pôžičky</w:t>
      </w:r>
    </w:p>
    <w:p>
      <w:pPr>
        <w:pStyle w:val="Telotextu"/>
        <w:shd w:val="clear" w:color="auto" w:fill="FFFFFF" w:themeFill="background1"/>
        <w:ind w:left="786" w:hanging="0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3"/>
        </w:numPr>
        <w:shd w:val="clear" w:color="auto" w:fill="FFFFFF" w:themeFill="background1"/>
        <w:rPr/>
      </w:pPr>
      <w:r>
        <w:rPr/>
        <w:t xml:space="preserve">Informácie o povinnostiach účtovnej jednotky </w:t>
      </w:r>
    </w:p>
    <w:p>
      <w:pPr>
        <w:pStyle w:val="Telotextu"/>
        <w:shd w:val="clear" w:color="auto" w:fill="FFFFFF" w:themeFill="background1"/>
        <w:ind w:left="766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ind w:left="0" w:hanging="0"/>
        <w:rPr/>
      </w:pPr>
      <w:r>
        <w:rPr>
          <w:shd w:fill="auto" w:val="clear"/>
        </w:rPr>
        <w:t xml:space="preserve">Spoločnosť neeviduje iné aktíva a iné pasíva </w:t>
      </w:r>
      <w:r>
        <w:rPr/>
        <w:t>ani ostatné významné povinnosti a významné podmienené záväzky</w:t>
      </w:r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  <w:bookmarkStart w:id="7" w:name="_GoBack"/>
      <w:bookmarkStart w:id="8" w:name="_GoBack"/>
      <w:bookmarkEnd w:id="8"/>
    </w:p>
    <w:p>
      <w:pPr>
        <w:pStyle w:val="Telotextu"/>
        <w:shd w:val="clear" w:color="auto" w:fill="FFFFFF" w:themeFill="background1"/>
        <w:ind w:left="0" w:hanging="0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Telotextu"/>
        <w:shd w:val="clear" w:color="auto" w:fill="FFFFFF" w:themeFill="background1"/>
        <w:rPr/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false"/>
          <w:smallCaps w:val="false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>
      <w:pPr>
        <w:pStyle w:val="Normal"/>
        <w:shd w:val="clear" w:color="auto" w:fill="FFFFFF" w:themeFill="background1"/>
        <w:rPr/>
      </w:pPr>
      <w:r>
        <w:rPr/>
      </w:r>
    </w:p>
    <w:p>
      <w:pPr>
        <w:pStyle w:val="Normal"/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>
      <w:headerReference w:type="default" r:id="rId2"/>
      <w:type w:val="nextPage"/>
      <w:pgSz w:w="11906" w:h="16838"/>
      <w:pgMar w:left="1418" w:right="991" w:gutter="0" w:header="426" w:top="1110" w:footer="0" w:bottom="113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Univers 55">
    <w:charset w:val="ee"/>
    <w:family w:val="roman"/>
    <w:pitch w:val="variable"/>
  </w:font>
  <w:font w:name="Arial">
    <w:charset w:val="ee"/>
    <w:family w:val="roman"/>
    <w:pitch w:val="variable"/>
  </w:font>
  <w:font w:name="Arial Narro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94" w:type="dxa"/>
      <w:jc w:val="center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0" w:lastRow="0" w:firstColumn="1" w:lastColumn="0" w:noHBand="0" w:val="00a0"/>
    </w:tblPr>
    <w:tblGrid>
      <w:gridCol w:w="2784"/>
      <w:gridCol w:w="352"/>
      <w:gridCol w:w="535"/>
      <w:gridCol w:w="245"/>
      <w:gridCol w:w="249"/>
      <w:gridCol w:w="249"/>
      <w:gridCol w:w="251"/>
      <w:gridCol w:w="250"/>
      <w:gridCol w:w="249"/>
      <w:gridCol w:w="248"/>
      <w:gridCol w:w="247"/>
      <w:gridCol w:w="249"/>
      <w:gridCol w:w="488"/>
      <w:gridCol w:w="279"/>
      <w:gridCol w:w="281"/>
      <w:gridCol w:w="279"/>
      <w:gridCol w:w="282"/>
      <w:gridCol w:w="278"/>
      <w:gridCol w:w="282"/>
      <w:gridCol w:w="278"/>
      <w:gridCol w:w="281"/>
      <w:gridCol w:w="280"/>
      <w:gridCol w:w="276"/>
    </w:tblGrid>
    <w:tr>
      <w:trPr>
        <w:trHeight w:val="330" w:hRule="atLeast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352" w:type="dxa"/>
          <w:tcBorders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535" w:type="dxa"/>
          <w:tcBorders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88" w:type="dxa"/>
          <w:tcBorders/>
          <w:vAlign w:val="center"/>
        </w:tcPr>
        <w:p>
          <w:pPr>
            <w:pStyle w:val="Normal"/>
            <w:widowControl w:val="false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>
    <w:pPr>
      <w:pStyle w:val="Zhlavie"/>
      <w:rPr/>
    </w:pPr>
    <w:r>
      <w:rPr/>
    </w:r>
  </w:p>
  <w:p>
    <w:pPr>
      <w:pStyle w:val="Zhlavie"/>
      <w:tabs>
        <w:tab w:val="center" w:pos="4536" w:leader="none"/>
        <w:tab w:val="center" w:pos="4820" w:leader="none"/>
        <w:tab w:val="right" w:pos="9072" w:leader="none"/>
        <w:tab w:val="right" w:pos="9214" w:leader="none"/>
      </w:tabs>
      <w:jc w:val="right"/>
      <w:rPr>
        <w:sz w:val="18"/>
      </w:rPr>
    </w:pPr>
    <w:r>
      <w:rPr>
        <w:sz w:val="18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16">
    <w:abstractNumId w:val="3"/>
    <w:lvlOverride w:ilvl="0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1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hanging="0"/>
        </w:pPr>
      </w:lvl>
    </w:lvlOverride>
  </w:num>
  <w:num w:numId="22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semiHidden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semiHidden="0" w:qFormat="1"/>
    <w:lsdException w:name="toc 1" w:locked="1" w:uiPriority="0" w:semiHidden="0"/>
    <w:lsdException w:name="toc 2" w:locked="1" w:uiPriority="0" w:semiHidden="0"/>
    <w:lsdException w:name="toc 3" w:locked="1" w:uiPriority="0" w:semiHidden="0"/>
    <w:lsdException w:name="toc 4" w:locked="1" w:uiPriority="0" w:semiHidden="0"/>
    <w:lsdException w:name="toc 5" w:locked="1" w:uiPriority="0" w:semiHidden="0"/>
    <w:lsdException w:name="toc 6" w:locked="1" w:uiPriority="0" w:semiHidden="0"/>
    <w:lsdException w:name="toc 7" w:locked="1" w:uiPriority="0" w:semiHidden="0"/>
    <w:lsdException w:name="toc 8" w:locked="1" w:uiPriority="0" w:semiHidden="0"/>
    <w:lsdException w:name="toc 9" w:locked="1" w:uiPriority="0" w:semiHidden="0"/>
    <w:lsdException w:name="header" w:locked="1" w:semiHidden="0"/>
    <w:lsdException w:name="footer" w:locked="1" w:uiPriority="0" w:semiHidden="0"/>
    <w:lsdException w:name="caption" w:locked="1" w:uiPriority="0" w:qFormat="1"/>
    <w:lsdException w:name="footnote reference" w:locked="1" w:uiPriority="0" w:semiHidden="0"/>
    <w:lsdException w:name="page number" w:locked="1" w:uiPriority="0" w:semiHidden="0"/>
    <w:lsdException w:name="Title" w:locked="1" w:uiPriority="0" w:semiHidden="0" w:unhideWhenUsed="0" w:qFormat="1"/>
    <w:lsdException w:name="Default Paragraph Font" w:locked="1" w:uiPriority="0" w:semiHidden="0"/>
    <w:lsdException w:name="Body Text" w:locked="1" w:semiHidden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27530"/>
    <w:pPr>
      <w:keepNext w:val="true"/>
      <w:numPr>
        <w:ilvl w:val="0"/>
        <w:numId w:val="2"/>
      </w:numPr>
      <w:tabs>
        <w:tab w:val="clear" w:pos="708"/>
        <w:tab w:val="left" w:pos="360" w:leader="none"/>
      </w:tabs>
      <w:spacing w:before="120" w:after="60"/>
      <w:ind w:left="360" w:hanging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uiPriority w:val="99"/>
    <w:qFormat/>
    <w:rsid w:val="00e95128"/>
    <w:pPr>
      <w:keepNext w:val="true"/>
      <w:numPr>
        <w:ilvl w:val="0"/>
        <w:numId w:val="1"/>
      </w:numPr>
      <w:outlineLvl w:val="0"/>
    </w:pPr>
    <w:rPr>
      <w:b/>
      <w:sz w:val="18"/>
    </w:rPr>
  </w:style>
  <w:style w:type="paragraph" w:styleId="Nadpis6">
    <w:name w:val="Heading 6"/>
    <w:basedOn w:val="Normal"/>
    <w:next w:val="Normal"/>
    <w:link w:val="Nadpis6Char"/>
    <w:uiPriority w:val="99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9"/>
    <w:qFormat/>
    <w:rsid w:val="003e0fa2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9"/>
    <w:qFormat/>
    <w:locked/>
    <w:rsid w:val="00027530"/>
    <w:rPr>
      <w:rFonts w:ascii="Times New Roman" w:hAnsi="Times New Roman" w:eastAsia="Times New Roman"/>
      <w:b/>
      <w:caps/>
      <w:sz w:val="18"/>
      <w:lang w:eastAsia="en-US"/>
    </w:rPr>
  </w:style>
  <w:style w:type="character" w:styleId="Nadpis2Char" w:customStyle="1">
    <w:name w:val="Nadpis 2 Char"/>
    <w:link w:val="Nadpis2"/>
    <w:uiPriority w:val="99"/>
    <w:qFormat/>
    <w:locked/>
    <w:rsid w:val="00e95128"/>
    <w:rPr>
      <w:rFonts w:ascii="Times New Roman" w:hAnsi="Times New Roman" w:eastAsia="Times New Roman"/>
      <w:b/>
      <w:sz w:val="18"/>
      <w:lang w:eastAsia="en-US"/>
    </w:rPr>
  </w:style>
  <w:style w:type="character" w:styleId="Nadpis6Char" w:customStyle="1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styleId="Nadpis9Char" w:customStyle="1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styleId="HlavikaChar" w:customStyle="1">
    <w:name w:val="Hlavička Char"/>
    <w:link w:val="Hlavika"/>
    <w:uiPriority w:val="99"/>
    <w:qFormat/>
    <w:locked/>
    <w:rsid w:val="00e95128"/>
    <w:rPr>
      <w:rFonts w:cs="Times New Roman"/>
    </w:rPr>
  </w:style>
  <w:style w:type="character" w:styleId="PtaChar" w:customStyle="1">
    <w:name w:val="Päta Char"/>
    <w:link w:val="Pta"/>
    <w:uiPriority w:val="99"/>
    <w:qFormat/>
    <w:locked/>
    <w:rsid w:val="00e95128"/>
    <w:rPr>
      <w:rFonts w:cs="Times New Roman"/>
    </w:rPr>
  </w:style>
  <w:style w:type="character" w:styleId="Pagenumber">
    <w:name w:val="page number"/>
    <w:uiPriority w:val="99"/>
    <w:qFormat/>
    <w:rsid w:val="00e95128"/>
    <w:rPr>
      <w:rFonts w:cs="Times New Roman"/>
    </w:rPr>
  </w:style>
  <w:style w:type="character" w:styleId="ZkladntextChar" w:customStyle="1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link w:val="zif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styleId="TextbublinyChar" w:customStyle="1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Annotationreference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styleId="TextkomentraChar" w:customStyle="1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styleId="PredmetkomentraChar" w:customStyle="1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uiPriority w:val="99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uiPriority w:val="99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uiPriority w:val="99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uiPriority w:val="99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uiPriority w:val="99"/>
    <w:qFormat/>
    <w:rsid w:val="00160aaa"/>
    <w:pPr>
      <w:numPr>
        <w:ilvl w:val="0"/>
        <w:numId w:val="4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qFormat/>
    <w:rsid w:val="004b69e1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TextkomentraChar"/>
    <w:uiPriority w:val="99"/>
    <w:semiHidden/>
    <w:qFormat/>
    <w:rsid w:val="00574527"/>
    <w:pPr/>
    <w:rPr/>
  </w:style>
  <w:style w:type="paragraph" w:styleId="Annotationsubject">
    <w:name w:val="annotation subject"/>
    <w:basedOn w:val="Annotationtext"/>
    <w:next w:val="Annotationtext"/>
    <w:link w:val="PredmetkomentraChar"/>
    <w:uiPriority w:val="99"/>
    <w:semiHidden/>
    <w:qFormat/>
    <w:rsid w:val="00574527"/>
    <w:pPr/>
    <w:rPr>
      <w:b/>
      <w:bCs/>
    </w:rPr>
  </w:style>
  <w:style w:type="paragraph" w:styleId="Revision">
    <w:name w:val="Revision"/>
    <w:uiPriority w:val="99"/>
    <w:semiHidden/>
    <w:qFormat/>
    <w:rsid w:val="00574527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uiPriority w:val="99"/>
    <w:qFormat/>
    <w:rsid w:val="00e45d99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uiPriority w:val="99"/>
    <w:qFormat/>
    <w:rsid w:val="00ea71f4"/>
    <w:pPr>
      <w:spacing w:lineRule="exact" w:line="260"/>
    </w:pPr>
    <w:rPr>
      <w:rFonts w:ascii="Times" w:hAnsi="Times"/>
      <w:sz w:val="18"/>
      <w:lang w:val="en-GB"/>
    </w:rPr>
  </w:style>
  <w:style w:type="paragraph" w:styleId="Default" w:customStyle="1">
    <w:name w:val="Default"/>
    <w:qFormat/>
    <w:rsid w:val="00c5649d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sk-SK" w:eastAsia="sk-SK" w:bidi="ar-SA"/>
    </w:rPr>
  </w:style>
  <w:style w:type="paragraph" w:styleId="TopHeader" w:customStyle="1">
    <w:name w:val="Top Header"/>
    <w:basedOn w:val="Normal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LibreOffice/7.2.0.4$Windows_X86_64 LibreOffice_project/9a9c6381e3f7a62afc1329bd359cc48accb6435b</Application>
  <AppVersion>15.0000</AppVersion>
  <Pages>3</Pages>
  <Words>941</Words>
  <Characters>5657</Characters>
  <CharactersWithSpaces>6514</CharactersWithSpaces>
  <Paragraphs>99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2016-06-30T12:38:00Z</dcterms:created>
  <dc:creator>lstankovits</dc:creator>
  <dc:description/>
  <dc:language>sk-SK</dc:language>
  <cp:lastModifiedBy/>
  <cp:lastPrinted>2015-02-10T09:55:00Z</cp:lastPrinted>
  <dcterms:modified xsi:type="dcterms:W3CDTF">2025-04-06T19:34:22Z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