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6E9E07">
      <w:pPr>
        <w:spacing w:line="240" w:lineRule="auto"/>
        <w:rPr>
          <w:rFonts w:ascii="Times New Roman" w:hAnsi="Times New Roman" w:cs="Times New Roman"/>
          <w:sz w:val="24"/>
          <w:szCs w:val="24"/>
        </w:rPr>
      </w:pPr>
      <w:r>
        <w:rPr>
          <w:rFonts w:ascii="Times New Roman" w:hAnsi="Times New Roman" w:cs="Times New Roman"/>
          <w:sz w:val="24"/>
          <w:szCs w:val="24"/>
          <w:lang w:val="en-US"/>
        </w:rPr>
        <w:t>Po</w:t>
      </w:r>
      <w:r>
        <w:rPr>
          <w:rFonts w:ascii="Times New Roman" w:hAnsi="Times New Roman" w:cs="Times New Roman"/>
          <w:sz w:val="24"/>
          <w:szCs w:val="24"/>
        </w:rPr>
        <w:t>známky Úč.MÚJ 3-01                         IČO: 36671941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DIČ: 2022239802</w:t>
      </w:r>
      <w:r>
        <w:rPr>
          <w:rFonts w:ascii="Times New Roman" w:hAnsi="Times New Roman" w:cs="Times New Roman"/>
          <w:sz w:val="24"/>
          <w:szCs w:val="24"/>
        </w:rPr>
        <w:tab/>
      </w:r>
    </w:p>
    <w:p w14:paraId="43B12E56">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7F4B7121">
      <w:pPr>
        <w:spacing w:line="240" w:lineRule="auto"/>
        <w:rPr>
          <w:rFonts w:ascii="Times New Roman" w:hAnsi="Times New Roman" w:cs="Times New Roman"/>
          <w:b/>
          <w:sz w:val="24"/>
          <w:szCs w:val="24"/>
        </w:rPr>
      </w:pPr>
      <w:r>
        <w:rPr>
          <w:rFonts w:ascii="Times New Roman" w:hAnsi="Times New Roman" w:cs="Times New Roman"/>
          <w:b/>
          <w:sz w:val="24"/>
          <w:szCs w:val="24"/>
        </w:rPr>
        <w:t>Čl.I   Všeobecné údaje o účtovnej jednotke</w:t>
      </w:r>
    </w:p>
    <w:p w14:paraId="0C4001AB">
      <w:pPr>
        <w:spacing w:line="240" w:lineRule="auto"/>
        <w:rPr>
          <w:rFonts w:ascii="Times New Roman" w:hAnsi="Times New Roman" w:cs="Times New Roman"/>
          <w:sz w:val="24"/>
          <w:szCs w:val="24"/>
        </w:rPr>
      </w:pPr>
      <w:r>
        <w:rPr>
          <w:rFonts w:ascii="Times New Roman" w:hAnsi="Times New Roman" w:cs="Times New Roman"/>
          <w:b/>
          <w:sz w:val="24"/>
          <w:szCs w:val="24"/>
        </w:rPr>
        <w:t>Obchodné meno účtovnej jednotky</w:t>
      </w:r>
      <w:r>
        <w:rPr>
          <w:rFonts w:ascii="Times New Roman" w:hAnsi="Times New Roman" w:cs="Times New Roman"/>
          <w:sz w:val="24"/>
          <w:szCs w:val="24"/>
        </w:rPr>
        <w:t>: Delta HEAT, s.r.o.</w:t>
      </w:r>
    </w:p>
    <w:p w14:paraId="0E8CA835">
      <w:pPr>
        <w:spacing w:line="240" w:lineRule="auto"/>
        <w:rPr>
          <w:rFonts w:ascii="Times New Roman" w:hAnsi="Times New Roman" w:cs="Times New Roman"/>
          <w:sz w:val="24"/>
          <w:szCs w:val="24"/>
        </w:rPr>
      </w:pPr>
      <w:r>
        <w:rPr>
          <w:rFonts w:ascii="Times New Roman" w:hAnsi="Times New Roman" w:cs="Times New Roman"/>
          <w:b/>
          <w:sz w:val="24"/>
          <w:szCs w:val="24"/>
        </w:rPr>
        <w:t>Sídlo</w:t>
      </w:r>
      <w:r>
        <w:rPr>
          <w:rFonts w:ascii="Times New Roman" w:hAnsi="Times New Roman" w:cs="Times New Roman"/>
          <w:sz w:val="24"/>
          <w:szCs w:val="24"/>
        </w:rPr>
        <w:t>: Palárikova 76, 022 01 Čadca</w:t>
      </w:r>
    </w:p>
    <w:p w14:paraId="451DBDBD">
      <w:pPr>
        <w:spacing w:line="240" w:lineRule="auto"/>
        <w:rPr>
          <w:rFonts w:ascii="Times New Roman" w:hAnsi="Times New Roman" w:cs="Times New Roman"/>
          <w:sz w:val="24"/>
          <w:szCs w:val="24"/>
        </w:rPr>
      </w:pPr>
      <w:r>
        <w:rPr>
          <w:rFonts w:ascii="Times New Roman" w:hAnsi="Times New Roman" w:cs="Times New Roman"/>
          <w:b/>
          <w:sz w:val="24"/>
          <w:szCs w:val="24"/>
        </w:rPr>
        <w:t>Priemerný počet zamestnancov</w:t>
      </w:r>
      <w:r>
        <w:rPr>
          <w:rFonts w:ascii="Times New Roman" w:hAnsi="Times New Roman" w:cs="Times New Roman"/>
          <w:sz w:val="24"/>
          <w:szCs w:val="24"/>
        </w:rPr>
        <w:t>: 0</w:t>
      </w:r>
    </w:p>
    <w:p w14:paraId="2104D640">
      <w:pPr>
        <w:spacing w:line="240" w:lineRule="auto"/>
        <w:rPr>
          <w:rFonts w:ascii="Times New Roman" w:hAnsi="Times New Roman" w:cs="Times New Roman"/>
          <w:b/>
          <w:sz w:val="24"/>
          <w:szCs w:val="24"/>
        </w:rPr>
      </w:pPr>
      <w:r>
        <w:rPr>
          <w:rFonts w:ascii="Times New Roman" w:hAnsi="Times New Roman" w:cs="Times New Roman"/>
          <w:b/>
          <w:sz w:val="24"/>
          <w:szCs w:val="24"/>
        </w:rPr>
        <w:t>Čl.II   Informácie o prijatých postupoch</w:t>
      </w:r>
    </w:p>
    <w:p w14:paraId="519C1FE1">
      <w:pPr>
        <w:pStyle w:val="5"/>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Účtovná jednotka</w:t>
      </w:r>
      <w:r>
        <w:rPr>
          <w:rFonts w:hint="default" w:ascii="Times New Roman" w:hAnsi="Times New Roman" w:cs="Times New Roman"/>
          <w:sz w:val="24"/>
          <w:szCs w:val="24"/>
          <w:lang w:val="sk-SK"/>
        </w:rPr>
        <w:t xml:space="preserve"> nebude ďalej pokračovať v činnosti, nakoľko </w:t>
      </w:r>
      <w:bookmarkStart w:id="0" w:name="_GoBack"/>
      <w:bookmarkEnd w:id="0"/>
      <w:r>
        <w:rPr>
          <w:rFonts w:hint="default" w:ascii="Times New Roman" w:hAnsi="Times New Roman" w:cs="Times New Roman"/>
          <w:sz w:val="24"/>
          <w:szCs w:val="24"/>
          <w:lang w:val="sk-SK"/>
        </w:rPr>
        <w:t>vstupuje dňom 11.2.2025 do likvidácie.</w:t>
      </w:r>
    </w:p>
    <w:p w14:paraId="6D7FD147">
      <w:pPr>
        <w:spacing w:line="240" w:lineRule="auto"/>
        <w:rPr>
          <w:rFonts w:ascii="Times New Roman" w:hAnsi="Times New Roman" w:cs="Times New Roman"/>
          <w:b/>
          <w:sz w:val="24"/>
          <w:szCs w:val="24"/>
        </w:rPr>
      </w:pPr>
      <w:r>
        <w:rPr>
          <w:rFonts w:ascii="Times New Roman" w:hAnsi="Times New Roman" w:cs="Times New Roman"/>
          <w:b/>
          <w:sz w:val="24"/>
          <w:szCs w:val="24"/>
        </w:rPr>
        <w:t>Čl. III   Spôsob oceňovania jednotlivých položiek majetku a záväzkov</w:t>
      </w:r>
    </w:p>
    <w:p w14:paraId="5B8C8920">
      <w:pPr>
        <w:pStyle w:val="5"/>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žiadny hnuteľný majetok.</w:t>
      </w:r>
    </w:p>
    <w:p w14:paraId="3975860A">
      <w:pPr>
        <w:pStyle w:val="5"/>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14:paraId="6CA3F94F">
      <w:pPr>
        <w:pStyle w:val="5"/>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Pohľadávky a záväzky oceňovala UJ menovitou hodnotou.</w:t>
      </w:r>
    </w:p>
    <w:p w14:paraId="69A03712">
      <w:pPr>
        <w:pStyle w:val="5"/>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426D929E">
      <w:pPr>
        <w:spacing w:line="240" w:lineRule="auto"/>
        <w:rPr>
          <w:rFonts w:ascii="Times New Roman" w:hAnsi="Times New Roman" w:cs="Times New Roman"/>
          <w:b/>
          <w:sz w:val="24"/>
          <w:szCs w:val="24"/>
        </w:rPr>
      </w:pPr>
      <w:r>
        <w:rPr>
          <w:rFonts w:ascii="Times New Roman" w:hAnsi="Times New Roman" w:cs="Times New Roman"/>
          <w:b/>
          <w:sz w:val="24"/>
          <w:szCs w:val="24"/>
        </w:rPr>
        <w:t>Čl. IV</w:t>
      </w:r>
      <w:r>
        <w:rPr>
          <w:rFonts w:ascii="Times New Roman" w:hAnsi="Times New Roman" w:cs="Times New Roman"/>
          <w:sz w:val="24"/>
          <w:szCs w:val="24"/>
        </w:rPr>
        <w:t xml:space="preserve">  </w:t>
      </w:r>
      <w:r>
        <w:rPr>
          <w:rFonts w:ascii="Times New Roman" w:hAnsi="Times New Roman" w:cs="Times New Roman"/>
          <w:b/>
          <w:sz w:val="24"/>
          <w:szCs w:val="24"/>
        </w:rPr>
        <w:t>Spôsob zostavenia odpisového plánu pre dlhodobý hmotný a nehmotný majetok</w:t>
      </w:r>
    </w:p>
    <w:p w14:paraId="009E9284">
      <w:pPr>
        <w:pStyle w:val="5"/>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5E6780A2">
      <w:pPr>
        <w:pStyle w:val="5"/>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43BEA6E9">
      <w:pPr>
        <w:pStyle w:val="5"/>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041618B5">
      <w:pPr>
        <w:pStyle w:val="5"/>
        <w:numPr>
          <w:ilvl w:val="0"/>
          <w:numId w:val="3"/>
        </w:numPr>
        <w:spacing w:line="240" w:lineRule="auto"/>
        <w:rPr>
          <w:rFonts w:ascii="Times New Roman" w:hAnsi="Times New Roman" w:cs="Times New Roman"/>
          <w:sz w:val="24"/>
          <w:szCs w:val="24"/>
        </w:rPr>
      </w:pPr>
    </w:p>
    <w:tbl>
      <w:tblPr>
        <w:tblStyle w:val="4"/>
        <w:tblW w:w="0" w:type="auto"/>
        <w:tblInd w:w="108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2293"/>
        <w:gridCol w:w="2288"/>
        <w:gridCol w:w="2274"/>
        <w:gridCol w:w="2204"/>
      </w:tblGrid>
      <w:tr w14:paraId="60CDD30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293" w:type="dxa"/>
          </w:tcPr>
          <w:p w14:paraId="5EBE85FC">
            <w:pPr>
              <w:pStyle w:val="5"/>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Druh majetku</w:t>
            </w:r>
          </w:p>
        </w:tc>
        <w:tc>
          <w:tcPr>
            <w:tcW w:w="2288" w:type="dxa"/>
          </w:tcPr>
          <w:p w14:paraId="4E26F128">
            <w:pPr>
              <w:pStyle w:val="5"/>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Doba odpisovania</w:t>
            </w:r>
          </w:p>
        </w:tc>
        <w:tc>
          <w:tcPr>
            <w:tcW w:w="2274" w:type="dxa"/>
          </w:tcPr>
          <w:p w14:paraId="46FE78DA">
            <w:pPr>
              <w:pStyle w:val="5"/>
              <w:spacing w:after="0" w:line="240" w:lineRule="auto"/>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2B6F1D8F">
            <w:pPr>
              <w:pStyle w:val="5"/>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Daňové odpisy</w:t>
            </w:r>
          </w:p>
        </w:tc>
      </w:tr>
      <w:tr w14:paraId="50882F0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293" w:type="dxa"/>
          </w:tcPr>
          <w:p w14:paraId="5325E32D">
            <w:pPr>
              <w:pStyle w:val="5"/>
              <w:spacing w:after="0" w:line="240" w:lineRule="auto"/>
              <w:ind w:left="0"/>
              <w:rPr>
                <w:rFonts w:ascii="Times New Roman" w:hAnsi="Times New Roman" w:cs="Times New Roman"/>
                <w:sz w:val="24"/>
                <w:szCs w:val="24"/>
              </w:rPr>
            </w:pPr>
          </w:p>
        </w:tc>
        <w:tc>
          <w:tcPr>
            <w:tcW w:w="2288" w:type="dxa"/>
          </w:tcPr>
          <w:p w14:paraId="6F890631">
            <w:pPr>
              <w:pStyle w:val="5"/>
              <w:spacing w:after="0" w:line="240" w:lineRule="auto"/>
              <w:ind w:left="0"/>
              <w:jc w:val="center"/>
              <w:rPr>
                <w:rFonts w:ascii="Times New Roman" w:hAnsi="Times New Roman" w:cs="Times New Roman"/>
                <w:sz w:val="24"/>
                <w:szCs w:val="24"/>
              </w:rPr>
            </w:pPr>
          </w:p>
        </w:tc>
        <w:tc>
          <w:tcPr>
            <w:tcW w:w="2274" w:type="dxa"/>
          </w:tcPr>
          <w:p w14:paraId="76BF85A0">
            <w:pPr>
              <w:pStyle w:val="5"/>
              <w:spacing w:after="0" w:line="240" w:lineRule="auto"/>
              <w:ind w:left="0"/>
              <w:jc w:val="center"/>
              <w:rPr>
                <w:rFonts w:ascii="Times New Roman" w:hAnsi="Times New Roman" w:cs="Times New Roman"/>
                <w:sz w:val="24"/>
                <w:szCs w:val="24"/>
              </w:rPr>
            </w:pPr>
          </w:p>
        </w:tc>
        <w:tc>
          <w:tcPr>
            <w:tcW w:w="2204" w:type="dxa"/>
          </w:tcPr>
          <w:p w14:paraId="2C7646D5">
            <w:pPr>
              <w:pStyle w:val="5"/>
              <w:spacing w:after="0" w:line="240" w:lineRule="auto"/>
              <w:ind w:left="0"/>
              <w:rPr>
                <w:rFonts w:ascii="Times New Roman" w:hAnsi="Times New Roman" w:cs="Times New Roman"/>
                <w:sz w:val="24"/>
                <w:szCs w:val="24"/>
              </w:rPr>
            </w:pPr>
          </w:p>
        </w:tc>
      </w:tr>
      <w:tr w14:paraId="22C1DD2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293" w:type="dxa"/>
          </w:tcPr>
          <w:p w14:paraId="1380C443">
            <w:pPr>
              <w:pStyle w:val="5"/>
              <w:spacing w:after="0" w:line="240" w:lineRule="auto"/>
              <w:ind w:left="0"/>
              <w:rPr>
                <w:rFonts w:ascii="Times New Roman" w:hAnsi="Times New Roman" w:cs="Times New Roman"/>
                <w:sz w:val="24"/>
                <w:szCs w:val="24"/>
              </w:rPr>
            </w:pPr>
          </w:p>
        </w:tc>
        <w:tc>
          <w:tcPr>
            <w:tcW w:w="2288" w:type="dxa"/>
          </w:tcPr>
          <w:p w14:paraId="4DF5F1F7">
            <w:pPr>
              <w:pStyle w:val="5"/>
              <w:spacing w:after="0" w:line="240" w:lineRule="auto"/>
              <w:ind w:left="0"/>
              <w:rPr>
                <w:rFonts w:ascii="Times New Roman" w:hAnsi="Times New Roman" w:cs="Times New Roman"/>
                <w:sz w:val="24"/>
                <w:szCs w:val="24"/>
              </w:rPr>
            </w:pPr>
          </w:p>
        </w:tc>
        <w:tc>
          <w:tcPr>
            <w:tcW w:w="2274" w:type="dxa"/>
          </w:tcPr>
          <w:p w14:paraId="6F507056">
            <w:pPr>
              <w:pStyle w:val="5"/>
              <w:spacing w:after="0" w:line="240" w:lineRule="auto"/>
              <w:ind w:left="0"/>
              <w:rPr>
                <w:rFonts w:ascii="Times New Roman" w:hAnsi="Times New Roman" w:cs="Times New Roman"/>
                <w:sz w:val="24"/>
                <w:szCs w:val="24"/>
              </w:rPr>
            </w:pPr>
          </w:p>
        </w:tc>
        <w:tc>
          <w:tcPr>
            <w:tcW w:w="2204" w:type="dxa"/>
          </w:tcPr>
          <w:p w14:paraId="7BF28AC0">
            <w:pPr>
              <w:pStyle w:val="5"/>
              <w:spacing w:after="0" w:line="240" w:lineRule="auto"/>
              <w:ind w:left="0"/>
              <w:jc w:val="center"/>
              <w:rPr>
                <w:rFonts w:ascii="Times New Roman" w:hAnsi="Times New Roman" w:cs="Times New Roman"/>
                <w:sz w:val="24"/>
                <w:szCs w:val="24"/>
              </w:rPr>
            </w:pPr>
          </w:p>
        </w:tc>
      </w:tr>
    </w:tbl>
    <w:p w14:paraId="024E6004">
      <w:pPr>
        <w:pStyle w:val="5"/>
        <w:spacing w:line="240" w:lineRule="auto"/>
        <w:ind w:left="1080"/>
        <w:rPr>
          <w:rFonts w:ascii="Times New Roman" w:hAnsi="Times New Roman" w:cs="Times New Roman"/>
          <w:sz w:val="24"/>
          <w:szCs w:val="24"/>
        </w:rPr>
      </w:pPr>
    </w:p>
    <w:p w14:paraId="13C61F12">
      <w:pPr>
        <w:pStyle w:val="5"/>
        <w:spacing w:line="240" w:lineRule="auto"/>
        <w:rPr>
          <w:rFonts w:ascii="Times New Roman" w:hAnsi="Times New Roman" w:cs="Times New Roman"/>
          <w:sz w:val="24"/>
          <w:szCs w:val="24"/>
        </w:rPr>
      </w:pPr>
    </w:p>
    <w:p w14:paraId="32A2B010">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sectPr>
      <w:pgSz w:w="11906" w:h="16838"/>
      <w:pgMar w:top="1276" w:right="849" w:bottom="1417" w:left="1134"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EE"/>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Microsoft YaHei">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4C0B5E"/>
    <w:multiLevelType w:val="multilevel"/>
    <w:tmpl w:val="0F4C0B5E"/>
    <w:lvl w:ilvl="0" w:tentative="0">
      <w:start w:val="1"/>
      <w:numFmt w:val="decimal"/>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
    <w:nsid w:val="13F25B14"/>
    <w:multiLevelType w:val="multilevel"/>
    <w:tmpl w:val="13F25B14"/>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6A092C99"/>
    <w:multiLevelType w:val="multilevel"/>
    <w:tmpl w:val="6A092C99"/>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273"/>
    <w:rsid w:val="000246DB"/>
    <w:rsid w:val="002E7E87"/>
    <w:rsid w:val="003E166A"/>
    <w:rsid w:val="0040308A"/>
    <w:rsid w:val="005E3749"/>
    <w:rsid w:val="00604C94"/>
    <w:rsid w:val="00614273"/>
    <w:rsid w:val="00633E91"/>
    <w:rsid w:val="007A0576"/>
    <w:rsid w:val="008A473E"/>
    <w:rsid w:val="00A0338E"/>
    <w:rsid w:val="00BC4015"/>
    <w:rsid w:val="00C216FE"/>
    <w:rsid w:val="00CC5831"/>
    <w:rsid w:val="00D66FF9"/>
    <w:rsid w:val="00D74DDD"/>
    <w:rsid w:val="00DD3374"/>
    <w:rsid w:val="00E10EE6"/>
    <w:rsid w:val="00E524C3"/>
    <w:rsid w:val="00EC4075"/>
    <w:rsid w:val="00EF79DE"/>
    <w:rsid w:val="00F83458"/>
    <w:rsid w:val="276834F3"/>
    <w:rsid w:val="3B6A18F7"/>
    <w:rsid w:val="6D28260E"/>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sk-SK" w:eastAsia="en-US" w:bidi="ar-SA"/>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table" w:styleId="4">
    <w:name w:val="Table Grid"/>
    <w:basedOn w:val="3"/>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5">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239</Words>
  <Characters>1364</Characters>
  <Lines>11</Lines>
  <Paragraphs>3</Paragraphs>
  <TotalTime>4</TotalTime>
  <ScaleCrop>false</ScaleCrop>
  <LinksUpToDate>false</LinksUpToDate>
  <CharactersWithSpaces>1600</CharactersWithSpaces>
  <Application>WPS Office_12.2.0.20795_F1E327BC-269C-435d-A152-05C5408002CA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2025-03-30T09:43:00Z</dcterms:created>
  <dc:creator>XP</dc:creator>
  <cp:lastModifiedBy>ekonom5</cp:lastModifiedBy>
  <dcterms:modified xsi:type="dcterms:W3CDTF">2025-04-15T11:49:39Z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1091094FE01F443CA4DBE7234A092E83_13</vt:lpwstr>
  </property>
</Properties>
</file>