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000001">
      <w:pPr>
        <w:spacing w:line="360" w:lineRule="auto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 xml:space="preserve">Poznámky Úč MÚJ 3 - 01 </w:t>
      </w: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IČO: 54299829</w:t>
      </w: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DIČ: 2121636352</w:t>
      </w:r>
    </w:p>
    <w:p w14:paraId="00000002">
      <w:pPr>
        <w:spacing w:line="360" w:lineRule="auto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</w:p>
    <w:p w14:paraId="00000003">
      <w:pPr>
        <w:spacing w:line="360" w:lineRule="auto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Čl. I</w:t>
      </w:r>
    </w:p>
    <w:p w14:paraId="00000004">
      <w:pPr>
        <w:spacing w:line="360" w:lineRule="auto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Všeobecné údaje</w:t>
      </w:r>
    </w:p>
    <w:p w14:paraId="00000005">
      <w:pPr>
        <w:spacing w:line="360" w:lineRule="auto"/>
        <w:rPr>
          <w:rFonts w:ascii="Times New Roman" w:hAnsi="Times New Roman" w:eastAsia="Times New Roman" w:cs="Times New Roman"/>
        </w:rPr>
      </w:pPr>
    </w:p>
    <w:p w14:paraId="00000006">
      <w:pPr>
        <w:spacing w:line="360" w:lineRule="auto"/>
        <w:rPr>
          <w:rFonts w:ascii="Times New Roman" w:hAnsi="Times New Roman" w:eastAsia="Times New Roman" w:cs="Times New Roman"/>
          <w:b/>
        </w:rPr>
      </w:pPr>
      <w:r>
        <w:rPr>
          <w:rFonts w:ascii="Times New Roman" w:hAnsi="Times New Roman" w:eastAsia="Times New Roman" w:cs="Times New Roman"/>
          <w:b/>
          <w:rtl w:val="0"/>
        </w:rPr>
        <w:t xml:space="preserve">(1) Názov právnickej osoby a jej sídlo </w:t>
      </w:r>
    </w:p>
    <w:p w14:paraId="00000007">
      <w:pPr>
        <w:spacing w:line="360" w:lineRule="auto"/>
        <w:ind w:firstLine="72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  <w:rtl w:val="0"/>
        </w:rPr>
        <w:t>Mirenik s. r. o.</w:t>
      </w:r>
    </w:p>
    <w:p w14:paraId="00000008">
      <w:pPr>
        <w:spacing w:line="360" w:lineRule="auto"/>
        <w:ind w:firstLine="72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  <w:rtl w:val="0"/>
        </w:rPr>
        <w:t>Lisková 857, 034 81 Lisková</w:t>
      </w:r>
    </w:p>
    <w:p w14:paraId="00000009">
      <w:pPr>
        <w:spacing w:line="360" w:lineRule="auto"/>
        <w:ind w:left="0" w:firstLine="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  <w:rtl w:val="0"/>
        </w:rPr>
        <w:t xml:space="preserve"> </w:t>
      </w:r>
    </w:p>
    <w:p w14:paraId="0000000A">
      <w:pPr>
        <w:spacing w:line="360" w:lineRule="auto"/>
        <w:rPr>
          <w:rFonts w:ascii="Times New Roman" w:hAnsi="Times New Roman" w:eastAsia="Times New Roman" w:cs="Times New Roman"/>
          <w:b/>
          <w:i/>
        </w:rPr>
      </w:pPr>
      <w:r>
        <w:rPr>
          <w:rFonts w:ascii="Times New Roman" w:hAnsi="Times New Roman" w:eastAsia="Times New Roman" w:cs="Times New Roman"/>
          <w:b/>
          <w:i/>
          <w:rtl w:val="0"/>
        </w:rPr>
        <w:t>(2) Údaje o konsolidovanom celku, a to</w:t>
      </w:r>
    </w:p>
    <w:p w14:paraId="0000000B">
      <w:pPr>
        <w:spacing w:line="360" w:lineRule="auto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i/>
          <w:rtl w:val="0"/>
        </w:rPr>
        <w:t>a) obchodné meno a sídlo konsolidujúcej účtovnej jednotky, ktorá zostavuje</w:t>
      </w:r>
    </w:p>
    <w:p w14:paraId="0000000C">
      <w:pPr>
        <w:spacing w:line="360" w:lineRule="auto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i/>
          <w:rtl w:val="0"/>
        </w:rPr>
        <w:t>konsolidovanú účtovnú závierku za tú skupinu účtovných jednotiek konsolidovaného</w:t>
      </w:r>
    </w:p>
    <w:p w14:paraId="0000000D">
      <w:pPr>
        <w:spacing w:line="360" w:lineRule="auto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i/>
          <w:rtl w:val="0"/>
        </w:rPr>
        <w:t>celku, ktorého súčasťou je aj účtovná jednotka; uvádza sa aj obchodné meno a sídlo</w:t>
      </w:r>
    </w:p>
    <w:p w14:paraId="0000000E">
      <w:pPr>
        <w:spacing w:line="360" w:lineRule="auto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i/>
          <w:rtl w:val="0"/>
        </w:rPr>
        <w:t>účtovnej jednotky, ktorá je bezprostredne konsolidujúcou účtovnou jednotkou,</w:t>
      </w:r>
    </w:p>
    <w:p w14:paraId="0000000F">
      <w:pPr>
        <w:spacing w:line="360" w:lineRule="auto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i/>
          <w:rtl w:val="0"/>
        </w:rPr>
        <w:t>b) údaj, či účtovná jednotka je materskou účtovnou jednotkou a údaj, či je oslobodená</w:t>
      </w:r>
    </w:p>
    <w:p w14:paraId="00000010">
      <w:pPr>
        <w:spacing w:line="360" w:lineRule="auto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i/>
          <w:rtl w:val="0"/>
        </w:rPr>
        <w:t>od povinnosti zostaviť konsolidovanú účtovnú závierku a konsolidovanú výročnú</w:t>
      </w:r>
    </w:p>
    <w:p w14:paraId="00000011">
      <w:pPr>
        <w:spacing w:line="360" w:lineRule="auto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i/>
          <w:rtl w:val="0"/>
        </w:rPr>
        <w:t>správu podľa § 22 zákona, pričom sa uvádzajú</w:t>
      </w:r>
    </w:p>
    <w:p w14:paraId="00000012">
      <w:pPr>
        <w:spacing w:line="360" w:lineRule="auto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i/>
          <w:rtl w:val="0"/>
        </w:rPr>
        <w:t>1. pri oslobodení podľa § 22 ods. 8 zákona obchodné meno a sídlo materskej</w:t>
      </w:r>
    </w:p>
    <w:p w14:paraId="00000013">
      <w:pPr>
        <w:spacing w:line="360" w:lineRule="auto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i/>
          <w:rtl w:val="0"/>
        </w:rPr>
        <w:t>účtovnej jednotky zostavujúcej konsolidovanú účtovnú závierku podľa</w:t>
      </w:r>
    </w:p>
    <w:p w14:paraId="00000014">
      <w:pPr>
        <w:spacing w:line="360" w:lineRule="auto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i/>
          <w:rtl w:val="0"/>
        </w:rPr>
        <w:t>osobitných predpisov,4)</w:t>
      </w:r>
    </w:p>
    <w:p w14:paraId="00000015">
      <w:pPr>
        <w:spacing w:line="360" w:lineRule="auto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i/>
          <w:rtl w:val="0"/>
        </w:rPr>
        <w:t>2. pri oslobodení podľa § 22 ods. 12 zákona obchodné meno a sídlo dcérskych</w:t>
      </w:r>
    </w:p>
    <w:p w14:paraId="00000016">
      <w:pPr>
        <w:spacing w:line="360" w:lineRule="auto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i/>
          <w:rtl w:val="0"/>
        </w:rPr>
        <w:t>účtovných jednotiek.</w:t>
      </w:r>
    </w:p>
    <w:p w14:paraId="00000017">
      <w:pPr>
        <w:numPr>
          <w:ilvl w:val="0"/>
          <w:numId w:val="1"/>
        </w:numPr>
        <w:spacing w:line="360" w:lineRule="auto"/>
        <w:ind w:left="720" w:hanging="360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i/>
          <w:rtl w:val="0"/>
        </w:rPr>
        <w:t>Netýka sa to spoločnosti Mirenik s. r. o., nakoľko nie je súčasťou konsolidovaného celku.</w:t>
      </w:r>
    </w:p>
    <w:p w14:paraId="00000018">
      <w:pPr>
        <w:spacing w:line="360" w:lineRule="auto"/>
        <w:rPr>
          <w:rFonts w:ascii="Times New Roman" w:hAnsi="Times New Roman" w:eastAsia="Times New Roman" w:cs="Times New Roman"/>
          <w:i/>
        </w:rPr>
      </w:pPr>
    </w:p>
    <w:p w14:paraId="00000019">
      <w:pPr>
        <w:spacing w:line="360" w:lineRule="auto"/>
        <w:rPr>
          <w:rFonts w:ascii="Times New Roman" w:hAnsi="Times New Roman" w:eastAsia="Times New Roman" w:cs="Times New Roman"/>
          <w:b/>
        </w:rPr>
      </w:pPr>
      <w:r>
        <w:rPr>
          <w:rFonts w:ascii="Times New Roman" w:hAnsi="Times New Roman" w:eastAsia="Times New Roman" w:cs="Times New Roman"/>
          <w:b/>
          <w:rtl w:val="0"/>
        </w:rPr>
        <w:t xml:space="preserve">(3) Priemerný prepočítaný počet zamestnancov. </w:t>
      </w:r>
    </w:p>
    <w:p w14:paraId="0000001A">
      <w:pPr>
        <w:spacing w:line="360" w:lineRule="auto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  <w:rtl w:val="0"/>
        </w:rPr>
        <w:tab/>
      </w:r>
      <w:r>
        <w:rPr>
          <w:rFonts w:ascii="Times New Roman" w:hAnsi="Times New Roman" w:eastAsia="Times New Roman" w:cs="Times New Roman"/>
          <w:rtl w:val="0"/>
        </w:rPr>
        <w:t xml:space="preserve"> Spoločnosť nemá žiadnych zamestnancov. </w:t>
      </w:r>
    </w:p>
    <w:p w14:paraId="0000001B">
      <w:pPr>
        <w:spacing w:line="360" w:lineRule="auto"/>
        <w:rPr>
          <w:rFonts w:ascii="Times New Roman" w:hAnsi="Times New Roman" w:eastAsia="Times New Roman" w:cs="Times New Roman"/>
        </w:rPr>
      </w:pPr>
    </w:p>
    <w:p w14:paraId="0000001C">
      <w:pPr>
        <w:spacing w:line="360" w:lineRule="auto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Čl. II Informácie o prijatých postupoch</w:t>
      </w:r>
    </w:p>
    <w:p w14:paraId="0000001D">
      <w:pPr>
        <w:spacing w:line="360" w:lineRule="auto"/>
        <w:jc w:val="center"/>
        <w:rPr>
          <w:rFonts w:ascii="Times New Roman" w:hAnsi="Times New Roman" w:eastAsia="Times New Roman" w:cs="Times New Roman"/>
        </w:rPr>
      </w:pPr>
    </w:p>
    <w:p w14:paraId="0000001E">
      <w:pPr>
        <w:spacing w:line="360" w:lineRule="auto"/>
        <w:rPr>
          <w:rFonts w:ascii="Times New Roman" w:hAnsi="Times New Roman" w:eastAsia="Times New Roman" w:cs="Times New Roman"/>
          <w:b/>
        </w:rPr>
      </w:pPr>
      <w:r>
        <w:rPr>
          <w:rFonts w:ascii="Times New Roman" w:hAnsi="Times New Roman" w:eastAsia="Times New Roman" w:cs="Times New Roman"/>
          <w:b/>
          <w:rtl w:val="0"/>
        </w:rPr>
        <w:t xml:space="preserve"> (1) Účtovná závierka je zostavená za splnenia predpokladu, že účtovná jednotka bude nepretržite pokračovať vo svojej činnosti.</w:t>
      </w:r>
    </w:p>
    <w:p w14:paraId="0000001F">
      <w:pPr>
        <w:spacing w:line="360" w:lineRule="auto"/>
        <w:rPr>
          <w:rFonts w:ascii="Times New Roman" w:hAnsi="Times New Roman" w:eastAsia="Times New Roman" w:cs="Times New Roman"/>
          <w:b/>
        </w:rPr>
      </w:pPr>
    </w:p>
    <w:p w14:paraId="00000020">
      <w:pPr>
        <w:spacing w:line="360" w:lineRule="auto"/>
        <w:rPr>
          <w:rFonts w:ascii="Times New Roman" w:hAnsi="Times New Roman" w:eastAsia="Times New Roman" w:cs="Times New Roman"/>
          <w:b/>
        </w:rPr>
      </w:pPr>
      <w:r>
        <w:rPr>
          <w:rFonts w:ascii="Times New Roman" w:hAnsi="Times New Roman" w:eastAsia="Times New Roman" w:cs="Times New Roman"/>
          <w:b/>
          <w:rtl w:val="0"/>
        </w:rPr>
        <w:t>(2) Spôsob oceňovania jednotlivých položiek majetku a záväzkov:</w:t>
      </w:r>
    </w:p>
    <w:p w14:paraId="00000021">
      <w:pPr>
        <w:spacing w:line="360" w:lineRule="auto"/>
        <w:ind w:left="720" w:firstLine="0"/>
        <w:rPr>
          <w:rFonts w:ascii="Times New Roman" w:hAnsi="Times New Roman" w:eastAsia="Times New Roman" w:cs="Times New Roman"/>
          <w:u w:val="single"/>
        </w:rPr>
      </w:pPr>
      <w:r>
        <w:rPr>
          <w:rFonts w:ascii="Times New Roman" w:hAnsi="Times New Roman" w:eastAsia="Times New Roman" w:cs="Times New Roman"/>
          <w:rtl w:val="0"/>
        </w:rPr>
        <w:t xml:space="preserve"> a) dlhodobého nehmotného majetku, dlhodobého hmotného majetku a dlhodobého finančného majetku, -</w:t>
      </w:r>
      <w:r>
        <w:rPr>
          <w:rFonts w:ascii="Times New Roman" w:hAnsi="Times New Roman" w:eastAsia="Times New Roman" w:cs="Times New Roman"/>
          <w:u w:val="single"/>
          <w:rtl w:val="0"/>
        </w:rPr>
        <w:t xml:space="preserve"> obstarávacia cena</w:t>
      </w:r>
    </w:p>
    <w:p w14:paraId="00000022">
      <w:pPr>
        <w:spacing w:line="360" w:lineRule="auto"/>
        <w:ind w:left="720" w:firstLine="0"/>
        <w:rPr>
          <w:rFonts w:ascii="Times New Roman" w:hAnsi="Times New Roman" w:eastAsia="Times New Roman" w:cs="Times New Roman"/>
          <w:u w:val="single"/>
        </w:rPr>
      </w:pPr>
      <w:r>
        <w:rPr>
          <w:rFonts w:ascii="Times New Roman" w:hAnsi="Times New Roman" w:eastAsia="Times New Roman" w:cs="Times New Roman"/>
          <w:rtl w:val="0"/>
        </w:rPr>
        <w:t xml:space="preserve">b) zásob obstaraných kúpou, zásob vytvorených vlastnou činnosťou, - </w:t>
      </w:r>
      <w:r>
        <w:rPr>
          <w:rFonts w:ascii="Times New Roman" w:hAnsi="Times New Roman" w:eastAsia="Times New Roman" w:cs="Times New Roman"/>
          <w:u w:val="single"/>
          <w:rtl w:val="0"/>
        </w:rPr>
        <w:t>vlastné náklady</w:t>
      </w:r>
    </w:p>
    <w:p w14:paraId="00000023">
      <w:pPr>
        <w:spacing w:line="360" w:lineRule="auto"/>
        <w:ind w:left="720" w:firstLine="0"/>
        <w:rPr>
          <w:rFonts w:ascii="Times New Roman" w:hAnsi="Times New Roman" w:eastAsia="Times New Roman" w:cs="Times New Roman"/>
          <w:u w:val="single"/>
        </w:rPr>
      </w:pPr>
      <w:r>
        <w:rPr>
          <w:rFonts w:ascii="Times New Roman" w:hAnsi="Times New Roman" w:eastAsia="Times New Roman" w:cs="Times New Roman"/>
          <w:rtl w:val="0"/>
        </w:rPr>
        <w:t>c) pohľadávok, -</w:t>
      </w:r>
      <w:r>
        <w:rPr>
          <w:rFonts w:ascii="Times New Roman" w:hAnsi="Times New Roman" w:eastAsia="Times New Roman" w:cs="Times New Roman"/>
          <w:u w:val="single"/>
          <w:rtl w:val="0"/>
        </w:rPr>
        <w:t xml:space="preserve"> menovitá hodnota</w:t>
      </w:r>
    </w:p>
    <w:p w14:paraId="00000024">
      <w:pPr>
        <w:spacing w:line="360" w:lineRule="auto"/>
        <w:ind w:left="720" w:firstLine="0"/>
        <w:rPr>
          <w:rFonts w:ascii="Times New Roman" w:hAnsi="Times New Roman" w:eastAsia="Times New Roman" w:cs="Times New Roman"/>
          <w:u w:val="single"/>
        </w:rPr>
      </w:pPr>
      <w:r>
        <w:rPr>
          <w:rFonts w:ascii="Times New Roman" w:hAnsi="Times New Roman" w:eastAsia="Times New Roman" w:cs="Times New Roman"/>
          <w:rtl w:val="0"/>
        </w:rPr>
        <w:t xml:space="preserve">d) krátkodobého finančného majetku, - </w:t>
      </w:r>
      <w:r>
        <w:rPr>
          <w:rFonts w:ascii="Times New Roman" w:hAnsi="Times New Roman" w:eastAsia="Times New Roman" w:cs="Times New Roman"/>
          <w:u w:val="single"/>
          <w:rtl w:val="0"/>
        </w:rPr>
        <w:t>menovitá hodnota</w:t>
      </w:r>
    </w:p>
    <w:p w14:paraId="00000025">
      <w:pPr>
        <w:spacing w:line="360" w:lineRule="auto"/>
        <w:ind w:left="720" w:firstLine="0"/>
        <w:rPr>
          <w:rFonts w:ascii="Times New Roman" w:hAnsi="Times New Roman" w:eastAsia="Times New Roman" w:cs="Times New Roman"/>
          <w:u w:val="single"/>
        </w:rPr>
      </w:pPr>
      <w:r>
        <w:rPr>
          <w:rFonts w:ascii="Times New Roman" w:hAnsi="Times New Roman" w:eastAsia="Times New Roman" w:cs="Times New Roman"/>
          <w:rtl w:val="0"/>
        </w:rPr>
        <w:t>e) záväzkov vrátane rezerv, dlhopisov, pôžičiek a úverov, -</w:t>
      </w:r>
      <w:r>
        <w:rPr>
          <w:rFonts w:ascii="Times New Roman" w:hAnsi="Times New Roman" w:eastAsia="Times New Roman" w:cs="Times New Roman"/>
          <w:u w:val="single"/>
          <w:rtl w:val="0"/>
        </w:rPr>
        <w:t xml:space="preserve"> menovitá hodnota</w:t>
      </w:r>
    </w:p>
    <w:p w14:paraId="00000026">
      <w:pPr>
        <w:spacing w:line="360" w:lineRule="auto"/>
        <w:ind w:left="720" w:firstLine="0"/>
        <w:rPr>
          <w:rFonts w:ascii="Times New Roman" w:hAnsi="Times New Roman" w:eastAsia="Times New Roman" w:cs="Times New Roman"/>
          <w:u w:val="single"/>
        </w:rPr>
      </w:pPr>
      <w:r>
        <w:rPr>
          <w:rFonts w:ascii="Times New Roman" w:hAnsi="Times New Roman" w:eastAsia="Times New Roman" w:cs="Times New Roman"/>
          <w:rtl w:val="0"/>
        </w:rPr>
        <w:t xml:space="preserve">f) derivátových operácií. - </w:t>
      </w:r>
      <w:r>
        <w:rPr>
          <w:rFonts w:ascii="Times New Roman" w:hAnsi="Times New Roman" w:eastAsia="Times New Roman" w:cs="Times New Roman"/>
          <w:u w:val="single"/>
          <w:rtl w:val="0"/>
        </w:rPr>
        <w:t>obstarávacia cena</w:t>
      </w:r>
    </w:p>
    <w:p w14:paraId="00000027">
      <w:pPr>
        <w:spacing w:line="360" w:lineRule="auto"/>
        <w:rPr>
          <w:rFonts w:ascii="Times New Roman" w:hAnsi="Times New Roman" w:eastAsia="Times New Roman" w:cs="Times New Roman"/>
        </w:rPr>
      </w:pPr>
    </w:p>
    <w:p w14:paraId="00000028">
      <w:pPr>
        <w:spacing w:line="360" w:lineRule="auto"/>
        <w:rPr>
          <w:rFonts w:ascii="Times New Roman" w:hAnsi="Times New Roman" w:eastAsia="Times New Roman" w:cs="Times New Roman"/>
          <w:b/>
        </w:rPr>
      </w:pPr>
      <w:r>
        <w:rPr>
          <w:rFonts w:ascii="Times New Roman" w:hAnsi="Times New Roman" w:eastAsia="Times New Roman" w:cs="Times New Roman"/>
          <w:b/>
          <w:rtl w:val="0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0000029">
      <w:pPr>
        <w:spacing w:line="360" w:lineRule="auto"/>
        <w:rPr>
          <w:rFonts w:ascii="Times New Roman" w:hAnsi="Times New Roman" w:eastAsia="Times New Roman" w:cs="Times New Roman"/>
        </w:rPr>
      </w:pPr>
    </w:p>
    <w:p w14:paraId="0000002A">
      <w:pPr>
        <w:spacing w:line="360" w:lineRule="auto"/>
        <w:ind w:left="720" w:firstLine="0"/>
        <w:rPr>
          <w:rFonts w:hint="default" w:ascii="Times New Roman" w:hAnsi="Times New Roman" w:eastAsia="Times New Roman" w:cs="Times New Roman"/>
          <w:u w:val="single"/>
          <w:lang w:val="sk-SK"/>
        </w:rPr>
      </w:pPr>
      <w:r>
        <w:rPr>
          <w:rFonts w:ascii="Times New Roman" w:hAnsi="Times New Roman" w:eastAsia="Times New Roman" w:cs="Times New Roman"/>
          <w:rtl w:val="0"/>
        </w:rPr>
        <w:t>Spoločnosť počas účtovného obdobia 202</w:t>
      </w:r>
      <w:r>
        <w:rPr>
          <w:rFonts w:hint="default" w:ascii="Times New Roman" w:hAnsi="Times New Roman" w:eastAsia="Times New Roman" w:cs="Times New Roman"/>
          <w:rtl w:val="0"/>
          <w:lang w:val="sk-SK"/>
        </w:rPr>
        <w:t xml:space="preserve">4 </w:t>
      </w:r>
      <w:r>
        <w:rPr>
          <w:rFonts w:ascii="Times New Roman" w:hAnsi="Times New Roman" w:eastAsia="Times New Roman" w:cs="Times New Roman"/>
          <w:u w:val="single"/>
          <w:rtl w:val="0"/>
        </w:rPr>
        <w:t xml:space="preserve">obstarala  dlhodobý majetok, </w:t>
      </w:r>
      <w:r>
        <w:rPr>
          <w:rFonts w:hint="default" w:ascii="Times New Roman" w:hAnsi="Times New Roman" w:eastAsia="Times New Roman" w:cs="Times New Roman"/>
          <w:u w:val="single"/>
          <w:rtl w:val="0"/>
          <w:lang w:val="sk-SK"/>
        </w:rPr>
        <w:t>zaradený v odpisovej skupine 1, s dobou odpisovania 48 mesiacov</w:t>
      </w:r>
      <w:bookmarkStart w:id="0" w:name="_GoBack"/>
      <w:bookmarkEnd w:id="0"/>
    </w:p>
    <w:p w14:paraId="0000002B">
      <w:pPr>
        <w:spacing w:line="360" w:lineRule="auto"/>
        <w:ind w:left="720" w:firstLine="0"/>
        <w:rPr>
          <w:rFonts w:ascii="Times New Roman" w:hAnsi="Times New Roman" w:eastAsia="Times New Roman" w:cs="Times New Roman"/>
        </w:rPr>
      </w:pPr>
    </w:p>
    <w:p w14:paraId="0000002C">
      <w:pPr>
        <w:spacing w:line="360" w:lineRule="auto"/>
        <w:ind w:left="0" w:firstLine="0"/>
        <w:rPr>
          <w:rFonts w:ascii="Times New Roman" w:hAnsi="Times New Roman" w:eastAsia="Times New Roman" w:cs="Times New Roman"/>
          <w:b/>
        </w:rPr>
      </w:pPr>
      <w:r>
        <w:rPr>
          <w:rFonts w:ascii="Times New Roman" w:hAnsi="Times New Roman" w:eastAsia="Times New Roman" w:cs="Times New Roman"/>
          <w:rtl w:val="0"/>
        </w:rPr>
        <w:t>(4)</w:t>
      </w:r>
      <w:r>
        <w:rPr>
          <w:rFonts w:ascii="Times New Roman" w:hAnsi="Times New Roman" w:eastAsia="Times New Roman" w:cs="Times New Roman"/>
          <w:b/>
          <w:rtl w:val="0"/>
        </w:rPr>
        <w:t xml:space="preserve"> Zmeny účtovných zásad a zmeny účtovných metód s uvedením dôvodu týchto zmien a vyčíslením ich vplyvu na finančnú hodnotu majetku, záväzkov, základného imania a výsledku hospodárenia účtovnej jednotky. </w:t>
      </w:r>
    </w:p>
    <w:p w14:paraId="0000002D">
      <w:pPr>
        <w:numPr>
          <w:ilvl w:val="0"/>
          <w:numId w:val="2"/>
        </w:numPr>
        <w:spacing w:line="360" w:lineRule="auto"/>
        <w:ind w:left="720" w:hanging="36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  <w:rtl w:val="0"/>
        </w:rPr>
        <w:t xml:space="preserve">Neprebehli žiadne zmeny účtovných zásad. </w:t>
      </w:r>
    </w:p>
    <w:p w14:paraId="0000002E">
      <w:pPr>
        <w:spacing w:line="360" w:lineRule="auto"/>
        <w:ind w:left="720" w:firstLine="0"/>
        <w:rPr>
          <w:rFonts w:ascii="Times New Roman" w:hAnsi="Times New Roman" w:eastAsia="Times New Roman" w:cs="Times New Roman"/>
        </w:rPr>
      </w:pPr>
    </w:p>
    <w:p w14:paraId="0000002F">
      <w:pPr>
        <w:spacing w:line="360" w:lineRule="auto"/>
        <w:ind w:left="0" w:firstLine="0"/>
        <w:rPr>
          <w:rFonts w:ascii="Times New Roman" w:hAnsi="Times New Roman" w:eastAsia="Times New Roman" w:cs="Times New Roman"/>
          <w:b/>
        </w:rPr>
      </w:pPr>
      <w:r>
        <w:rPr>
          <w:rFonts w:ascii="Times New Roman" w:hAnsi="Times New Roman" w:eastAsia="Times New Roman" w:cs="Times New Roman"/>
          <w:b/>
          <w:rtl w:val="0"/>
        </w:rPr>
        <w:t>(5) Informácie o dotáciách a ich oceňovanie v účtovníctve.</w:t>
      </w:r>
    </w:p>
    <w:p w14:paraId="00000030">
      <w:pPr>
        <w:numPr>
          <w:ilvl w:val="0"/>
          <w:numId w:val="3"/>
        </w:numPr>
        <w:spacing w:line="360" w:lineRule="auto"/>
        <w:ind w:left="720" w:hanging="36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  <w:rtl w:val="0"/>
        </w:rPr>
        <w:t>Spoločnosť doposiaľ neobstarala žiadne dotácie. Z tohto dôvodu neexistujú informácie o ich oceňovaní.</w:t>
      </w:r>
    </w:p>
    <w:p w14:paraId="00000031">
      <w:pPr>
        <w:spacing w:line="360" w:lineRule="auto"/>
        <w:ind w:left="720" w:firstLine="0"/>
        <w:rPr>
          <w:rFonts w:ascii="Times New Roman" w:hAnsi="Times New Roman" w:eastAsia="Times New Roman" w:cs="Times New Roman"/>
        </w:rPr>
      </w:pPr>
    </w:p>
    <w:p w14:paraId="00000032">
      <w:pPr>
        <w:spacing w:line="360" w:lineRule="auto"/>
        <w:ind w:left="0" w:firstLine="0"/>
        <w:rPr>
          <w:rFonts w:ascii="Times New Roman" w:hAnsi="Times New Roman" w:eastAsia="Times New Roman" w:cs="Times New Roman"/>
          <w:b/>
        </w:rPr>
      </w:pPr>
      <w:r>
        <w:rPr>
          <w:rFonts w:ascii="Times New Roman" w:hAnsi="Times New Roman" w:eastAsia="Times New Roman" w:cs="Times New Roman"/>
          <w:b/>
          <w:rtl w:val="0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</w:p>
    <w:p w14:paraId="00000033">
      <w:pPr>
        <w:spacing w:line="360" w:lineRule="auto"/>
        <w:ind w:left="720" w:firstLine="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  <w:rtl w:val="0"/>
        </w:rPr>
        <w:t xml:space="preserve">Pri vedení účtovníctva spoločnosti Mirenik s.r.o. nedošlo k žiadnym významným ani menej významným opravám chýb, ktoré by ovplyvnili účtovnú závierku. </w:t>
      </w:r>
    </w:p>
    <w:p w14:paraId="00000034">
      <w:pPr>
        <w:spacing w:line="360" w:lineRule="auto"/>
        <w:ind w:left="720" w:firstLine="0"/>
        <w:rPr>
          <w:rFonts w:ascii="Times New Roman" w:hAnsi="Times New Roman" w:eastAsia="Times New Roman" w:cs="Times New Roman"/>
        </w:rPr>
      </w:pPr>
    </w:p>
    <w:p w14:paraId="00000035">
      <w:pPr>
        <w:spacing w:line="360" w:lineRule="auto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Čl. III</w:t>
      </w:r>
    </w:p>
    <w:p w14:paraId="00000036">
      <w:pPr>
        <w:spacing w:line="360" w:lineRule="auto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Informácie, ktoré vysvetľujú a dopĺňajú súvahu a výkaz ziskov a strát</w:t>
      </w:r>
    </w:p>
    <w:p w14:paraId="00000037">
      <w:pPr>
        <w:spacing w:line="360" w:lineRule="auto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</w:p>
    <w:p w14:paraId="00000038">
      <w:pPr>
        <w:spacing w:line="360" w:lineRule="auto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  <w:rtl w:val="0"/>
        </w:rPr>
        <w:t>(1) Informácia o sume a dôvodoch vzniku jednotlivých položiek nákladov alebo výnosov,</w:t>
      </w:r>
    </w:p>
    <w:p w14:paraId="00000039">
      <w:pPr>
        <w:spacing w:line="360" w:lineRule="auto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  <w:rtl w:val="0"/>
        </w:rPr>
        <w:t>ktoré majú výnimočný rozsah alebo výskyt, napríklad výnosy z predaja podniku alebo</w:t>
      </w:r>
    </w:p>
    <w:p w14:paraId="0000003A">
      <w:pPr>
        <w:spacing w:line="360" w:lineRule="auto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  <w:rtl w:val="0"/>
        </w:rPr>
        <w:t>časti podniku, náklady z dôvodu predaja podniku alebo časti podniku, škody z dôvodu</w:t>
      </w:r>
    </w:p>
    <w:p w14:paraId="0000003B">
      <w:pPr>
        <w:spacing w:line="360" w:lineRule="auto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  <w:rtl w:val="0"/>
        </w:rPr>
        <w:t>živelných pohrôm.</w:t>
      </w:r>
    </w:p>
    <w:p w14:paraId="0000003C">
      <w:pPr>
        <w:spacing w:line="360" w:lineRule="auto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  <w:rtl w:val="0"/>
        </w:rPr>
        <w:t>(2) Informácie o záväzkoch, a to</w:t>
      </w:r>
    </w:p>
    <w:p w14:paraId="0000003D">
      <w:pPr>
        <w:spacing w:line="360" w:lineRule="auto"/>
        <w:rPr>
          <w:rFonts w:ascii="Times New Roman" w:hAnsi="Times New Roman" w:eastAsia="Times New Roman" w:cs="Times New Roman"/>
          <w:b/>
        </w:rPr>
      </w:pPr>
      <w:r>
        <w:rPr>
          <w:rFonts w:ascii="Times New Roman" w:hAnsi="Times New Roman" w:eastAsia="Times New Roman" w:cs="Times New Roman"/>
          <w:b/>
          <w:rtl w:val="0"/>
        </w:rPr>
        <w:t>a) celkovej sume záväzkov so zostatkovou dobou splatnosti dlhšou ako päť rokov,</w:t>
      </w:r>
    </w:p>
    <w:p w14:paraId="0000003E">
      <w:pPr>
        <w:spacing w:line="360" w:lineRule="auto"/>
        <w:ind w:firstLine="720"/>
        <w:rPr>
          <w:rFonts w:ascii="Times New Roman" w:hAnsi="Times New Roman" w:eastAsia="Times New Roman" w:cs="Times New Roman"/>
          <w:b/>
        </w:rPr>
      </w:pPr>
      <w:r>
        <w:rPr>
          <w:rFonts w:ascii="Times New Roman" w:hAnsi="Times New Roman" w:eastAsia="Times New Roman" w:cs="Times New Roman"/>
          <w:i/>
          <w:rtl w:val="0"/>
        </w:rPr>
        <w:t xml:space="preserve">Spoločnosť neeviduje takéto záväzky. </w:t>
      </w:r>
    </w:p>
    <w:p w14:paraId="0000003F">
      <w:pPr>
        <w:spacing w:line="360" w:lineRule="auto"/>
        <w:rPr>
          <w:rFonts w:ascii="Times New Roman" w:hAnsi="Times New Roman" w:eastAsia="Times New Roman" w:cs="Times New Roman"/>
        </w:rPr>
      </w:pPr>
    </w:p>
    <w:p w14:paraId="00000040">
      <w:pPr>
        <w:spacing w:line="360" w:lineRule="auto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  <w:rtl w:val="0"/>
        </w:rPr>
        <w:t>(3) Informácie o orgánoch účtovnej jednotky, a to</w:t>
      </w:r>
    </w:p>
    <w:p w14:paraId="00000041">
      <w:pPr>
        <w:spacing w:line="360" w:lineRule="auto"/>
        <w:rPr>
          <w:rFonts w:ascii="Times New Roman" w:hAnsi="Times New Roman" w:eastAsia="Times New Roman" w:cs="Times New Roman"/>
          <w:b/>
        </w:rPr>
      </w:pPr>
      <w:r>
        <w:rPr>
          <w:rFonts w:ascii="Times New Roman" w:hAnsi="Times New Roman" w:eastAsia="Times New Roman" w:cs="Times New Roman"/>
          <w:b/>
          <w:rtl w:val="0"/>
        </w:rPr>
        <w:t>a) výške jednotlivých druhov záruk alebo iných zabezpečení poskytnutých pre členov</w:t>
      </w:r>
    </w:p>
    <w:p w14:paraId="00000042">
      <w:pPr>
        <w:spacing w:line="360" w:lineRule="auto"/>
        <w:rPr>
          <w:rFonts w:ascii="Times New Roman" w:hAnsi="Times New Roman" w:eastAsia="Times New Roman" w:cs="Times New Roman"/>
          <w:b/>
        </w:rPr>
      </w:pPr>
      <w:r>
        <w:rPr>
          <w:rFonts w:ascii="Times New Roman" w:hAnsi="Times New Roman" w:eastAsia="Times New Roman" w:cs="Times New Roman"/>
          <w:b/>
          <w:rtl w:val="0"/>
        </w:rPr>
        <w:t>štatutárneho orgánu, dozorného orgánu a iného orgánu účtovnej jednotky, a to</w:t>
      </w:r>
    </w:p>
    <w:p w14:paraId="00000043">
      <w:pPr>
        <w:spacing w:line="360" w:lineRule="auto"/>
        <w:rPr>
          <w:rFonts w:ascii="Times New Roman" w:hAnsi="Times New Roman" w:eastAsia="Times New Roman" w:cs="Times New Roman"/>
          <w:b/>
        </w:rPr>
      </w:pPr>
      <w:r>
        <w:rPr>
          <w:rFonts w:ascii="Times New Roman" w:hAnsi="Times New Roman" w:eastAsia="Times New Roman" w:cs="Times New Roman"/>
          <w:b/>
          <w:rtl w:val="0"/>
        </w:rPr>
        <w:t xml:space="preserve">v členení za jednotlivé orgány, </w:t>
      </w:r>
    </w:p>
    <w:p w14:paraId="00000044">
      <w:pPr>
        <w:spacing w:line="360" w:lineRule="auto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rtl w:val="0"/>
        </w:rPr>
        <w:tab/>
      </w:r>
      <w:r>
        <w:rPr>
          <w:rFonts w:ascii="Times New Roman" w:hAnsi="Times New Roman" w:eastAsia="Times New Roman" w:cs="Times New Roman"/>
          <w:i/>
          <w:rtl w:val="0"/>
        </w:rPr>
        <w:t>Neboli poskytnuté.</w:t>
      </w:r>
    </w:p>
    <w:p w14:paraId="00000045">
      <w:pPr>
        <w:spacing w:line="360" w:lineRule="auto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  <w:rtl w:val="0"/>
        </w:rPr>
        <w:t>b) pôžičkách poskytnutých členom štatutárneho orgánu, dozorného orgánu a iného</w:t>
      </w:r>
    </w:p>
    <w:p w14:paraId="00000046">
      <w:pPr>
        <w:spacing w:line="360" w:lineRule="auto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  <w:rtl w:val="0"/>
        </w:rPr>
        <w:t>orgánu účtovnej jednotky a to</w:t>
      </w:r>
    </w:p>
    <w:p w14:paraId="00000047">
      <w:pPr>
        <w:spacing w:line="360" w:lineRule="auto"/>
        <w:ind w:firstLine="72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  <w:rtl w:val="0"/>
        </w:rPr>
        <w:t>1. celková suma poskytnutých pôžičiek k poslednému dňu účtovného obdobia</w:t>
      </w:r>
    </w:p>
    <w:p w14:paraId="00000048">
      <w:pPr>
        <w:spacing w:line="360" w:lineRule="auto"/>
        <w:ind w:firstLine="720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rtl w:val="0"/>
        </w:rPr>
        <w:t xml:space="preserve">v členení za jednotlivé orgány, - </w:t>
      </w:r>
      <w:r>
        <w:rPr>
          <w:rFonts w:ascii="Times New Roman" w:hAnsi="Times New Roman" w:eastAsia="Times New Roman" w:cs="Times New Roman"/>
          <w:i/>
          <w:rtl w:val="0"/>
        </w:rPr>
        <w:t>neboli poskytnuté</w:t>
      </w:r>
    </w:p>
    <w:p w14:paraId="00000049">
      <w:pPr>
        <w:spacing w:line="360" w:lineRule="auto"/>
        <w:ind w:firstLine="72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  <w:rtl w:val="0"/>
        </w:rPr>
        <w:t>2. celková suma splatených pôžičiek k poslednému dňu účtovného obdobia</w:t>
      </w:r>
    </w:p>
    <w:p w14:paraId="0000004A">
      <w:pPr>
        <w:spacing w:line="360" w:lineRule="auto"/>
        <w:ind w:firstLine="720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rtl w:val="0"/>
        </w:rPr>
        <w:t xml:space="preserve">v členení za jednotlivé orgány, - </w:t>
      </w:r>
      <w:r>
        <w:rPr>
          <w:rFonts w:ascii="Times New Roman" w:hAnsi="Times New Roman" w:eastAsia="Times New Roman" w:cs="Times New Roman"/>
          <w:i/>
          <w:rtl w:val="0"/>
        </w:rPr>
        <w:t>neboli poskytnuté.</w:t>
      </w:r>
    </w:p>
    <w:p w14:paraId="0000004B">
      <w:pPr>
        <w:spacing w:line="360" w:lineRule="auto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  <w:rtl w:val="0"/>
        </w:rPr>
        <w:t>3. celková suma odpustených pôžičiek a odpísaných pôžičiek k poslednému dňu</w:t>
      </w:r>
    </w:p>
    <w:p w14:paraId="0000004C">
      <w:pPr>
        <w:spacing w:line="360" w:lineRule="auto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  <w:rtl w:val="0"/>
        </w:rPr>
        <w:t>účtovného obdobia v členení za jednotlivé orgány,</w:t>
      </w:r>
    </w:p>
    <w:p w14:paraId="0000004D">
      <w:pPr>
        <w:spacing w:line="360" w:lineRule="auto"/>
        <w:ind w:firstLine="72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  <w:rtl w:val="0"/>
        </w:rPr>
        <w:t xml:space="preserve">c) hlavných podmienkach, na základe ktorých im boli záruky alebo iné zabezpečenie </w:t>
      </w:r>
    </w:p>
    <w:p w14:paraId="0000004E">
      <w:pPr>
        <w:spacing w:line="360" w:lineRule="auto"/>
        <w:ind w:firstLine="720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rtl w:val="0"/>
        </w:rPr>
        <w:t>pôžičky poskytnuté; pri pôžičkách sa uvádzajú úrokové sadzby, -</w:t>
      </w:r>
      <w:r>
        <w:rPr>
          <w:rFonts w:ascii="Times New Roman" w:hAnsi="Times New Roman" w:eastAsia="Times New Roman" w:cs="Times New Roman"/>
          <w:i/>
          <w:rtl w:val="0"/>
        </w:rPr>
        <w:t xml:space="preserve"> neboli poskytnuté</w:t>
      </w:r>
    </w:p>
    <w:p w14:paraId="0000004F">
      <w:pPr>
        <w:spacing w:line="360" w:lineRule="auto"/>
        <w:ind w:left="720" w:firstLine="0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rtl w:val="0"/>
        </w:rPr>
        <w:t xml:space="preserve">d) celkovej sume použitých finančných prostriedkov alebo iného plnenia na súkromné účely členmi štatutárneho orgánu, dozorného orgánu a iného orgánu účtovnej jednotky, ktoré je potrebné vyúčtovať. - </w:t>
      </w:r>
      <w:r>
        <w:rPr>
          <w:rFonts w:ascii="Times New Roman" w:hAnsi="Times New Roman" w:eastAsia="Times New Roman" w:cs="Times New Roman"/>
          <w:i/>
          <w:rtl w:val="0"/>
        </w:rPr>
        <w:t>neboli poskytnuté</w:t>
      </w:r>
    </w:p>
    <w:p w14:paraId="00000050">
      <w:pPr>
        <w:spacing w:line="360" w:lineRule="auto"/>
        <w:ind w:left="0" w:firstLine="0"/>
        <w:rPr>
          <w:rFonts w:ascii="Times New Roman" w:hAnsi="Times New Roman" w:eastAsia="Times New Roman" w:cs="Times New Roman"/>
        </w:rPr>
      </w:pPr>
    </w:p>
    <w:p w14:paraId="00000051">
      <w:pPr>
        <w:spacing w:line="360" w:lineRule="auto"/>
        <w:ind w:left="0" w:firstLine="0"/>
        <w:rPr>
          <w:rFonts w:ascii="Times New Roman" w:hAnsi="Times New Roman" w:eastAsia="Times New Roman" w:cs="Times New Roman"/>
          <w:b/>
        </w:rPr>
      </w:pPr>
      <w:r>
        <w:rPr>
          <w:rFonts w:ascii="Times New Roman" w:hAnsi="Times New Roman" w:eastAsia="Times New Roman" w:cs="Times New Roman"/>
          <w:b/>
          <w:rtl w:val="0"/>
        </w:rPr>
        <w:t xml:space="preserve">(5) Informácie o povinnostiach účtovnej jednotky, </w:t>
      </w:r>
    </w:p>
    <w:p w14:paraId="00000052">
      <w:pPr>
        <w:spacing w:line="360" w:lineRule="auto"/>
        <w:ind w:left="720" w:firstLine="0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i/>
          <w:rtl w:val="0"/>
        </w:rPr>
        <w:t xml:space="preserve">Spoločnosť nevykazuje žiadne významné povinnosti nájomcu vyplývajúce z operatívneho prenájmu, z uzatvorených zmlúv na poskytnutie úveru alebo pôžičky, ktoré ešte neboli poskytnuté, finančné povinnosti vyplývajúce z licenčných a koncesionárskych zmlúv s uvedením sumy poplatku. </w:t>
      </w:r>
    </w:p>
    <w:p w14:paraId="00000053">
      <w:pPr>
        <w:spacing w:line="360" w:lineRule="auto"/>
        <w:ind w:left="720" w:firstLine="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  <w:rtl w:val="0"/>
        </w:rPr>
        <w:t xml:space="preserve">Spoločnosť neeviduje žiadne významne podmiené záväzky voči partnerom, ani voči spoločníkovi. </w:t>
      </w:r>
    </w:p>
    <w:p w14:paraId="00000054">
      <w:pPr>
        <w:spacing w:line="360" w:lineRule="auto"/>
        <w:ind w:left="0" w:firstLine="0"/>
      </w:pPr>
    </w:p>
    <w:sectPr>
      <w:pgSz w:w="11909" w:h="16834"/>
      <w:pgMar w:top="1440" w:right="1440" w:bottom="1440" w:left="1440" w:header="720" w:footer="720" w:gutter="0"/>
      <w:pgNumType w:start="1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86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76" w:lineRule="auto"/>
      </w:pPr>
      <w:r>
        <w:separator/>
      </w:r>
    </w:p>
  </w:footnote>
  <w:footnote w:type="continuationSeparator" w:id="1">
    <w:p>
      <w:pPr>
        <w:spacing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F092B84"/>
    <w:multiLevelType w:val="multilevel"/>
    <w:tmpl w:val="CF092B84"/>
    <w:lvl w:ilvl="0" w:tentative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 w:tentative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 w:tentative="0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 w:tentative="0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 w:tentative="0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 w:tentative="0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 w:tentative="0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 w:tentative="0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 w:tentative="0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">
    <w:nsid w:val="0053208E"/>
    <w:multiLevelType w:val="multilevel"/>
    <w:tmpl w:val="0053208E"/>
    <w:lvl w:ilvl="0" w:tentative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 w:tentative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 w:tentative="0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 w:tentative="0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 w:tentative="0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 w:tentative="0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 w:tentative="0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 w:tentative="0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 w:tentative="0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nsid w:val="59ADCABA"/>
    <w:multiLevelType w:val="multilevel"/>
    <w:tmpl w:val="59ADCABA"/>
    <w:lvl w:ilvl="0" w:tentative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 w:tentative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 w:tentative="0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 w:tentative="0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 w:tentative="0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 w:tentative="0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 w:tentative="0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 w:tentative="0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 w:tentative="0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</w:compat>
  <w:rsids>
    <w:rsidRoot w:val="00000000"/>
    <w:rsid w:val="2EA562A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276" w:lineRule="auto"/>
    </w:pPr>
    <w:rPr>
      <w:rFonts w:ascii="Arial" w:hAnsi="Arial" w:eastAsia="Arial" w:cs="Arial"/>
      <w:sz w:val="22"/>
      <w:szCs w:val="22"/>
      <w:lang w:val="sk"/>
    </w:rPr>
  </w:style>
  <w:style w:type="paragraph" w:styleId="2">
    <w:name w:val="heading 1"/>
    <w:basedOn w:val="1"/>
    <w:next w:val="1"/>
    <w:qFormat/>
    <w:uiPriority w:val="0"/>
    <w:pPr>
      <w:keepNext/>
      <w:keepLines/>
      <w:pageBreakBefore w:val="0"/>
      <w:spacing w:before="400" w:after="120"/>
    </w:pPr>
    <w:rPr>
      <w:sz w:val="40"/>
      <w:szCs w:val="40"/>
    </w:rPr>
  </w:style>
  <w:style w:type="paragraph" w:styleId="3">
    <w:name w:val="heading 2"/>
    <w:basedOn w:val="1"/>
    <w:next w:val="1"/>
    <w:qFormat/>
    <w:uiPriority w:val="0"/>
    <w:pPr>
      <w:keepNext/>
      <w:keepLines/>
      <w:pageBreakBefore w:val="0"/>
      <w:spacing w:before="360" w:after="120"/>
    </w:pPr>
    <w:rPr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pageBreakBefore w:val="0"/>
      <w:spacing w:before="320" w:after="80"/>
    </w:pPr>
    <w:rPr>
      <w:color w:val="434343"/>
      <w:sz w:val="28"/>
      <w:szCs w:val="28"/>
    </w:rPr>
  </w:style>
  <w:style w:type="paragraph" w:styleId="5">
    <w:name w:val="heading 4"/>
    <w:basedOn w:val="1"/>
    <w:next w:val="1"/>
    <w:qFormat/>
    <w:uiPriority w:val="0"/>
    <w:pPr>
      <w:keepNext/>
      <w:keepLines/>
      <w:pageBreakBefore w:val="0"/>
      <w:spacing w:before="280" w:after="80"/>
    </w:pPr>
    <w:rPr>
      <w:color w:val="666666"/>
      <w:sz w:val="24"/>
      <w:szCs w:val="24"/>
    </w:rPr>
  </w:style>
  <w:style w:type="paragraph" w:styleId="6">
    <w:name w:val="heading 5"/>
    <w:basedOn w:val="1"/>
    <w:next w:val="1"/>
    <w:qFormat/>
    <w:uiPriority w:val="0"/>
    <w:pPr>
      <w:keepNext/>
      <w:keepLines/>
      <w:pageBreakBefore w:val="0"/>
      <w:spacing w:before="240" w:after="80"/>
    </w:pPr>
    <w:rPr>
      <w:color w:val="666666"/>
      <w:sz w:val="22"/>
      <w:szCs w:val="22"/>
    </w:rPr>
  </w:style>
  <w:style w:type="paragraph" w:styleId="7">
    <w:name w:val="heading 6"/>
    <w:basedOn w:val="1"/>
    <w:next w:val="1"/>
    <w:qFormat/>
    <w:uiPriority w:val="0"/>
    <w:pPr>
      <w:keepNext/>
      <w:keepLines/>
      <w:pageBreakBefore w:val="0"/>
      <w:spacing w:before="240" w:after="80"/>
    </w:pPr>
    <w:rPr>
      <w:i/>
      <w:color w:val="666666"/>
      <w:sz w:val="22"/>
      <w:szCs w:val="22"/>
    </w:rPr>
  </w:style>
  <w:style w:type="character" w:default="1" w:styleId="8">
    <w:name w:val="Default Paragraph Font"/>
    <w:semiHidden/>
    <w:uiPriority w:val="0"/>
  </w:style>
  <w:style w:type="table" w:default="1" w:styleId="9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Subtitle"/>
    <w:basedOn w:val="1"/>
    <w:next w:val="1"/>
    <w:qFormat/>
    <w:uiPriority w:val="0"/>
    <w:pPr>
      <w:keepNext/>
      <w:keepLines/>
      <w:pageBreakBefore w:val="0"/>
      <w:spacing w:before="0" w:after="320"/>
    </w:pPr>
    <w:rPr>
      <w:rFonts w:ascii="Arial" w:hAnsi="Arial" w:eastAsia="Arial" w:cs="Arial"/>
      <w:color w:val="666666"/>
      <w:sz w:val="30"/>
      <w:szCs w:val="30"/>
    </w:rPr>
  </w:style>
  <w:style w:type="paragraph" w:styleId="11">
    <w:name w:val="Title"/>
    <w:basedOn w:val="1"/>
    <w:next w:val="1"/>
    <w:uiPriority w:val="0"/>
    <w:pPr>
      <w:keepNext/>
      <w:keepLines/>
      <w:pageBreakBefore w:val="0"/>
      <w:spacing w:before="0" w:after="60"/>
    </w:pPr>
    <w:rPr>
      <w:sz w:val="52"/>
      <w:szCs w:val="52"/>
    </w:rPr>
  </w:style>
  <w:style w:type="table" w:customStyle="1" w:styleId="12">
    <w:name w:val="Table Normal1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Pages>3</Pages>
  <TotalTime>4</TotalTime>
  <ScaleCrop>false</ScaleCrop>
  <LinksUpToDate>false</LinksUpToDate>
  <Application>WPS Office_12.2.0.20795_F1E327BC-269C-435d-A152-05C5408002CA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2025-04-28T17:43:21Z</dcterms:created>
  <dc:creator>Mama Hanka</dc:creator>
  <cp:lastModifiedBy>Monika Uková</cp:lastModifiedBy>
  <dcterms:modified xsi:type="dcterms:W3CDTF">2025-04-28T17:47:37Z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1033-12.2.0.20795</vt:lpwstr>
  </property>
  <property fmtid="{D5CDD505-2E9C-101B-9397-08002B2CF9AE}" pid="3" name="ICV">
    <vt:lpwstr>8F7615D8EC6346B3A7BBFC8EE9BA5841_12</vt:lpwstr>
  </property>
</Properties>
</file>