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Poznámky Úč MÚJ 3 - 01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IČO: 54299829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DIČ: 2121636352</w:t>
      </w:r>
    </w:p>
    <w:p w14:paraId="00000002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3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</w:t>
      </w:r>
    </w:p>
    <w:p w14:paraId="00000004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Všeobecné údaje</w:t>
      </w:r>
    </w:p>
    <w:p w14:paraId="00000005">
      <w:pPr>
        <w:spacing w:line="360" w:lineRule="auto"/>
        <w:rPr>
          <w:rFonts w:ascii="Times New Roman" w:hAnsi="Times New Roman" w:eastAsia="Times New Roman" w:cs="Times New Roman"/>
        </w:rPr>
      </w:pPr>
    </w:p>
    <w:p w14:paraId="00000006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(1) Názov právnickej osoby a jej sídlo </w:t>
      </w:r>
    </w:p>
    <w:p w14:paraId="00000007">
      <w:pPr>
        <w:spacing w:line="360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Mirenik s. r. o.</w:t>
      </w:r>
    </w:p>
    <w:p w14:paraId="00000008">
      <w:pPr>
        <w:spacing w:line="360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Lisková 857, 034 81 Lisková</w:t>
      </w:r>
    </w:p>
    <w:p w14:paraId="00000009">
      <w:pPr>
        <w:spacing w:line="360" w:lineRule="auto"/>
        <w:ind w:left="0"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 </w:t>
      </w:r>
    </w:p>
    <w:p w14:paraId="0000000A">
      <w:pPr>
        <w:spacing w:line="360" w:lineRule="auto"/>
        <w:rPr>
          <w:rFonts w:ascii="Times New Roman" w:hAnsi="Times New Roman" w:eastAsia="Times New Roman" w:cs="Times New Roman"/>
          <w:b/>
          <w:i/>
        </w:rPr>
      </w:pPr>
      <w:r>
        <w:rPr>
          <w:rFonts w:ascii="Times New Roman" w:hAnsi="Times New Roman" w:eastAsia="Times New Roman" w:cs="Times New Roman"/>
          <w:b/>
          <w:i/>
          <w:rtl w:val="0"/>
        </w:rPr>
        <w:t>(2) Údaje o konsolidovanom celku, a to</w:t>
      </w:r>
    </w:p>
    <w:p w14:paraId="0000000B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a) obchodné meno a sídlo konsolidujúcej účtovnej jednotky, ktorá zostavuje</w:t>
      </w:r>
    </w:p>
    <w:p w14:paraId="0000000C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konsolidovanú účtovnú závierku za tú skupinu účtovných jednotiek konsolidovaného</w:t>
      </w:r>
    </w:p>
    <w:p w14:paraId="0000000D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celku, ktorého súčasťou je aj účtovná jednotka; uvádza sa aj obchodné meno a sídlo</w:t>
      </w:r>
    </w:p>
    <w:p w14:paraId="0000000E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účtovnej jednotky, ktorá je bezprostredne konsolidujúcou účtovnou jednotkou,</w:t>
      </w:r>
    </w:p>
    <w:p w14:paraId="0000000F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b) údaj, či účtovná jednotka je materskou účtovnou jednotkou a údaj, či je oslobodená</w:t>
      </w:r>
    </w:p>
    <w:p w14:paraId="00000010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od povinnosti zostaviť konsolidovanú účtovnú závierku a konsolidovanú výročnú</w:t>
      </w:r>
    </w:p>
    <w:p w14:paraId="00000011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správu podľa § 22 zákona, pričom sa uvádzajú</w:t>
      </w:r>
    </w:p>
    <w:p w14:paraId="00000012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1. pri oslobodení podľa § 22 ods. 8 zákona obchodné meno a sídlo materskej</w:t>
      </w:r>
    </w:p>
    <w:p w14:paraId="00000013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účtovnej jednotky zostavujúcej konsolidovanú účtovnú závierku podľa</w:t>
      </w:r>
    </w:p>
    <w:p w14:paraId="00000014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osobitných predpisov,4)</w:t>
      </w:r>
    </w:p>
    <w:p w14:paraId="00000015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2. pri oslobodení podľa § 22 ods. 12 zákona obchodné meno a sídlo dcérskych</w:t>
      </w:r>
    </w:p>
    <w:p w14:paraId="00000016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účtovných jednotiek.</w:t>
      </w:r>
    </w:p>
    <w:p w14:paraId="00000017">
      <w:pPr>
        <w:numPr>
          <w:ilvl w:val="0"/>
          <w:numId w:val="1"/>
        </w:numPr>
        <w:spacing w:line="360" w:lineRule="auto"/>
        <w:ind w:left="720" w:hanging="36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>Netýka sa to spoločnosti Mirenik s. r. o., nakoľko nie je súčasťou konsolidovaného celku.</w:t>
      </w:r>
    </w:p>
    <w:p w14:paraId="00000018">
      <w:pPr>
        <w:spacing w:line="360" w:lineRule="auto"/>
        <w:rPr>
          <w:rFonts w:ascii="Times New Roman" w:hAnsi="Times New Roman" w:eastAsia="Times New Roman" w:cs="Times New Roman"/>
          <w:i/>
        </w:rPr>
      </w:pPr>
    </w:p>
    <w:p w14:paraId="00000019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(3) Priemerný prepočítaný počet zamestnancov. </w:t>
      </w:r>
    </w:p>
    <w:p w14:paraId="0000001A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rtl w:val="0"/>
        </w:rPr>
        <w:t xml:space="preserve"> Spoločnosť nemá žiadnych zamestnancov. </w:t>
      </w:r>
    </w:p>
    <w:p w14:paraId="0000001B">
      <w:pPr>
        <w:spacing w:line="360" w:lineRule="auto"/>
        <w:rPr>
          <w:rFonts w:ascii="Times New Roman" w:hAnsi="Times New Roman" w:eastAsia="Times New Roman" w:cs="Times New Roman"/>
        </w:rPr>
      </w:pPr>
    </w:p>
    <w:p w14:paraId="0000001C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II Informácie o prijatých postupoch</w:t>
      </w:r>
    </w:p>
    <w:p w14:paraId="0000001D">
      <w:pPr>
        <w:spacing w:line="360" w:lineRule="auto"/>
        <w:jc w:val="center"/>
        <w:rPr>
          <w:rFonts w:ascii="Times New Roman" w:hAnsi="Times New Roman" w:eastAsia="Times New Roman" w:cs="Times New Roman"/>
        </w:rPr>
      </w:pPr>
    </w:p>
    <w:p w14:paraId="0000001E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 (1) Účtovná závierka je zostavená za splnenia predpokladu, že účtovná jednotka bude nepretržite pokračovať vo svojej činnosti.</w:t>
      </w:r>
    </w:p>
    <w:p w14:paraId="0000001F">
      <w:pPr>
        <w:spacing w:line="360" w:lineRule="auto"/>
        <w:rPr>
          <w:rFonts w:ascii="Times New Roman" w:hAnsi="Times New Roman" w:eastAsia="Times New Roman" w:cs="Times New Roman"/>
          <w:b/>
        </w:rPr>
      </w:pPr>
    </w:p>
    <w:p w14:paraId="00000020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(2) Spôsob oceňovania jednotlivých položiek majetku a záväzkov:</w:t>
      </w:r>
    </w:p>
    <w:p w14:paraId="00000021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 xml:space="preserve"> a) dlhodobého nehmotného majetku, dlhodobého hmotného majetku a dlhodobého finančného majetku, -</w:t>
      </w:r>
      <w:r>
        <w:rPr>
          <w:rFonts w:ascii="Times New Roman" w:hAnsi="Times New Roman" w:eastAsia="Times New Roman" w:cs="Times New Roman"/>
          <w:u w:val="single"/>
          <w:rtl w:val="0"/>
        </w:rPr>
        <w:t xml:space="preserve"> obstarávacia cena</w:t>
      </w:r>
    </w:p>
    <w:p w14:paraId="00000022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 xml:space="preserve">b) zásob obstaraných kúpou, zásob vytvorených vlastnou činnosťou, - </w:t>
      </w:r>
      <w:r>
        <w:rPr>
          <w:rFonts w:ascii="Times New Roman" w:hAnsi="Times New Roman" w:eastAsia="Times New Roman" w:cs="Times New Roman"/>
          <w:u w:val="single"/>
          <w:rtl w:val="0"/>
        </w:rPr>
        <w:t>vlastné náklady</w:t>
      </w:r>
    </w:p>
    <w:p w14:paraId="00000023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>c) pohľadávok, -</w:t>
      </w:r>
      <w:r>
        <w:rPr>
          <w:rFonts w:ascii="Times New Roman" w:hAnsi="Times New Roman" w:eastAsia="Times New Roman" w:cs="Times New Roman"/>
          <w:u w:val="single"/>
          <w:rtl w:val="0"/>
        </w:rPr>
        <w:t xml:space="preserve"> menovitá hodnota</w:t>
      </w:r>
    </w:p>
    <w:p w14:paraId="00000024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 xml:space="preserve">d) krátkodobého finančného majetku, - </w:t>
      </w:r>
      <w:r>
        <w:rPr>
          <w:rFonts w:ascii="Times New Roman" w:hAnsi="Times New Roman" w:eastAsia="Times New Roman" w:cs="Times New Roman"/>
          <w:u w:val="single"/>
          <w:rtl w:val="0"/>
        </w:rPr>
        <w:t>menovitá hodnota</w:t>
      </w:r>
    </w:p>
    <w:p w14:paraId="00000025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>e) záväzkov vrátane rezerv, dlhopisov, pôžičiek a úverov, -</w:t>
      </w:r>
      <w:r>
        <w:rPr>
          <w:rFonts w:ascii="Times New Roman" w:hAnsi="Times New Roman" w:eastAsia="Times New Roman" w:cs="Times New Roman"/>
          <w:u w:val="single"/>
          <w:rtl w:val="0"/>
        </w:rPr>
        <w:t xml:space="preserve"> menovitá hodnota</w:t>
      </w:r>
    </w:p>
    <w:p w14:paraId="00000026">
      <w:pPr>
        <w:spacing w:line="360" w:lineRule="auto"/>
        <w:ind w:left="720" w:firstLine="0"/>
        <w:rPr>
          <w:rFonts w:ascii="Times New Roman" w:hAnsi="Times New Roman" w:eastAsia="Times New Roman" w:cs="Times New Roman"/>
          <w:u w:val="single"/>
        </w:rPr>
      </w:pPr>
      <w:r>
        <w:rPr>
          <w:rFonts w:ascii="Times New Roman" w:hAnsi="Times New Roman" w:eastAsia="Times New Roman" w:cs="Times New Roman"/>
          <w:rtl w:val="0"/>
        </w:rPr>
        <w:t xml:space="preserve">f) derivátových operácií. - </w:t>
      </w:r>
      <w:r>
        <w:rPr>
          <w:rFonts w:ascii="Times New Roman" w:hAnsi="Times New Roman" w:eastAsia="Times New Roman" w:cs="Times New Roman"/>
          <w:u w:val="single"/>
          <w:rtl w:val="0"/>
        </w:rPr>
        <w:t>obstarávacia cena</w:t>
      </w:r>
    </w:p>
    <w:p w14:paraId="00000027">
      <w:pPr>
        <w:spacing w:line="360" w:lineRule="auto"/>
        <w:rPr>
          <w:rFonts w:ascii="Times New Roman" w:hAnsi="Times New Roman" w:eastAsia="Times New Roman" w:cs="Times New Roman"/>
        </w:rPr>
      </w:pPr>
    </w:p>
    <w:p w14:paraId="00000028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0000029">
      <w:pPr>
        <w:spacing w:line="360" w:lineRule="auto"/>
        <w:rPr>
          <w:rFonts w:ascii="Times New Roman" w:hAnsi="Times New Roman" w:eastAsia="Times New Roman" w:cs="Times New Roman"/>
        </w:rPr>
      </w:pPr>
    </w:p>
    <w:p w14:paraId="0000002A">
      <w:pPr>
        <w:spacing w:line="360" w:lineRule="auto"/>
        <w:ind w:left="720" w:firstLine="0"/>
        <w:rPr>
          <w:rFonts w:hint="default" w:ascii="Times New Roman" w:hAnsi="Times New Roman" w:eastAsia="Times New Roman" w:cs="Times New Roman"/>
          <w:u w:val="single"/>
          <w:lang w:val="sk-SK"/>
        </w:rPr>
      </w:pPr>
      <w:r>
        <w:rPr>
          <w:rFonts w:ascii="Times New Roman" w:hAnsi="Times New Roman" w:eastAsia="Times New Roman" w:cs="Times New Roman"/>
          <w:rtl w:val="0"/>
        </w:rPr>
        <w:t>Spoločnosť počas účtovného obdobia 202</w:t>
      </w:r>
      <w:r>
        <w:rPr>
          <w:rFonts w:hint="default" w:ascii="Times New Roman" w:hAnsi="Times New Roman" w:eastAsia="Times New Roman" w:cs="Times New Roman"/>
          <w:rtl w:val="0"/>
          <w:lang w:val="sk-SK"/>
        </w:rPr>
        <w:t xml:space="preserve">4 </w:t>
      </w:r>
      <w:r>
        <w:rPr>
          <w:rFonts w:ascii="Times New Roman" w:hAnsi="Times New Roman" w:eastAsia="Times New Roman" w:cs="Times New Roman"/>
          <w:u w:val="single"/>
          <w:rtl w:val="0"/>
        </w:rPr>
        <w:t xml:space="preserve">obstarala  dlhodobý majetok, </w:t>
      </w:r>
      <w:r>
        <w:rPr>
          <w:rFonts w:hint="default" w:ascii="Times New Roman" w:hAnsi="Times New Roman" w:eastAsia="Times New Roman" w:cs="Times New Roman"/>
          <w:u w:val="single"/>
          <w:rtl w:val="0"/>
          <w:lang w:val="sk-SK"/>
        </w:rPr>
        <w:t>zaradený v odpisovej skupine 1, s dobou odpisovania 48 mesiacov</w:t>
      </w:r>
      <w:bookmarkStart w:id="0" w:name="_GoBack"/>
      <w:bookmarkEnd w:id="0"/>
    </w:p>
    <w:p w14:paraId="0000002B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</w:p>
    <w:p w14:paraId="0000002C">
      <w:pPr>
        <w:spacing w:line="360" w:lineRule="auto"/>
        <w:ind w:left="0" w:firstLine="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rtl w:val="0"/>
        </w:rPr>
        <w:t>(4)</w:t>
      </w:r>
      <w:r>
        <w:rPr>
          <w:rFonts w:ascii="Times New Roman" w:hAnsi="Times New Roman" w:eastAsia="Times New Roman" w:cs="Times New Roman"/>
          <w:b/>
          <w:rtl w:val="0"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 w14:paraId="0000002D">
      <w:pPr>
        <w:numPr>
          <w:ilvl w:val="0"/>
          <w:numId w:val="2"/>
        </w:numPr>
        <w:spacing w:line="360" w:lineRule="auto"/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Neprebehli žiadne zmeny účtovných zásad. </w:t>
      </w:r>
    </w:p>
    <w:p w14:paraId="0000002E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</w:p>
    <w:p w14:paraId="0000002F">
      <w:pPr>
        <w:spacing w:line="360" w:lineRule="auto"/>
        <w:ind w:left="0" w:firstLine="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(5) Informácie o dotáciách a ich oceňovanie v účtovníctve.</w:t>
      </w:r>
    </w:p>
    <w:p w14:paraId="00000030">
      <w:pPr>
        <w:numPr>
          <w:ilvl w:val="0"/>
          <w:numId w:val="3"/>
        </w:numPr>
        <w:spacing w:line="360" w:lineRule="auto"/>
        <w:ind w:left="720" w:hanging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Spoločnosť doposiaľ neobstarala žiadne dotácie. Z tohto dôvodu neexistujú informácie o ich oceňovaní.</w:t>
      </w:r>
    </w:p>
    <w:p w14:paraId="00000031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</w:p>
    <w:p w14:paraId="00000032">
      <w:pPr>
        <w:spacing w:line="360" w:lineRule="auto"/>
        <w:ind w:left="0" w:firstLine="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</w:p>
    <w:p w14:paraId="00000033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Pri vedení účtovníctva spoločnosti Mirenik s.r.o. nedošlo k žiadnym významným ani menej významným opravám chýb, ktoré by ovplyvnili účtovnú závierku. </w:t>
      </w:r>
    </w:p>
    <w:p w14:paraId="00000034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</w:p>
    <w:p w14:paraId="00000035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III</w:t>
      </w:r>
    </w:p>
    <w:p w14:paraId="00000036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Informácie, ktoré vysvetľujú a dopĺňajú súvahu a výkaz ziskov a strát</w:t>
      </w:r>
    </w:p>
    <w:p w14:paraId="00000037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38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(1) Informácia o sume a dôvodoch vzniku jednotlivých položiek nákladov alebo výnosov,</w:t>
      </w:r>
    </w:p>
    <w:p w14:paraId="00000039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ktoré majú výnimočný rozsah alebo výskyt, napríklad výnosy z predaja podniku alebo</w:t>
      </w:r>
    </w:p>
    <w:p w14:paraId="0000003A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časti podniku, náklady z dôvodu predaja podniku alebo časti podniku, škody z dôvodu</w:t>
      </w:r>
    </w:p>
    <w:p w14:paraId="0000003B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živelných pohrôm.</w:t>
      </w:r>
    </w:p>
    <w:p w14:paraId="0000003C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(2) Informácie o záväzkoch, a to</w:t>
      </w:r>
    </w:p>
    <w:p w14:paraId="0000003D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a) celkovej sume záväzkov so zostatkovou dobou splatnosti dlhšou ako päť rokov,</w:t>
      </w:r>
    </w:p>
    <w:p w14:paraId="0000003E">
      <w:pPr>
        <w:spacing w:line="360" w:lineRule="auto"/>
        <w:ind w:firstLine="72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i/>
          <w:rtl w:val="0"/>
        </w:rPr>
        <w:t xml:space="preserve">Spoločnosť neeviduje takéto záväzky. </w:t>
      </w:r>
    </w:p>
    <w:p w14:paraId="0000003F">
      <w:pPr>
        <w:spacing w:line="360" w:lineRule="auto"/>
        <w:rPr>
          <w:rFonts w:ascii="Times New Roman" w:hAnsi="Times New Roman" w:eastAsia="Times New Roman" w:cs="Times New Roman"/>
        </w:rPr>
      </w:pPr>
    </w:p>
    <w:p w14:paraId="00000040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(3) Informácie o orgánoch účtovnej jednotky, a to</w:t>
      </w:r>
    </w:p>
    <w:p w14:paraId="00000041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a) výške jednotlivých druhov záruk alebo iných zabezpečení poskytnutých pre členov</w:t>
      </w:r>
    </w:p>
    <w:p w14:paraId="00000042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štatutárneho orgánu, dozorného orgánu a iného orgánu účtovnej jednotky, a to</w:t>
      </w:r>
    </w:p>
    <w:p w14:paraId="00000043">
      <w:p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v členení za jednotlivé orgány, </w:t>
      </w:r>
    </w:p>
    <w:p w14:paraId="00000044">
      <w:pPr>
        <w:spacing w:line="36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rtl w:val="0"/>
        </w:rPr>
        <w:tab/>
      </w:r>
      <w:r>
        <w:rPr>
          <w:rFonts w:ascii="Times New Roman" w:hAnsi="Times New Roman" w:eastAsia="Times New Roman" w:cs="Times New Roman"/>
          <w:i/>
          <w:rtl w:val="0"/>
        </w:rPr>
        <w:t>Neboli poskytnuté.</w:t>
      </w:r>
    </w:p>
    <w:p w14:paraId="00000045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b) pôžičkách poskytnutých členom štatutárneho orgánu, dozorného orgánu a iného</w:t>
      </w:r>
    </w:p>
    <w:p w14:paraId="00000046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orgánu účtovnej jednotky a to</w:t>
      </w:r>
    </w:p>
    <w:p w14:paraId="00000047">
      <w:pPr>
        <w:spacing w:line="360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1. celková suma poskytnutých pôžičiek k poslednému dňu účtovného obdobia</w:t>
      </w:r>
    </w:p>
    <w:p w14:paraId="00000048">
      <w:pPr>
        <w:spacing w:line="360" w:lineRule="auto"/>
        <w:ind w:firstLine="72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rtl w:val="0"/>
        </w:rPr>
        <w:t xml:space="preserve">v členení za jednotlivé orgány, - </w:t>
      </w:r>
      <w:r>
        <w:rPr>
          <w:rFonts w:ascii="Times New Roman" w:hAnsi="Times New Roman" w:eastAsia="Times New Roman" w:cs="Times New Roman"/>
          <w:i/>
          <w:rtl w:val="0"/>
        </w:rPr>
        <w:t>neboli poskytnuté</w:t>
      </w:r>
    </w:p>
    <w:p w14:paraId="00000049">
      <w:pPr>
        <w:spacing w:line="360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2. celková suma splatených pôžičiek k poslednému dňu účtovného obdobia</w:t>
      </w:r>
    </w:p>
    <w:p w14:paraId="0000004A">
      <w:pPr>
        <w:spacing w:line="360" w:lineRule="auto"/>
        <w:ind w:firstLine="72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rtl w:val="0"/>
        </w:rPr>
        <w:t xml:space="preserve">v členení za jednotlivé orgány, - </w:t>
      </w:r>
      <w:r>
        <w:rPr>
          <w:rFonts w:ascii="Times New Roman" w:hAnsi="Times New Roman" w:eastAsia="Times New Roman" w:cs="Times New Roman"/>
          <w:i/>
          <w:rtl w:val="0"/>
        </w:rPr>
        <w:t>neboli poskytnuté.</w:t>
      </w:r>
    </w:p>
    <w:p w14:paraId="0000004B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3. celková suma odpustených pôžičiek a odpísaných pôžičiek k poslednému dňu</w:t>
      </w:r>
    </w:p>
    <w:p w14:paraId="0000004C"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>účtovného obdobia v členení za jednotlivé orgány,</w:t>
      </w:r>
    </w:p>
    <w:p w14:paraId="0000004D">
      <w:pPr>
        <w:spacing w:line="360" w:lineRule="auto"/>
        <w:ind w:firstLine="7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c) hlavných podmienkach, na základe ktorých im boli záruky alebo iné zabezpečenie </w:t>
      </w:r>
    </w:p>
    <w:p w14:paraId="0000004E">
      <w:pPr>
        <w:spacing w:line="360" w:lineRule="auto"/>
        <w:ind w:firstLine="72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rtl w:val="0"/>
        </w:rPr>
        <w:t>pôžičky poskytnuté; pri pôžičkách sa uvádzajú úrokové sadzby, -</w:t>
      </w:r>
      <w:r>
        <w:rPr>
          <w:rFonts w:ascii="Times New Roman" w:hAnsi="Times New Roman" w:eastAsia="Times New Roman" w:cs="Times New Roman"/>
          <w:i/>
          <w:rtl w:val="0"/>
        </w:rPr>
        <w:t xml:space="preserve"> neboli poskytnuté</w:t>
      </w:r>
    </w:p>
    <w:p w14:paraId="0000004F">
      <w:pPr>
        <w:spacing w:line="360" w:lineRule="auto"/>
        <w:ind w:left="720" w:firstLine="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 - </w:t>
      </w:r>
      <w:r>
        <w:rPr>
          <w:rFonts w:ascii="Times New Roman" w:hAnsi="Times New Roman" w:eastAsia="Times New Roman" w:cs="Times New Roman"/>
          <w:i/>
          <w:rtl w:val="0"/>
        </w:rPr>
        <w:t>neboli poskytnuté</w:t>
      </w:r>
    </w:p>
    <w:p w14:paraId="00000050">
      <w:pPr>
        <w:spacing w:line="360" w:lineRule="auto"/>
        <w:ind w:left="0" w:firstLine="0"/>
        <w:rPr>
          <w:rFonts w:ascii="Times New Roman" w:hAnsi="Times New Roman" w:eastAsia="Times New Roman" w:cs="Times New Roman"/>
        </w:rPr>
      </w:pPr>
    </w:p>
    <w:p w14:paraId="00000051">
      <w:pPr>
        <w:spacing w:line="360" w:lineRule="auto"/>
        <w:ind w:left="0" w:firstLine="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 xml:space="preserve">(5) Informácie o povinnostiach účtovnej jednotky, </w:t>
      </w:r>
    </w:p>
    <w:p w14:paraId="00000052">
      <w:pPr>
        <w:spacing w:line="360" w:lineRule="auto"/>
        <w:ind w:left="720" w:firstLine="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  <w:rtl w:val="0"/>
        </w:rPr>
        <w:t xml:space="preserve">Spoločnosť nevykazuje žiadne významné povinnosti nájomcu vyplývajúce z operatívneho prenájmu, z uzatvorených zmlúv na poskytnutie úveru alebo pôžičky, ktoré ešte neboli poskytnuté, finančné povinnosti vyplývajúce z licenčných a koncesionárskych zmlúv s uvedením sumy poplatku. </w:t>
      </w:r>
    </w:p>
    <w:p w14:paraId="00000053">
      <w:pPr>
        <w:spacing w:line="360" w:lineRule="auto"/>
        <w:ind w:left="720"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Spoločnosť neeviduje žiadne významne podmiené záväzky voči partnerom, ani voči spoločníkovi. </w:t>
      </w:r>
    </w:p>
    <w:p w14:paraId="00000054">
      <w:pPr>
        <w:spacing w:line="360" w:lineRule="auto"/>
        <w:ind w:left="0" w:firstLine="0"/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EA562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sk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4</TotalTime>
  <ScaleCrop>false</ScaleCrop>
  <LinksUpToDate>false</LinksUpToDate>
  <Application>WPS Office_12.2.0.20795_F1E327BC-269C-435d-A152-05C5408002CA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2025-04-28T17:43:21Z</dcterms:created>
  <dc:creator>Mama Hanka</dc:creator>
  <cp:lastModifiedBy>Monika Uková</cp:lastModifiedBy>
  <dcterms:modified xsi:type="dcterms:W3CDTF">2025-04-28T17:47:37Z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8F7615D8EC6346B3A7BBFC8EE9BA5841_12</vt:lpwstr>
  </property>
</Properties>
</file>