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2658" w:rsidRDefault="00F82658">
      <w:pPr>
        <w:keepNext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</w:t>
      </w:r>
    </w:p>
    <w:p w:rsidR="00F82658" w:rsidRDefault="00F82658">
      <w:pPr>
        <w:keepNext/>
        <w:tabs>
          <w:tab w:val="left" w:pos="2635"/>
          <w:tab w:val="center" w:pos="4734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  <w:t>Všeobecné údaje</w:t>
      </w:r>
    </w:p>
    <w:p w:rsidR="00F82658" w:rsidRDefault="00F82658">
      <w:pPr>
        <w:keepNext/>
        <w:jc w:val="center"/>
        <w:rPr>
          <w:rFonts w:ascii="Arial" w:hAnsi="Arial" w:cs="Arial"/>
          <w:b/>
          <w:bCs/>
          <w:sz w:val="18"/>
          <w:szCs w:val="18"/>
        </w:rPr>
      </w:pPr>
    </w:p>
    <w:p w:rsidR="00F82658" w:rsidRDefault="00F82658">
      <w:pPr>
        <w:numPr>
          <w:ilvl w:val="0"/>
          <w:numId w:val="5"/>
        </w:numPr>
        <w:ind w:hanging="133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Názov právnickej osoby a jej sídlo alebo meno a priezvisko fyzickej osoby.</w:t>
      </w:r>
    </w:p>
    <w:tbl>
      <w:tblPr>
        <w:tblW w:w="0" w:type="auto"/>
        <w:tblInd w:w="-106" w:type="dxa"/>
        <w:tblLayout w:type="fixed"/>
        <w:tblLook w:val="0000"/>
      </w:tblPr>
      <w:tblGrid>
        <w:gridCol w:w="1989"/>
        <w:gridCol w:w="7113"/>
      </w:tblGrid>
      <w:tr w:rsidR="00F82658">
        <w:trPr>
          <w:trHeight w:val="1100"/>
        </w:trPr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2658" w:rsidRDefault="00F82658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  <w:p w:rsidR="00F82658" w:rsidRDefault="00F8265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7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658" w:rsidRDefault="00F82658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LESK s.r.o.</w:t>
            </w:r>
          </w:p>
        </w:tc>
      </w:tr>
      <w:tr w:rsidR="00F82658">
        <w:trPr>
          <w:trHeight w:val="390"/>
        </w:trPr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2658" w:rsidRDefault="00F82658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7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658" w:rsidRDefault="00F82658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Továrenska 49, 953 01  Zlaté Moravce</w:t>
            </w:r>
          </w:p>
        </w:tc>
      </w:tr>
    </w:tbl>
    <w:p w:rsidR="00F82658" w:rsidRDefault="00F82658">
      <w:pPr>
        <w:jc w:val="both"/>
      </w:pPr>
    </w:p>
    <w:p w:rsidR="00F82658" w:rsidRDefault="00F82658">
      <w:pPr>
        <w:numPr>
          <w:ilvl w:val="0"/>
          <w:numId w:val="5"/>
        </w:numPr>
        <w:ind w:left="1480" w:hanging="133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Údaje o konsolidovanom celku:   Účtovná jednotka </w:t>
      </w:r>
      <w:r>
        <w:rPr>
          <w:rFonts w:ascii="Arial" w:hAnsi="Arial" w:cs="Arial"/>
          <w:b/>
          <w:bCs/>
          <w:sz w:val="20"/>
          <w:szCs w:val="20"/>
        </w:rPr>
        <w:t>nie je</w:t>
      </w:r>
      <w:r>
        <w:rPr>
          <w:rFonts w:ascii="Arial" w:hAnsi="Arial" w:cs="Arial"/>
          <w:sz w:val="20"/>
          <w:szCs w:val="20"/>
        </w:rPr>
        <w:t xml:space="preserve"> súčasťou konsolidovaného celku.</w:t>
      </w:r>
    </w:p>
    <w:p w:rsidR="00F82658" w:rsidRDefault="00F82658">
      <w:pPr>
        <w:numPr>
          <w:ilvl w:val="0"/>
          <w:numId w:val="5"/>
        </w:numPr>
        <w:ind w:hanging="133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Priemerný prepočítaný počet zamestnancov:      4</w:t>
      </w:r>
    </w:p>
    <w:p w:rsidR="00F82658" w:rsidRDefault="00F82658">
      <w:pPr>
        <w:tabs>
          <w:tab w:val="left" w:pos="9461"/>
        </w:tabs>
        <w:ind w:left="2870"/>
        <w:jc w:val="both"/>
        <w:rPr>
          <w:rFonts w:ascii="Arial" w:hAnsi="Arial" w:cs="Arial"/>
          <w:sz w:val="20"/>
          <w:szCs w:val="20"/>
        </w:rPr>
      </w:pPr>
    </w:p>
    <w:p w:rsidR="00F82658" w:rsidRDefault="00F82658">
      <w:pPr>
        <w:tabs>
          <w:tab w:val="left" w:pos="9461"/>
        </w:tabs>
        <w:ind w:left="2870"/>
        <w:jc w:val="both"/>
        <w:rPr>
          <w:rFonts w:ascii="Arial" w:hAnsi="Arial" w:cs="Arial"/>
          <w:sz w:val="20"/>
          <w:szCs w:val="20"/>
        </w:rPr>
      </w:pPr>
    </w:p>
    <w:p w:rsidR="00F82658" w:rsidRDefault="00F82658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</w:t>
      </w:r>
    </w:p>
    <w:p w:rsidR="00F82658" w:rsidRDefault="00F82658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Informácie o prijatých postupoch</w:t>
      </w:r>
    </w:p>
    <w:p w:rsidR="00F82658" w:rsidRDefault="00F82658">
      <w:pPr>
        <w:ind w:left="1121"/>
        <w:jc w:val="both"/>
        <w:rPr>
          <w:rFonts w:ascii="Arial" w:hAnsi="Arial" w:cs="Arial"/>
          <w:b/>
          <w:bCs/>
          <w:sz w:val="20"/>
          <w:szCs w:val="20"/>
        </w:rPr>
      </w:pPr>
    </w:p>
    <w:p w:rsidR="00F82658" w:rsidRDefault="00F82658">
      <w:pPr>
        <w:numPr>
          <w:ilvl w:val="0"/>
          <w:numId w:val="6"/>
        </w:numPr>
        <w:ind w:left="709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Účtovná závierka zostavená za splnenia predpokladu, že účtovná jednotka </w:t>
      </w:r>
      <w:r>
        <w:rPr>
          <w:rFonts w:ascii="Arial" w:hAnsi="Arial" w:cs="Arial"/>
          <w:b/>
          <w:bCs/>
          <w:sz w:val="20"/>
          <w:szCs w:val="20"/>
          <w:u w:val="single"/>
        </w:rPr>
        <w:t>bude</w:t>
      </w:r>
      <w:r>
        <w:rPr>
          <w:rFonts w:ascii="Arial" w:hAnsi="Arial" w:cs="Arial"/>
          <w:sz w:val="20"/>
          <w:szCs w:val="20"/>
        </w:rPr>
        <w:t xml:space="preserve"> nepretržite</w:t>
      </w:r>
    </w:p>
    <w:p w:rsidR="00F82658" w:rsidRDefault="00F82658">
      <w:pPr>
        <w:ind w:left="70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pokračovať vo svojej činnosti</w:t>
      </w:r>
    </w:p>
    <w:p w:rsidR="00F82658" w:rsidRDefault="00F82658">
      <w:pPr>
        <w:numPr>
          <w:ilvl w:val="0"/>
          <w:numId w:val="6"/>
        </w:numPr>
        <w:ind w:left="709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Spôsob oceňovania jednotlivých položiek majetku a záväzkov </w:t>
      </w:r>
    </w:p>
    <w:tbl>
      <w:tblPr>
        <w:tblW w:w="0" w:type="auto"/>
        <w:tblInd w:w="-106" w:type="dxa"/>
        <w:tblLayout w:type="fixed"/>
        <w:tblLook w:val="0000"/>
      </w:tblPr>
      <w:tblGrid>
        <w:gridCol w:w="8430"/>
        <w:gridCol w:w="1015"/>
      </w:tblGrid>
      <w:tr w:rsidR="00F82658">
        <w:tc>
          <w:tcPr>
            <w:tcW w:w="9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658" w:rsidRDefault="00F82658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Obstarávacou cenou</w:t>
            </w:r>
          </w:p>
        </w:tc>
      </w:tr>
      <w:tr w:rsidR="00F82658">
        <w:tc>
          <w:tcPr>
            <w:tcW w:w="8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2658" w:rsidRDefault="00F82658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658" w:rsidRDefault="00F82658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15717,08</w:t>
            </w:r>
          </w:p>
        </w:tc>
      </w:tr>
      <w:tr w:rsidR="00F82658">
        <w:tc>
          <w:tcPr>
            <w:tcW w:w="8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2658" w:rsidRDefault="00F82658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658" w:rsidRDefault="00F82658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2001,60</w:t>
            </w:r>
          </w:p>
        </w:tc>
      </w:tr>
      <w:tr w:rsidR="00F82658">
        <w:tc>
          <w:tcPr>
            <w:tcW w:w="8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2658" w:rsidRDefault="00F82658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3. podiely na ZI obchodných spoločností,  cenné papiere 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658" w:rsidRDefault="00F82658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F82658">
        <w:tc>
          <w:tcPr>
            <w:tcW w:w="8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2658" w:rsidRDefault="00F82658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658" w:rsidRDefault="00F82658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F82658">
        <w:tc>
          <w:tcPr>
            <w:tcW w:w="8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2658" w:rsidRDefault="00F82658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658" w:rsidRDefault="00F82658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F82658">
        <w:tc>
          <w:tcPr>
            <w:tcW w:w="8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2658" w:rsidRDefault="00F82658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658" w:rsidRDefault="00F82658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F82658" w:rsidRDefault="00F82658">
      <w:pPr>
        <w:jc w:val="both"/>
      </w:pPr>
    </w:p>
    <w:tbl>
      <w:tblPr>
        <w:tblW w:w="0" w:type="auto"/>
        <w:tblInd w:w="-106" w:type="dxa"/>
        <w:tblLayout w:type="fixed"/>
        <w:tblLook w:val="0000"/>
      </w:tblPr>
      <w:tblGrid>
        <w:gridCol w:w="8789"/>
        <w:gridCol w:w="313"/>
      </w:tblGrid>
      <w:tr w:rsidR="00F82658">
        <w:tc>
          <w:tcPr>
            <w:tcW w:w="91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658" w:rsidRDefault="00F82658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Vlastnými nákladmi</w:t>
            </w:r>
          </w:p>
        </w:tc>
      </w:tr>
      <w:tr w:rsidR="00F82658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2658" w:rsidRDefault="00F82658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658" w:rsidRDefault="00F82658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2658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2658" w:rsidRDefault="00F82658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658" w:rsidRDefault="00F82658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2658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2658" w:rsidRDefault="00F82658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658" w:rsidRDefault="00F82658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2658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2658" w:rsidRDefault="00F82658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658" w:rsidRDefault="00F82658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F82658" w:rsidRDefault="00F82658">
      <w:pPr>
        <w:jc w:val="both"/>
      </w:pPr>
    </w:p>
    <w:tbl>
      <w:tblPr>
        <w:tblW w:w="0" w:type="auto"/>
        <w:tblInd w:w="-106" w:type="dxa"/>
        <w:tblLayout w:type="fixed"/>
        <w:tblLook w:val="0000"/>
      </w:tblPr>
      <w:tblGrid>
        <w:gridCol w:w="8430"/>
        <w:gridCol w:w="1030"/>
      </w:tblGrid>
      <w:tr w:rsidR="00F82658">
        <w:tc>
          <w:tcPr>
            <w:tcW w:w="94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658" w:rsidRDefault="00F82658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Menovitou hodnotou</w:t>
            </w:r>
          </w:p>
        </w:tc>
      </w:tr>
      <w:tr w:rsidR="00F82658">
        <w:tc>
          <w:tcPr>
            <w:tcW w:w="8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widowControl w:val="0"/>
              <w:autoSpaceDE w:val="0"/>
              <w:snapToGrid w:val="0"/>
              <w:ind w:right="-468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658" w:rsidRDefault="00F82658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5 446,48</w:t>
            </w:r>
          </w:p>
        </w:tc>
      </w:tr>
      <w:tr w:rsidR="00F82658">
        <w:tc>
          <w:tcPr>
            <w:tcW w:w="8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widowControl w:val="0"/>
              <w:autoSpaceDE w:val="0"/>
              <w:snapToGrid w:val="0"/>
              <w:ind w:right="-468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658" w:rsidRDefault="00F82658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3322,42</w:t>
            </w:r>
          </w:p>
        </w:tc>
      </w:tr>
      <w:tr w:rsidR="00F82658">
        <w:tc>
          <w:tcPr>
            <w:tcW w:w="8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widowControl w:val="0"/>
              <w:autoSpaceDE w:val="0"/>
              <w:snapToGrid w:val="0"/>
              <w:ind w:right="-468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658" w:rsidRDefault="00F82658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1474,77</w:t>
            </w:r>
          </w:p>
        </w:tc>
      </w:tr>
    </w:tbl>
    <w:p w:rsidR="00F82658" w:rsidRDefault="00F82658">
      <w:pPr>
        <w:jc w:val="both"/>
      </w:pPr>
    </w:p>
    <w:tbl>
      <w:tblPr>
        <w:tblW w:w="0" w:type="auto"/>
        <w:tblInd w:w="-106" w:type="dxa"/>
        <w:tblLayout w:type="fixed"/>
        <w:tblLook w:val="0000"/>
      </w:tblPr>
      <w:tblGrid>
        <w:gridCol w:w="8789"/>
        <w:gridCol w:w="313"/>
      </w:tblGrid>
      <w:tr w:rsidR="00F82658">
        <w:tc>
          <w:tcPr>
            <w:tcW w:w="91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658" w:rsidRDefault="00F82658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Reálnou hodnotou </w:t>
            </w:r>
          </w:p>
        </w:tc>
      </w:tr>
      <w:tr w:rsidR="00F82658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2658" w:rsidRDefault="00F82658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1. nehmotný a hmotný majetok novozistený pri inventarizácii a v účtovníctve doteraz nezachytený 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658" w:rsidRDefault="00F82658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F82658" w:rsidRDefault="00F82658">
      <w:pPr>
        <w:jc w:val="both"/>
      </w:pPr>
    </w:p>
    <w:tbl>
      <w:tblPr>
        <w:tblW w:w="0" w:type="auto"/>
        <w:tblInd w:w="-106" w:type="dxa"/>
        <w:tblLayout w:type="fixed"/>
        <w:tblLook w:val="0000"/>
      </w:tblPr>
      <w:tblGrid>
        <w:gridCol w:w="8789"/>
        <w:gridCol w:w="313"/>
      </w:tblGrid>
      <w:tr w:rsidR="00F82658">
        <w:tc>
          <w:tcPr>
            <w:tcW w:w="91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658" w:rsidRDefault="00F82658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Úbytok zásob rovnakého druhu sa účtuje v ocenení: </w:t>
            </w:r>
          </w:p>
        </w:tc>
      </w:tr>
      <w:tr w:rsidR="00F82658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2658" w:rsidRDefault="00F82658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658" w:rsidRDefault="00F82658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2658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2658" w:rsidRDefault="00F82658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Metódou FIFO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658" w:rsidRDefault="00F82658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F82658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2658" w:rsidRDefault="00F82658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Obstarávacia cena zásob sa rozdeľuje na cenu za ktoré sa zásoby obstarali</w:t>
            </w:r>
          </w:p>
          <w:p w:rsidR="00F82658" w:rsidRDefault="00F82658">
            <w:pPr>
              <w:widowControl w:val="0"/>
              <w:autoSpaceDE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658" w:rsidRDefault="00F82658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F82658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2658" w:rsidRDefault="00F82658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658" w:rsidRDefault="00F82658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F82658" w:rsidRDefault="00F82658">
      <w:pPr>
        <w:jc w:val="both"/>
      </w:pPr>
    </w:p>
    <w:tbl>
      <w:tblPr>
        <w:tblW w:w="0" w:type="auto"/>
        <w:tblInd w:w="-106" w:type="dxa"/>
        <w:tblLayout w:type="fixed"/>
        <w:tblLook w:val="0000"/>
      </w:tblPr>
      <w:tblGrid>
        <w:gridCol w:w="8505"/>
        <w:gridCol w:w="955"/>
      </w:tblGrid>
      <w:tr w:rsidR="00F82658"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2658" w:rsidRDefault="00F82658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Výdavky budúcich období a príjmy budúcich období  sa vykazujú vo výške, ktorá je potrebná </w:t>
            </w:r>
          </w:p>
          <w:p w:rsidR="00F82658" w:rsidRDefault="00F82658">
            <w:pPr>
              <w:widowControl w:val="0"/>
              <w:autoSpaceDE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 dodržanie zásady vecnej a časovej súvislosti s účtovným obdobím.</w:t>
            </w:r>
          </w:p>
        </w:tc>
        <w:tc>
          <w:tcPr>
            <w:tcW w:w="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658" w:rsidRDefault="00F82658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F82658"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2658" w:rsidRDefault="00F82658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F82658" w:rsidRDefault="00F82658">
            <w:pPr>
              <w:widowControl w:val="0"/>
              <w:autoSpaceDE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658" w:rsidRDefault="00F82658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2658"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2658" w:rsidRDefault="00F82658">
            <w:pPr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Prenajatý  majetok a majetok obstaraný na základe  zmluvy o kúpe prenajatej veci - v ocenení</w:t>
            </w:r>
          </w:p>
          <w:p w:rsidR="00F82658" w:rsidRDefault="00F82658">
            <w:pPr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rovnajúcom istine a náklady súvisiace s obstaraním </w:t>
            </w:r>
          </w:p>
        </w:tc>
        <w:tc>
          <w:tcPr>
            <w:tcW w:w="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658" w:rsidRDefault="00F82658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2658"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2658" w:rsidRDefault="00F82658">
            <w:pPr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Daň z príjmov splatná – daň sa  určuje z účtovného zisku pred zdanením, po úpravách na daňové účelypodľa zákona o daniach z príjmov pri sadzbe 22 %</w:t>
            </w:r>
          </w:p>
        </w:tc>
        <w:tc>
          <w:tcPr>
            <w:tcW w:w="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658" w:rsidRDefault="00F82658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82658"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Náklady a výnosy časovo rozlišujú. Časovo sa ne nerozlišujú náklady a výnosy, ak ide o nevýznamný </w:t>
            </w:r>
          </w:p>
          <w:p w:rsidR="00F82658" w:rsidRDefault="00F82658">
            <w:pPr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 stále sa opakujúci účtovný prípad týkajúci sa časového rozlíšenia nákladov alebo výnosov</w:t>
            </w:r>
          </w:p>
          <w:p w:rsidR="00F82658" w:rsidRDefault="00F82658">
            <w:pPr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posledného a prvého mesiaca účtovného obdobia.</w:t>
            </w:r>
          </w:p>
        </w:tc>
        <w:tc>
          <w:tcPr>
            <w:tcW w:w="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658" w:rsidRDefault="00F82658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2658"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658" w:rsidRDefault="00F82658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F82658" w:rsidRDefault="00F82658">
      <w:pPr>
        <w:jc w:val="both"/>
      </w:pPr>
    </w:p>
    <w:p w:rsidR="00F82658" w:rsidRDefault="00F82658">
      <w:pPr>
        <w:jc w:val="both"/>
        <w:rPr>
          <w:rFonts w:ascii="Arial" w:hAnsi="Arial" w:cs="Arial"/>
          <w:sz w:val="20"/>
          <w:szCs w:val="20"/>
        </w:rPr>
      </w:pPr>
    </w:p>
    <w:p w:rsidR="00F82658" w:rsidRDefault="00F82658">
      <w:pPr>
        <w:numPr>
          <w:ilvl w:val="0"/>
          <w:numId w:val="6"/>
        </w:numPr>
        <w:ind w:left="709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Spôsob zostavenia odpisového plánu pre jednotlivé druhy dlhodobého hmotného</w:t>
      </w:r>
    </w:p>
    <w:p w:rsidR="00F82658" w:rsidRDefault="00F82658">
      <w:pPr>
        <w:ind w:left="70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majetku  a dlhodobého nehmotného majetku,doba odpisovania, použité sadzby </w:t>
      </w:r>
    </w:p>
    <w:p w:rsidR="00F82658" w:rsidRDefault="00F82658">
      <w:pPr>
        <w:ind w:left="70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odpisov a odpisové metódy pri určení odpisov </w:t>
      </w:r>
    </w:p>
    <w:tbl>
      <w:tblPr>
        <w:tblW w:w="0" w:type="auto"/>
        <w:tblInd w:w="-106" w:type="dxa"/>
        <w:tblLayout w:type="fixed"/>
        <w:tblLook w:val="0000"/>
      </w:tblPr>
      <w:tblGrid>
        <w:gridCol w:w="7070"/>
        <w:gridCol w:w="1665"/>
        <w:gridCol w:w="740"/>
      </w:tblGrid>
      <w:tr w:rsidR="00F82658"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658" w:rsidRDefault="00F82658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  <w:p w:rsidR="00F82658" w:rsidRDefault="00F82658">
            <w:pPr>
              <w:rPr>
                <w:rFonts w:ascii="Arial" w:hAnsi="Arial" w:cs="Arial"/>
                <w:sz w:val="18"/>
                <w:szCs w:val="18"/>
              </w:rPr>
            </w:pPr>
          </w:p>
          <w:p w:rsidR="00F82658" w:rsidRDefault="00F82658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82658">
        <w:trPr>
          <w:trHeight w:val="963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rovnajú.</w:t>
            </w:r>
          </w:p>
        </w:tc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658" w:rsidRDefault="00F82658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82658">
        <w:trPr>
          <w:trHeight w:val="1018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nerovnajú.</w:t>
            </w:r>
          </w:p>
        </w:tc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658" w:rsidRDefault="00F82658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82658">
        <w:trPr>
          <w:trHeight w:val="64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2400,-eur</w:t>
            </w:r>
          </w:p>
        </w:tc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658" w:rsidRDefault="00F82658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  <w:tr w:rsidR="00F82658">
        <w:trPr>
          <w:trHeight w:val="64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1700,-eur</w:t>
            </w:r>
          </w:p>
        </w:tc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658" w:rsidRDefault="00F82658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F82658" w:rsidRDefault="00F82658">
      <w:pPr>
        <w:jc w:val="both"/>
      </w:pPr>
    </w:p>
    <w:p w:rsidR="00F82658" w:rsidRDefault="00F82658">
      <w:pPr>
        <w:jc w:val="both"/>
        <w:rPr>
          <w:rFonts w:ascii="Arial" w:hAnsi="Arial" w:cs="Arial"/>
          <w:sz w:val="18"/>
          <w:szCs w:val="18"/>
        </w:rPr>
      </w:pPr>
    </w:p>
    <w:tbl>
      <w:tblPr>
        <w:tblW w:w="0" w:type="auto"/>
        <w:tblInd w:w="-106" w:type="dxa"/>
        <w:tblLayout w:type="fixed"/>
        <w:tblLook w:val="0000"/>
      </w:tblPr>
      <w:tblGrid>
        <w:gridCol w:w="2927"/>
        <w:gridCol w:w="1061"/>
        <w:gridCol w:w="1284"/>
        <w:gridCol w:w="1165"/>
        <w:gridCol w:w="1095"/>
        <w:gridCol w:w="1570"/>
      </w:tblGrid>
      <w:tr w:rsidR="00F82658"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Majetok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Odpisová skupina 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Doba odpisovania</w:t>
            </w: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Lineárne odpisy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Zrýchlené odpisy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658" w:rsidRDefault="00F82658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82658">
        <w:trPr>
          <w:trHeight w:val="340"/>
        </w:trPr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Umývací automat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rokov</w:t>
            </w: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658" w:rsidRDefault="00F82658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82658">
        <w:trPr>
          <w:trHeight w:val="340"/>
        </w:trPr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Čistiaci stroj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rokov</w:t>
            </w: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658" w:rsidRDefault="00F82658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82658">
        <w:trPr>
          <w:trHeight w:val="340"/>
        </w:trPr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658" w:rsidRDefault="00F82658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82658">
        <w:trPr>
          <w:trHeight w:val="340"/>
        </w:trPr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658" w:rsidRDefault="00F82658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82658">
        <w:trPr>
          <w:trHeight w:val="340"/>
        </w:trPr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658" w:rsidRDefault="00F82658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F82658" w:rsidRDefault="00F82658">
      <w:pPr>
        <w:ind w:left="709"/>
        <w:jc w:val="both"/>
      </w:pPr>
    </w:p>
    <w:p w:rsidR="00F82658" w:rsidRDefault="00F82658">
      <w:pPr>
        <w:ind w:left="709"/>
        <w:jc w:val="both"/>
        <w:rPr>
          <w:rFonts w:ascii="Arial" w:hAnsi="Arial" w:cs="Arial"/>
          <w:sz w:val="20"/>
          <w:szCs w:val="20"/>
        </w:rPr>
      </w:pPr>
    </w:p>
    <w:p w:rsidR="00F82658" w:rsidRDefault="00F82658">
      <w:pPr>
        <w:numPr>
          <w:ilvl w:val="0"/>
          <w:numId w:val="6"/>
        </w:numPr>
        <w:ind w:left="709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Zmeny účtovných zásad a zmeny účtovných metód s uvedením dôvodu týchto zmien </w:t>
      </w:r>
    </w:p>
    <w:p w:rsidR="00F82658" w:rsidRDefault="00F82658">
      <w:pPr>
        <w:ind w:left="70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 vyčíslením ich vplyvu na finančnú hodnotu majetku, záväzkov, základného imania</w:t>
      </w:r>
    </w:p>
    <w:p w:rsidR="00F82658" w:rsidRDefault="00F82658">
      <w:pPr>
        <w:ind w:left="70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a výsledku hospodárenia ÚJ</w:t>
      </w:r>
    </w:p>
    <w:tbl>
      <w:tblPr>
        <w:tblW w:w="0" w:type="auto"/>
        <w:tblInd w:w="-106" w:type="dxa"/>
        <w:tblLayout w:type="fixed"/>
        <w:tblLook w:val="0000"/>
      </w:tblPr>
      <w:tblGrid>
        <w:gridCol w:w="7088"/>
        <w:gridCol w:w="824"/>
        <w:gridCol w:w="291"/>
        <w:gridCol w:w="578"/>
        <w:gridCol w:w="321"/>
      </w:tblGrid>
      <w:tr w:rsidR="00F82658">
        <w:trPr>
          <w:trHeight w:hRule="exact" w:val="340"/>
        </w:trPr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Zmeny účtovných zásad a metód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NIE</w:t>
            </w:r>
          </w:p>
        </w:tc>
        <w:tc>
          <w:tcPr>
            <w:tcW w:w="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658" w:rsidRDefault="00F82658">
            <w:pPr>
              <w:widowControl w:val="0"/>
              <w:autoSpaceDE w:val="0"/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F82658" w:rsidRDefault="00F82658">
      <w:pPr>
        <w:pStyle w:val="Odsekzoznamu"/>
      </w:pPr>
    </w:p>
    <w:p w:rsidR="00F82658" w:rsidRDefault="00F82658">
      <w:pPr>
        <w:pStyle w:val="Odsekzoznamu"/>
        <w:rPr>
          <w:rFonts w:ascii="Arial" w:hAnsi="Arial" w:cs="Arial"/>
          <w:sz w:val="20"/>
          <w:szCs w:val="20"/>
        </w:rPr>
      </w:pPr>
    </w:p>
    <w:p w:rsidR="00F82658" w:rsidRDefault="00F82658">
      <w:pPr>
        <w:numPr>
          <w:ilvl w:val="0"/>
          <w:numId w:val="6"/>
        </w:numPr>
        <w:ind w:left="709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Informácie o dotáciách a ich oceňovanie v účtovníctve </w:t>
      </w:r>
    </w:p>
    <w:tbl>
      <w:tblPr>
        <w:tblW w:w="0" w:type="auto"/>
        <w:tblInd w:w="-106" w:type="dxa"/>
        <w:tblLayout w:type="fixed"/>
        <w:tblLook w:val="0000"/>
      </w:tblPr>
      <w:tblGrid>
        <w:gridCol w:w="5081"/>
        <w:gridCol w:w="2857"/>
        <w:gridCol w:w="1164"/>
      </w:tblGrid>
      <w:tr w:rsidR="00F82658">
        <w:trPr>
          <w:trHeight w:val="340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2658" w:rsidRDefault="00F82658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Dotácia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2658" w:rsidRDefault="00F82658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658" w:rsidRDefault="00F82658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EUR</w:t>
            </w:r>
          </w:p>
        </w:tc>
      </w:tr>
      <w:tr w:rsidR="00F82658">
        <w:trPr>
          <w:trHeight w:val="340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2658">
        <w:trPr>
          <w:trHeight w:val="340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F82658" w:rsidRDefault="00F82658">
      <w:pPr>
        <w:ind w:left="709"/>
        <w:jc w:val="both"/>
      </w:pPr>
    </w:p>
    <w:p w:rsidR="00F82658" w:rsidRDefault="00F82658">
      <w:pPr>
        <w:ind w:left="709"/>
        <w:jc w:val="both"/>
        <w:rPr>
          <w:rFonts w:ascii="Arial" w:hAnsi="Arial" w:cs="Arial"/>
          <w:sz w:val="18"/>
          <w:szCs w:val="18"/>
        </w:rPr>
      </w:pPr>
    </w:p>
    <w:p w:rsidR="00F82658" w:rsidRDefault="00F82658">
      <w:pPr>
        <w:ind w:left="709"/>
        <w:jc w:val="both"/>
        <w:rPr>
          <w:rFonts w:ascii="Arial" w:hAnsi="Arial" w:cs="Arial"/>
          <w:sz w:val="18"/>
          <w:szCs w:val="18"/>
        </w:rPr>
      </w:pPr>
    </w:p>
    <w:p w:rsidR="00F82658" w:rsidRDefault="00F82658">
      <w:pPr>
        <w:ind w:left="709"/>
        <w:jc w:val="both"/>
        <w:rPr>
          <w:rFonts w:ascii="Arial" w:hAnsi="Arial" w:cs="Arial"/>
          <w:sz w:val="18"/>
          <w:szCs w:val="18"/>
        </w:rPr>
      </w:pPr>
    </w:p>
    <w:p w:rsidR="00F82658" w:rsidRDefault="00F82658">
      <w:pPr>
        <w:ind w:left="709"/>
        <w:jc w:val="both"/>
        <w:rPr>
          <w:rFonts w:ascii="Arial" w:hAnsi="Arial" w:cs="Arial"/>
          <w:sz w:val="18"/>
          <w:szCs w:val="18"/>
        </w:rPr>
      </w:pPr>
    </w:p>
    <w:p w:rsidR="00F82658" w:rsidRDefault="00F82658">
      <w:pPr>
        <w:numPr>
          <w:ilvl w:val="0"/>
          <w:numId w:val="6"/>
        </w:numPr>
        <w:ind w:left="709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Informácie o účtovaní významných opráv chýb minulých účtovných období v bežnom</w:t>
      </w:r>
    </w:p>
    <w:p w:rsidR="00F82658" w:rsidRDefault="00F82658">
      <w:pPr>
        <w:ind w:left="70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účtovnom období </w:t>
      </w:r>
    </w:p>
    <w:tbl>
      <w:tblPr>
        <w:tblW w:w="0" w:type="auto"/>
        <w:tblInd w:w="-106" w:type="dxa"/>
        <w:tblLayout w:type="fixed"/>
        <w:tblLook w:val="0000"/>
      </w:tblPr>
      <w:tblGrid>
        <w:gridCol w:w="2977"/>
        <w:gridCol w:w="992"/>
        <w:gridCol w:w="851"/>
        <w:gridCol w:w="2126"/>
        <w:gridCol w:w="2582"/>
      </w:tblGrid>
      <w:tr w:rsidR="00F82658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Opravy minulého obdobia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Patrí do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Účtované na účet HV min. období (EUR)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Účtované do HV bežného  obdobia(EUR)</w:t>
            </w:r>
          </w:p>
        </w:tc>
      </w:tr>
      <w:tr w:rsidR="00F82658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82658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82658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82658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82658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82658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82658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F82658" w:rsidRDefault="00F82658">
      <w:pPr>
        <w:jc w:val="both"/>
      </w:pPr>
    </w:p>
    <w:p w:rsidR="00F82658" w:rsidRDefault="00F82658">
      <w:pPr>
        <w:ind w:left="360"/>
        <w:rPr>
          <w:rFonts w:ascii="Arial" w:hAnsi="Arial" w:cs="Arial"/>
          <w:sz w:val="20"/>
          <w:szCs w:val="20"/>
        </w:rPr>
      </w:pPr>
    </w:p>
    <w:p w:rsidR="00F82658" w:rsidRDefault="00F82658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</w:t>
      </w:r>
    </w:p>
    <w:p w:rsidR="00F82658" w:rsidRDefault="00F82658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Informácie, ktoré vysvetľujú a dopĺňajú súvahu a výkaz ziskov a strát</w:t>
      </w:r>
    </w:p>
    <w:p w:rsidR="00F82658" w:rsidRDefault="00F82658">
      <w:pPr>
        <w:ind w:left="1841"/>
        <w:jc w:val="center"/>
        <w:rPr>
          <w:rFonts w:ascii="Arial" w:hAnsi="Arial" w:cs="Arial"/>
          <w:b/>
          <w:bCs/>
          <w:sz w:val="20"/>
          <w:szCs w:val="20"/>
        </w:rPr>
      </w:pPr>
    </w:p>
    <w:p w:rsidR="00F82658" w:rsidRDefault="00F82658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Informácia o sume a dôvodoch vzniku jednotlivých položiek </w:t>
      </w:r>
      <w:r>
        <w:rPr>
          <w:rFonts w:ascii="Arial" w:hAnsi="Arial" w:cs="Arial"/>
          <w:b/>
          <w:bCs/>
          <w:sz w:val="20"/>
          <w:szCs w:val="20"/>
        </w:rPr>
        <w:t>nákladov alebo výnosov, ktoré majú výnimočný rozsah alebo výskyt</w:t>
      </w:r>
      <w:r>
        <w:rPr>
          <w:rFonts w:ascii="Arial" w:hAnsi="Arial" w:cs="Arial"/>
          <w:sz w:val="20"/>
          <w:szCs w:val="20"/>
        </w:rPr>
        <w:t>, napríklad výnosy z predaja podniku alebo časti podniku, náklady z dôvodu predaja podniku alebo časti podniku, škody z dôvodu živelných pohrôm</w:t>
      </w:r>
    </w:p>
    <w:tbl>
      <w:tblPr>
        <w:tblW w:w="0" w:type="auto"/>
        <w:tblInd w:w="-106" w:type="dxa"/>
        <w:tblLayout w:type="fixed"/>
        <w:tblLook w:val="0000"/>
      </w:tblPr>
      <w:tblGrid>
        <w:gridCol w:w="3899"/>
        <w:gridCol w:w="4181"/>
        <w:gridCol w:w="1448"/>
      </w:tblGrid>
      <w:tr w:rsidR="00F82658">
        <w:trPr>
          <w:trHeight w:val="340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Popis nákladov ,výnosov </w:t>
            </w:r>
          </w:p>
          <w:p w:rsidR="00F82658" w:rsidRDefault="00F8265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Výnimočného  rozsahu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Dôvod vzniku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EUR</w:t>
            </w:r>
          </w:p>
        </w:tc>
      </w:tr>
      <w:tr w:rsidR="00F82658">
        <w:trPr>
          <w:trHeight w:val="340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2658">
        <w:trPr>
          <w:trHeight w:val="340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F82658" w:rsidRDefault="00F82658">
      <w:pPr>
        <w:ind w:left="1481"/>
        <w:jc w:val="both"/>
      </w:pPr>
    </w:p>
    <w:p w:rsidR="00F82658" w:rsidRDefault="00F82658">
      <w:pPr>
        <w:ind w:left="1134"/>
        <w:jc w:val="both"/>
        <w:rPr>
          <w:rFonts w:ascii="Arial" w:hAnsi="Arial" w:cs="Arial"/>
          <w:sz w:val="20"/>
          <w:szCs w:val="20"/>
        </w:rPr>
      </w:pPr>
    </w:p>
    <w:p w:rsidR="00F82658" w:rsidRDefault="00F82658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Informácie o záväzkoch</w:t>
      </w:r>
    </w:p>
    <w:tbl>
      <w:tblPr>
        <w:tblW w:w="0" w:type="auto"/>
        <w:tblInd w:w="-106" w:type="dxa"/>
        <w:tblLayout w:type="fixed"/>
        <w:tblLook w:val="0000"/>
      </w:tblPr>
      <w:tblGrid>
        <w:gridCol w:w="8189"/>
        <w:gridCol w:w="1525"/>
      </w:tblGrid>
      <w:tr w:rsidR="00F82658">
        <w:trPr>
          <w:trHeight w:val="397"/>
        </w:trPr>
        <w:tc>
          <w:tcPr>
            <w:tcW w:w="8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2658" w:rsidRDefault="00F82658">
            <w:pPr>
              <w:snapToGrid w:val="0"/>
              <w:spacing w:line="276" w:lineRule="auto"/>
              <w:ind w:left="357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658" w:rsidRDefault="00F82658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82658" w:rsidRDefault="00F8265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82658">
        <w:trPr>
          <w:trHeight w:val="397"/>
        </w:trPr>
        <w:tc>
          <w:tcPr>
            <w:tcW w:w="97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658" w:rsidRDefault="00F82658">
            <w:pPr>
              <w:snapToGrid w:val="0"/>
              <w:ind w:left="357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zabezpečených záväzkov, opis a spôsoby zabezpečenia záväzkov:</w:t>
            </w:r>
          </w:p>
          <w:p w:rsidR="00F82658" w:rsidRDefault="00F82658">
            <w:pPr>
              <w:pStyle w:val="TopHeader"/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</w:p>
        </w:tc>
      </w:tr>
      <w:tr w:rsidR="00F82658">
        <w:trPr>
          <w:trHeight w:val="397"/>
        </w:trPr>
        <w:tc>
          <w:tcPr>
            <w:tcW w:w="8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2658" w:rsidRDefault="00F82658">
            <w:pPr>
              <w:pStyle w:val="TopHeader"/>
              <w:snapToGrid w:val="0"/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Spôsob zabezpečenia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658" w:rsidRDefault="00F82658">
            <w:pPr>
              <w:pStyle w:val="TopHeader"/>
              <w:snapToGrid w:val="0"/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</w:p>
        </w:tc>
      </w:tr>
      <w:tr w:rsidR="00F82658">
        <w:trPr>
          <w:trHeight w:val="397"/>
        </w:trPr>
        <w:tc>
          <w:tcPr>
            <w:tcW w:w="8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2658" w:rsidRDefault="00F82658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Záložné právo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658" w:rsidRDefault="00F82658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2658">
        <w:trPr>
          <w:trHeight w:val="397"/>
        </w:trPr>
        <w:tc>
          <w:tcPr>
            <w:tcW w:w="8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2658" w:rsidRDefault="00F82658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658" w:rsidRDefault="00F82658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82658">
        <w:trPr>
          <w:trHeight w:val="397"/>
        </w:trPr>
        <w:tc>
          <w:tcPr>
            <w:tcW w:w="8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2658" w:rsidRDefault="00F82658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658" w:rsidRDefault="00F82658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82658">
        <w:trPr>
          <w:trHeight w:val="397"/>
        </w:trPr>
        <w:tc>
          <w:tcPr>
            <w:tcW w:w="8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2658" w:rsidRDefault="00F82658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 zabezpečené :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658" w:rsidRDefault="00F82658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F82658" w:rsidRDefault="00F82658">
      <w:pPr>
        <w:ind w:left="1134"/>
        <w:jc w:val="both"/>
      </w:pPr>
    </w:p>
    <w:p w:rsidR="00F82658" w:rsidRDefault="00F82658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kern w:val="1"/>
          <w:sz w:val="20"/>
          <w:szCs w:val="20"/>
        </w:rPr>
      </w:pPr>
      <w:r>
        <w:rPr>
          <w:rFonts w:ascii="Arial" w:hAnsi="Arial" w:cs="Arial"/>
          <w:kern w:val="1"/>
          <w:sz w:val="20"/>
          <w:szCs w:val="20"/>
        </w:rPr>
        <w:t>Informácie o vlastných akciách, a to</w:t>
      </w:r>
    </w:p>
    <w:p w:rsidR="00F82658" w:rsidRDefault="00F82658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dôvod nadobudnutia vlastných akcií počas účtovného obdobia,</w:t>
      </w:r>
    </w:p>
    <w:p w:rsidR="00F82658" w:rsidRDefault="00F82658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informácie</w:t>
      </w:r>
    </w:p>
    <w:p w:rsidR="00F82658" w:rsidRDefault="00F82658">
      <w:pPr>
        <w:numPr>
          <w:ilvl w:val="0"/>
          <w:numId w:val="7"/>
        </w:numPr>
        <w:tabs>
          <w:tab w:val="left" w:pos="5954"/>
        </w:tabs>
        <w:ind w:left="1701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F82658" w:rsidRDefault="00F82658">
      <w:pPr>
        <w:numPr>
          <w:ilvl w:val="0"/>
          <w:numId w:val="2"/>
        </w:numPr>
        <w:tabs>
          <w:tab w:val="left" w:pos="5954"/>
        </w:tabs>
        <w:ind w:left="1701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F82658" w:rsidRDefault="00F82658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kern w:val="1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kern w:val="1"/>
          <w:sz w:val="20"/>
          <w:szCs w:val="20"/>
        </w:rPr>
        <w:t>uvádza  sa aj ich percentuálny podiel na upísanom základnom imaní.</w:t>
      </w:r>
    </w:p>
    <w:p w:rsidR="00F82658" w:rsidRDefault="00F82658">
      <w:pPr>
        <w:ind w:left="1276"/>
        <w:jc w:val="both"/>
        <w:rPr>
          <w:rFonts w:ascii="Arial" w:hAnsi="Arial" w:cs="Arial"/>
          <w:kern w:val="1"/>
          <w:sz w:val="20"/>
          <w:szCs w:val="20"/>
        </w:rPr>
      </w:pPr>
    </w:p>
    <w:p w:rsidR="00F82658" w:rsidRDefault="00F82658">
      <w:pPr>
        <w:ind w:left="1276"/>
        <w:jc w:val="both"/>
        <w:rPr>
          <w:rFonts w:ascii="Arial" w:hAnsi="Arial" w:cs="Arial"/>
          <w:kern w:val="1"/>
          <w:sz w:val="20"/>
          <w:szCs w:val="20"/>
        </w:rPr>
      </w:pPr>
    </w:p>
    <w:p w:rsidR="00F82658" w:rsidRDefault="00F82658">
      <w:pPr>
        <w:ind w:left="1276"/>
        <w:jc w:val="both"/>
        <w:rPr>
          <w:rFonts w:ascii="Arial" w:hAnsi="Arial" w:cs="Arial"/>
          <w:kern w:val="1"/>
          <w:sz w:val="20"/>
          <w:szCs w:val="20"/>
        </w:rPr>
      </w:pPr>
    </w:p>
    <w:p w:rsidR="00F82658" w:rsidRDefault="00F82658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Informácie o orgánoch účtovnej jednotky</w:t>
      </w:r>
    </w:p>
    <w:tbl>
      <w:tblPr>
        <w:tblW w:w="0" w:type="auto"/>
        <w:tblInd w:w="-106" w:type="dxa"/>
        <w:tblLayout w:type="fixed"/>
        <w:tblLook w:val="0000"/>
      </w:tblPr>
      <w:tblGrid>
        <w:gridCol w:w="5670"/>
        <w:gridCol w:w="1560"/>
        <w:gridCol w:w="425"/>
        <w:gridCol w:w="417"/>
        <w:gridCol w:w="1456"/>
      </w:tblGrid>
      <w:tr w:rsidR="00F82658">
        <w:trPr>
          <w:trHeight w:val="283"/>
        </w:trPr>
        <w:tc>
          <w:tcPr>
            <w:tcW w:w="952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658" w:rsidRDefault="00F82658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)</w:t>
            </w:r>
            <w:r>
              <w:rPr>
                <w:rFonts w:ascii="Arial" w:hAnsi="Arial" w:cs="Arial"/>
                <w:sz w:val="20"/>
                <w:szCs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F82658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Štatutárny orgán</w:t>
            </w:r>
          </w:p>
        </w:tc>
        <w:tc>
          <w:tcPr>
            <w:tcW w:w="18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658" w:rsidRDefault="00F82658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EUR</w:t>
            </w:r>
          </w:p>
        </w:tc>
      </w:tr>
      <w:tr w:rsidR="00F82658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2658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2658">
        <w:trPr>
          <w:trHeight w:val="340"/>
        </w:trPr>
        <w:tc>
          <w:tcPr>
            <w:tcW w:w="952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658" w:rsidRDefault="00F82658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b)pôžičky poskytnuté členom štatutárneho orgánu, dozorného orgánu a iného orgánu ÚJ</w:t>
            </w:r>
          </w:p>
        </w:tc>
      </w:tr>
      <w:tr w:rsidR="00F82658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poskytnutých pôžičiek k poslednému dňu ÚO. obdobia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Štatutárny orgán</w:t>
            </w: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Úrok v %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658" w:rsidRDefault="00F82658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EUR</w:t>
            </w:r>
          </w:p>
          <w:p w:rsidR="00F82658" w:rsidRDefault="00F8265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2658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658" w:rsidRDefault="00F82658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2658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658" w:rsidRDefault="00F82658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2658">
        <w:trPr>
          <w:trHeight w:val="283"/>
        </w:trPr>
        <w:tc>
          <w:tcPr>
            <w:tcW w:w="952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658" w:rsidRDefault="00F82658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splatených pôžičiek k poslednému dňu účt. obdobia</w:t>
            </w:r>
          </w:p>
        </w:tc>
      </w:tr>
      <w:tr w:rsidR="00F82658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658" w:rsidRDefault="00F82658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2658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658" w:rsidRDefault="00F82658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2658">
        <w:trPr>
          <w:trHeight w:val="283"/>
        </w:trPr>
        <w:tc>
          <w:tcPr>
            <w:tcW w:w="952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658" w:rsidRDefault="00F82658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F82658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658" w:rsidRDefault="00F82658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2658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658" w:rsidRDefault="00F82658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2658">
        <w:trPr>
          <w:trHeight w:val="283"/>
        </w:trPr>
        <w:tc>
          <w:tcPr>
            <w:tcW w:w="952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658" w:rsidRDefault="00F82658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c)celková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F82658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Štatutárny orgán</w:t>
            </w:r>
          </w:p>
        </w:tc>
        <w:tc>
          <w:tcPr>
            <w:tcW w:w="18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EUR</w:t>
            </w:r>
          </w:p>
        </w:tc>
      </w:tr>
      <w:tr w:rsidR="00F82658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2658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658" w:rsidRDefault="00F8265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F82658" w:rsidRDefault="00F82658">
      <w:pPr>
        <w:jc w:val="both"/>
      </w:pPr>
    </w:p>
    <w:p w:rsidR="00F82658" w:rsidRDefault="00F82658">
      <w:pPr>
        <w:numPr>
          <w:ilvl w:val="0"/>
          <w:numId w:val="4"/>
        </w:numPr>
        <w:ind w:left="1480" w:hanging="133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Informácie o povinnostiach účtovnej jednotky, a to</w:t>
      </w:r>
    </w:p>
    <w:p w:rsidR="00F82658" w:rsidRDefault="00F82658">
      <w:pPr>
        <w:numPr>
          <w:ilvl w:val="0"/>
          <w:numId w:val="9"/>
        </w:numPr>
        <w:ind w:left="1276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celková suma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F82658" w:rsidRDefault="00F82658">
      <w:pPr>
        <w:numPr>
          <w:ilvl w:val="0"/>
          <w:numId w:val="9"/>
        </w:numPr>
        <w:ind w:left="1276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celková suma významných podmienených záväzkov, ktorými sa rozumie</w:t>
      </w:r>
    </w:p>
    <w:p w:rsidR="00F82658" w:rsidRDefault="00F82658">
      <w:pPr>
        <w:numPr>
          <w:ilvl w:val="0"/>
          <w:numId w:val="3"/>
        </w:numPr>
        <w:ind w:left="1701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F82658" w:rsidRDefault="00F82658">
      <w:pPr>
        <w:numPr>
          <w:ilvl w:val="0"/>
          <w:numId w:val="3"/>
        </w:numPr>
        <w:ind w:left="1701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existujúca povinnosť, ktorá vznikla ako dôsledok minulej udalosti, ale ktorá sa nevykazuje v súvahe, pretože</w:t>
      </w:r>
    </w:p>
    <w:p w:rsidR="00F82658" w:rsidRDefault="00F82658">
      <w:pPr>
        <w:numPr>
          <w:ilvl w:val="0"/>
          <w:numId w:val="11"/>
        </w:numPr>
        <w:ind w:left="212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nie je pravdepodobné, že na splnenie tejto povinnosti bude potrebný úbytok ekonomických úžitkov, alebo</w:t>
      </w:r>
    </w:p>
    <w:p w:rsidR="00F82658" w:rsidRDefault="00F82658">
      <w:pPr>
        <w:numPr>
          <w:ilvl w:val="0"/>
          <w:numId w:val="10"/>
        </w:numPr>
        <w:tabs>
          <w:tab w:val="left" w:pos="8381"/>
        </w:tabs>
        <w:ind w:hanging="80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výška tejto povinnosti sa nedá spoľahlivo oceniť,</w:t>
      </w:r>
    </w:p>
    <w:p w:rsidR="00F82658" w:rsidRDefault="00F82658">
      <w:pPr>
        <w:numPr>
          <w:ilvl w:val="0"/>
          <w:numId w:val="9"/>
        </w:numPr>
        <w:ind w:left="1276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opise významných finančných povinností a významných podmienených záväzkov,</w:t>
      </w:r>
    </w:p>
    <w:p w:rsidR="00F82658" w:rsidRDefault="00F82658">
      <w:pPr>
        <w:numPr>
          <w:ilvl w:val="0"/>
          <w:numId w:val="9"/>
        </w:numPr>
        <w:ind w:left="1276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celkovej sume významných finančných povinností a významných podmienených záväzkoch voči dcérskej účtovnej jednotke a účtovnej jednotke s podstatným vplyvom,</w:t>
      </w:r>
    </w:p>
    <w:p w:rsidR="00F82658" w:rsidRDefault="00F82658">
      <w:pPr>
        <w:numPr>
          <w:ilvl w:val="0"/>
          <w:numId w:val="9"/>
        </w:numPr>
        <w:ind w:left="1276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opise významných povinností účtovnej jednotky vyplývajúcich z dôchodkových programov pre zamestnancov.</w:t>
      </w:r>
    </w:p>
    <w:p w:rsidR="00F82658" w:rsidRDefault="00F82658">
      <w:pPr>
        <w:jc w:val="both"/>
        <w:rPr>
          <w:rFonts w:ascii="Arial" w:hAnsi="Arial" w:cs="Arial"/>
          <w:sz w:val="20"/>
          <w:szCs w:val="20"/>
        </w:rPr>
      </w:pPr>
    </w:p>
    <w:p w:rsidR="00F82658" w:rsidRDefault="00F82658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  <w:szCs w:val="20"/>
        </w:rPr>
      </w:pPr>
      <w:bookmarkStart w:id="0" w:name="OLE_LINK1"/>
      <w:r>
        <w:rPr>
          <w:rFonts w:ascii="Arial" w:hAnsi="Arial" w:cs="Arial"/>
          <w:sz w:val="20"/>
          <w:szCs w:val="20"/>
        </w:rPr>
        <w:t>Informácie o udelení výlučného práva alebo osobitného práva, ktorým sa udelilo právo poskytovať služby vo verejnom záujme</w:t>
      </w:r>
      <w:bookmarkEnd w:id="0"/>
    </w:p>
    <w:p w:rsidR="00F82658" w:rsidRDefault="00F82658">
      <w:pPr>
        <w:jc w:val="right"/>
        <w:rPr>
          <w:rFonts w:ascii="Arial" w:hAnsi="Arial" w:cs="Arial"/>
          <w:sz w:val="20"/>
          <w:szCs w:val="20"/>
        </w:rPr>
      </w:pPr>
    </w:p>
    <w:p w:rsidR="00F82658" w:rsidRDefault="00F8265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Údaje v poznámkach sú uvádzané za bežne účtovné obdobie. Sumy sú uvádzané v celých eurách.</w:t>
      </w:r>
    </w:p>
    <w:p w:rsidR="00F82658" w:rsidRDefault="00F82658">
      <w:pPr>
        <w:rPr>
          <w:rFonts w:ascii="Arial" w:hAnsi="Arial" w:cs="Arial"/>
          <w:sz w:val="20"/>
          <w:szCs w:val="20"/>
        </w:rPr>
      </w:pPr>
    </w:p>
    <w:p w:rsidR="00F82658" w:rsidRDefault="00F82658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ÚJ - účtovná jednotka; BO- bežné obdobie; X= ÚJ má náplň pre jednotlivú položku </w:t>
      </w:r>
    </w:p>
    <w:p w:rsidR="00F82658" w:rsidRDefault="00F82658"/>
    <w:sectPr w:rsidR="00F82658" w:rsidSect="00A766F8">
      <w:headerReference w:type="default" r:id="rId7"/>
      <w:footerReference w:type="default" r:id="rId8"/>
      <w:footnotePr>
        <w:pos w:val="beneathText"/>
      </w:footnotePr>
      <w:pgSz w:w="11905" w:h="16837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82658" w:rsidRDefault="00F82658">
      <w:r>
        <w:separator/>
      </w:r>
    </w:p>
  </w:endnote>
  <w:endnote w:type="continuationSeparator" w:id="1">
    <w:p w:rsidR="00F82658" w:rsidRDefault="00F8265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2658" w:rsidRDefault="00F82658">
    <w:pPr>
      <w:pStyle w:val="Footer"/>
      <w:jc w:val="center"/>
    </w:pPr>
    <w:fldSimple w:instr=" PAGE ">
      <w:r>
        <w:rPr>
          <w:noProof/>
        </w:rPr>
        <w:t>2</w:t>
      </w:r>
    </w:fldSimple>
  </w:p>
  <w:p w:rsidR="00F82658" w:rsidRDefault="00F82658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82658" w:rsidRDefault="00F82658">
      <w:r>
        <w:separator/>
      </w:r>
    </w:p>
  </w:footnote>
  <w:footnote w:type="continuationSeparator" w:id="1">
    <w:p w:rsidR="00F82658" w:rsidRDefault="00F8265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-68" w:type="dxa"/>
      <w:tblLayout w:type="fixed"/>
      <w:tblCellMar>
        <w:left w:w="70" w:type="dxa"/>
        <w:right w:w="70" w:type="dxa"/>
      </w:tblCellMar>
      <w:tblLook w:val="000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74"/>
    </w:tblGrid>
    <w:tr w:rsidR="00F82658">
      <w:trPr>
        <w:trHeight w:val="330"/>
      </w:trPr>
      <w:tc>
        <w:tcPr>
          <w:tcW w:w="271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F82658" w:rsidRDefault="00F82658">
          <w:pPr>
            <w:snapToGrid w:val="0"/>
            <w:rPr>
              <w:color w:val="000000"/>
            </w:rPr>
          </w:pPr>
          <w:r>
            <w:rPr>
              <w:color w:val="000000"/>
            </w:rPr>
            <w:t>Poznámky Úč MÚJ 3 - 01</w:t>
          </w:r>
        </w:p>
      </w:tc>
      <w:tc>
        <w:tcPr>
          <w:tcW w:w="707" w:type="dxa"/>
          <w:tcBorders>
            <w:left w:val="single" w:sz="4" w:space="0" w:color="000000"/>
          </w:tcBorders>
          <w:vAlign w:val="bottom"/>
        </w:tcPr>
        <w:p w:rsidR="00F82658" w:rsidRDefault="00F82658">
          <w:pPr>
            <w:snapToGrid w:val="0"/>
            <w:rPr>
              <w:color w:val="000000"/>
            </w:rPr>
          </w:pPr>
          <w:r>
            <w:rPr>
              <w:color w:val="000000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F82658" w:rsidRDefault="00F82658">
          <w:pPr>
            <w:snapToGrid w:val="0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F82658" w:rsidRDefault="00F82658">
          <w:pPr>
            <w:snapToGrid w:val="0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F82658" w:rsidRDefault="00F82658">
          <w:pPr>
            <w:snapToGrid w:val="0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F82658" w:rsidRDefault="00F82658">
          <w:pPr>
            <w:snapToGrid w:val="0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F82658" w:rsidRDefault="00F82658">
          <w:pPr>
            <w:snapToGrid w:val="0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F82658" w:rsidRDefault="00F82658">
          <w:pPr>
            <w:snapToGrid w:val="0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F82658" w:rsidRDefault="00F82658">
          <w:pPr>
            <w:snapToGrid w:val="0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F82658" w:rsidRDefault="00F82658">
          <w:pPr>
            <w:snapToGrid w:val="0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681" w:type="dxa"/>
          <w:tcBorders>
            <w:left w:val="single" w:sz="4" w:space="0" w:color="000000"/>
          </w:tcBorders>
          <w:vAlign w:val="bottom"/>
        </w:tcPr>
        <w:p w:rsidR="00F82658" w:rsidRDefault="00F82658">
          <w:pPr>
            <w:snapToGrid w:val="0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F82658" w:rsidRDefault="00F82658">
          <w:pPr>
            <w:snapToGrid w:val="0"/>
            <w:jc w:val="center"/>
          </w:pPr>
          <w:r>
            <w:t>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F82658" w:rsidRDefault="00F82658">
          <w:pPr>
            <w:snapToGrid w:val="0"/>
            <w:jc w:val="center"/>
          </w:pPr>
          <w:r>
            <w:t>0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F82658" w:rsidRDefault="00F82658">
          <w:pPr>
            <w:snapToGrid w:val="0"/>
            <w:jc w:val="center"/>
          </w:pPr>
          <w:r>
            <w:t>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F82658" w:rsidRDefault="00F82658">
          <w:pPr>
            <w:snapToGrid w:val="0"/>
            <w:jc w:val="center"/>
          </w:pPr>
          <w:r>
            <w:t>0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F82658" w:rsidRDefault="00F82658">
          <w:pPr>
            <w:snapToGrid w:val="0"/>
            <w:jc w:val="center"/>
          </w:pPr>
          <w:r>
            <w:t>1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F82658" w:rsidRDefault="00F82658">
          <w:pPr>
            <w:snapToGrid w:val="0"/>
            <w:jc w:val="center"/>
          </w:pPr>
          <w:r>
            <w:t>4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F82658" w:rsidRDefault="00F82658">
          <w:pPr>
            <w:snapToGrid w:val="0"/>
            <w:jc w:val="center"/>
          </w:pPr>
          <w:r>
            <w:t>6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F82658" w:rsidRDefault="00F82658">
          <w:pPr>
            <w:snapToGrid w:val="0"/>
            <w:jc w:val="center"/>
          </w:pPr>
          <w:r>
            <w:t>1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F82658" w:rsidRDefault="00F82658">
          <w:pPr>
            <w:snapToGrid w:val="0"/>
            <w:jc w:val="center"/>
          </w:pPr>
          <w:r>
            <w:t>2</w:t>
          </w:r>
        </w:p>
      </w:tc>
      <w:tc>
        <w:tcPr>
          <w:tcW w:w="37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:rsidR="00F82658" w:rsidRDefault="00F82658">
          <w:pPr>
            <w:snapToGrid w:val="0"/>
            <w:jc w:val="center"/>
          </w:pPr>
          <w:r>
            <w:t>8</w:t>
          </w:r>
        </w:p>
      </w:tc>
    </w:tr>
  </w:tbl>
  <w:p w:rsidR="00F82658" w:rsidRDefault="00F8265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/>
        <w:b/>
        <w:bCs/>
        <w:sz w:val="24"/>
        <w:szCs w:val="24"/>
      </w:rPr>
    </w:lvl>
  </w:abstractNum>
  <w:abstractNum w:abstractNumId="1">
    <w:nsid w:val="00000002"/>
    <w:multiLevelType w:val="singleLevel"/>
    <w:tmpl w:val="00000002"/>
    <w:name w:val="WW8Num2"/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2561" w:hanging="360"/>
      </w:p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rFonts w:ascii="Times New Roman" w:hAnsi="Times New Roman" w:cs="Times New Roman"/>
        <w:b w:val="0"/>
        <w:bCs w:val="0"/>
        <w:i w:val="0"/>
        <w:iCs w:val="0"/>
        <w:sz w:val="24"/>
        <w:szCs w:val="24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rFonts w:ascii="Times New Roman" w:hAnsi="Times New Roman" w:cs="Times New Roman"/>
        <w:b w:val="0"/>
        <w:bCs w:val="0"/>
        <w:i w:val="0"/>
        <w:iCs w:val="0"/>
        <w:sz w:val="24"/>
        <w:szCs w:val="24"/>
      </w:r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decimal"/>
      <w:lvlText w:val="(%1)"/>
      <w:lvlJc w:val="left"/>
      <w:pPr>
        <w:tabs>
          <w:tab w:val="num" w:pos="0"/>
        </w:tabs>
        <w:ind w:left="3479" w:hanging="360"/>
      </w:pPr>
      <w:rPr>
        <w:b w:val="0"/>
        <w:bCs w:val="0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2487" w:hanging="360"/>
      </w:p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1920" w:hanging="360"/>
      </w:pPr>
      <w:rPr>
        <w:rFonts w:ascii="Times New Roman" w:hAnsi="Times New Roman" w:cs="Times New Roman"/>
        <w:b w:val="0"/>
        <w:bCs w:val="0"/>
        <w:i w:val="0"/>
        <w:iCs w:val="0"/>
        <w:sz w:val="24"/>
        <w:szCs w:val="24"/>
      </w:r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1841" w:hanging="360"/>
      </w:pPr>
      <w:rPr>
        <w:rFonts w:ascii="Times New Roman" w:hAnsi="Times New Roman" w:cs="Times New Roman"/>
        <w:b w:val="0"/>
        <w:bCs w:val="0"/>
        <w:i w:val="0"/>
        <w:iCs w:val="0"/>
        <w:sz w:val="24"/>
        <w:szCs w:val="24"/>
      </w:rPr>
    </w:lvl>
  </w:abstractNum>
  <w:abstractNum w:abstractNumId="9">
    <w:nsid w:val="0000000A"/>
    <w:multiLevelType w:val="singleLevel"/>
    <w:tmpl w:val="0000000A"/>
    <w:name w:val="WW8Num10"/>
    <w:lvl w:ilvl="0">
      <w:start w:val="2"/>
      <w:numFmt w:val="decimal"/>
      <w:lvlText w:val="%1b."/>
      <w:lvlJc w:val="left"/>
      <w:pPr>
        <w:tabs>
          <w:tab w:val="num" w:pos="0"/>
        </w:tabs>
        <w:ind w:left="2510" w:hanging="360"/>
      </w:pPr>
    </w:lvl>
  </w:abstractNum>
  <w:abstractNum w:abstractNumId="10">
    <w:nsid w:val="0000000B"/>
    <w:multiLevelType w:val="singleLevel"/>
    <w:tmpl w:val="0000000B"/>
    <w:name w:val="WW8Num11"/>
    <w:lvl w:ilvl="0">
      <w:start w:val="2"/>
      <w:numFmt w:val="decimal"/>
      <w:lvlText w:val="%1a."/>
      <w:lvlJc w:val="left"/>
      <w:pPr>
        <w:tabs>
          <w:tab w:val="num" w:pos="0"/>
        </w:tabs>
        <w:ind w:left="251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defaultTabStop w:val="709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doNotValidateAgainstSchema/>
  <w:doNotDemarcateInvalidXml/>
  <w:footnotePr>
    <w:pos w:val="beneathText"/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4546F"/>
    <w:rsid w:val="0004546F"/>
    <w:rsid w:val="000B05CA"/>
    <w:rsid w:val="000E6AC7"/>
    <w:rsid w:val="001E7D9D"/>
    <w:rsid w:val="00221998"/>
    <w:rsid w:val="00304E72"/>
    <w:rsid w:val="00332DE9"/>
    <w:rsid w:val="003A799D"/>
    <w:rsid w:val="00404694"/>
    <w:rsid w:val="00512B8B"/>
    <w:rsid w:val="00580387"/>
    <w:rsid w:val="005F0D76"/>
    <w:rsid w:val="0067319F"/>
    <w:rsid w:val="0068516C"/>
    <w:rsid w:val="006C26F6"/>
    <w:rsid w:val="008F55F4"/>
    <w:rsid w:val="00962312"/>
    <w:rsid w:val="00A16360"/>
    <w:rsid w:val="00A766F8"/>
    <w:rsid w:val="00D8503D"/>
    <w:rsid w:val="00E964A7"/>
    <w:rsid w:val="00F82658"/>
    <w:rsid w:val="00FF31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55F4"/>
    <w:pPr>
      <w:suppressAutoHyphens/>
    </w:pPr>
    <w:rPr>
      <w:sz w:val="24"/>
      <w:szCs w:val="24"/>
      <w:lang w:eastAsia="ar-SA"/>
    </w:rPr>
  </w:style>
  <w:style w:type="paragraph" w:styleId="Heading1">
    <w:name w:val="heading 1"/>
    <w:basedOn w:val="Normal"/>
    <w:next w:val="Heading2"/>
    <w:link w:val="Heading1Char"/>
    <w:uiPriority w:val="99"/>
    <w:qFormat/>
    <w:rsid w:val="008F55F4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1"/>
    </w:rPr>
  </w:style>
  <w:style w:type="paragraph" w:styleId="Heading2">
    <w:name w:val="heading 2"/>
    <w:basedOn w:val="Normal"/>
    <w:next w:val="Normal"/>
    <w:link w:val="Heading2Char"/>
    <w:uiPriority w:val="99"/>
    <w:qFormat/>
    <w:rsid w:val="008F55F4"/>
    <w:pPr>
      <w:keepNext/>
      <w:spacing w:after="120"/>
      <w:jc w:val="center"/>
      <w:outlineLvl w:val="1"/>
    </w:pPr>
    <w:rPr>
      <w:b/>
      <w:bCs/>
    </w:rPr>
  </w:style>
  <w:style w:type="paragraph" w:styleId="Heading3">
    <w:name w:val="heading 3"/>
    <w:basedOn w:val="Normal"/>
    <w:next w:val="Normal"/>
    <w:link w:val="Heading3Char"/>
    <w:uiPriority w:val="99"/>
    <w:qFormat/>
    <w:rsid w:val="008F55F4"/>
    <w:pPr>
      <w:keepNext/>
      <w:jc w:val="both"/>
      <w:outlineLvl w:val="2"/>
    </w:pPr>
    <w:rPr>
      <w:b/>
      <w:bCs/>
      <w:u w:val="single"/>
    </w:rPr>
  </w:style>
  <w:style w:type="paragraph" w:styleId="Heading4">
    <w:name w:val="heading 4"/>
    <w:basedOn w:val="Normal"/>
    <w:next w:val="Normal"/>
    <w:link w:val="Heading4Char"/>
    <w:uiPriority w:val="99"/>
    <w:qFormat/>
    <w:rsid w:val="008F55F4"/>
    <w:pPr>
      <w:keepNext/>
      <w:keepLines/>
      <w:ind w:firstLine="357"/>
      <w:jc w:val="both"/>
      <w:outlineLvl w:val="3"/>
    </w:pPr>
    <w:rPr>
      <w:b/>
      <w:bCs/>
    </w:rPr>
  </w:style>
  <w:style w:type="paragraph" w:styleId="Heading5">
    <w:name w:val="heading 5"/>
    <w:basedOn w:val="Normal"/>
    <w:next w:val="Normal"/>
    <w:link w:val="Heading5Char"/>
    <w:uiPriority w:val="99"/>
    <w:qFormat/>
    <w:rsid w:val="008F55F4"/>
    <w:pPr>
      <w:keepNext/>
      <w:keepLines/>
      <w:ind w:firstLine="360"/>
      <w:jc w:val="both"/>
      <w:outlineLvl w:val="4"/>
    </w:pPr>
    <w:rPr>
      <w:b/>
      <w:bCs/>
    </w:rPr>
  </w:style>
  <w:style w:type="paragraph" w:styleId="Heading6">
    <w:name w:val="heading 6"/>
    <w:basedOn w:val="Normal"/>
    <w:next w:val="Normal"/>
    <w:link w:val="Heading6Char"/>
    <w:uiPriority w:val="99"/>
    <w:qFormat/>
    <w:rsid w:val="008F55F4"/>
    <w:pPr>
      <w:keepNext/>
      <w:ind w:left="360"/>
      <w:jc w:val="center"/>
      <w:outlineLvl w:val="5"/>
    </w:pPr>
    <w:rPr>
      <w:rFonts w:ascii="Arial Narrow" w:hAnsi="Arial Narrow" w:cs="Arial Narrow"/>
      <w:b/>
      <w:bCs/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332DE9"/>
    <w:rPr>
      <w:rFonts w:ascii="Cambria" w:hAnsi="Cambria" w:cs="Cambria"/>
      <w:b/>
      <w:bCs/>
      <w:kern w:val="32"/>
      <w:sz w:val="32"/>
      <w:szCs w:val="32"/>
      <w:lang w:eastAsia="ar-SA" w:bidi="ar-SA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332DE9"/>
    <w:rPr>
      <w:rFonts w:ascii="Cambria" w:hAnsi="Cambria" w:cs="Cambria"/>
      <w:b/>
      <w:bCs/>
      <w:i/>
      <w:iCs/>
      <w:sz w:val="28"/>
      <w:szCs w:val="28"/>
      <w:lang w:eastAsia="ar-SA" w:bidi="ar-SA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332DE9"/>
    <w:rPr>
      <w:rFonts w:ascii="Cambria" w:hAnsi="Cambria" w:cs="Cambria"/>
      <w:b/>
      <w:bCs/>
      <w:sz w:val="26"/>
      <w:szCs w:val="26"/>
      <w:lang w:eastAsia="ar-SA" w:bidi="ar-SA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332DE9"/>
    <w:rPr>
      <w:rFonts w:ascii="Calibri" w:hAnsi="Calibri" w:cs="Calibri"/>
      <w:b/>
      <w:bCs/>
      <w:sz w:val="28"/>
      <w:szCs w:val="28"/>
      <w:lang w:eastAsia="ar-SA" w:bidi="ar-SA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332DE9"/>
    <w:rPr>
      <w:rFonts w:ascii="Calibri" w:hAnsi="Calibri" w:cs="Calibri"/>
      <w:b/>
      <w:bCs/>
      <w:i/>
      <w:iCs/>
      <w:sz w:val="26"/>
      <w:szCs w:val="26"/>
      <w:lang w:eastAsia="ar-SA" w:bidi="ar-SA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332DE9"/>
    <w:rPr>
      <w:rFonts w:ascii="Calibri" w:hAnsi="Calibri" w:cs="Calibri"/>
      <w:b/>
      <w:bCs/>
      <w:lang w:eastAsia="ar-SA" w:bidi="ar-SA"/>
    </w:rPr>
  </w:style>
  <w:style w:type="character" w:customStyle="1" w:styleId="WW8Num1z0">
    <w:name w:val="WW8Num1z0"/>
    <w:uiPriority w:val="99"/>
    <w:rsid w:val="008F55F4"/>
    <w:rPr>
      <w:rFonts w:ascii="Times New Roman" w:hAnsi="Times New Roman" w:cs="Times New Roman"/>
      <w:b/>
      <w:bCs/>
      <w:sz w:val="24"/>
      <w:szCs w:val="24"/>
    </w:rPr>
  </w:style>
  <w:style w:type="character" w:customStyle="1" w:styleId="WW8Num4z0">
    <w:name w:val="WW8Num4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WW8Num5z0">
    <w:name w:val="WW8Num5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WW8Num6z0">
    <w:name w:val="WW8Num6z0"/>
    <w:uiPriority w:val="99"/>
    <w:rsid w:val="008F55F4"/>
  </w:style>
  <w:style w:type="character" w:customStyle="1" w:styleId="WW8Num8z0">
    <w:name w:val="WW8Num8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WW8Num9z0">
    <w:name w:val="WW8Num9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Absatz-Standardschriftart">
    <w:name w:val="Absatz-Standardschriftart"/>
    <w:uiPriority w:val="99"/>
    <w:rsid w:val="008F55F4"/>
  </w:style>
  <w:style w:type="character" w:customStyle="1" w:styleId="WW-Absatz-Standardschriftart">
    <w:name w:val="WW-Absatz-Standardschriftart"/>
    <w:uiPriority w:val="99"/>
    <w:rsid w:val="008F55F4"/>
  </w:style>
  <w:style w:type="character" w:customStyle="1" w:styleId="WW8Num2z0">
    <w:name w:val="WW8Num2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WW8Num3z0">
    <w:name w:val="WW8Num3z0"/>
    <w:uiPriority w:val="99"/>
    <w:rsid w:val="008F55F4"/>
    <w:rPr>
      <w:sz w:val="20"/>
      <w:szCs w:val="20"/>
    </w:rPr>
  </w:style>
  <w:style w:type="character" w:customStyle="1" w:styleId="WW8Num10z0">
    <w:name w:val="WW8Num10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WW8Num12z0">
    <w:name w:val="WW8Num12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WW8Num13z0">
    <w:name w:val="WW8Num13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WW8Num14z0">
    <w:name w:val="WW8Num14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WW8Num16z0">
    <w:name w:val="WW8Num16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WW8Num18z0">
    <w:name w:val="WW8Num18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WW8Num19z0">
    <w:name w:val="WW8Num19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WW8Num20z0">
    <w:name w:val="WW8Num20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WW8Num21z0">
    <w:name w:val="WW8Num21z0"/>
    <w:uiPriority w:val="99"/>
    <w:rsid w:val="008F55F4"/>
    <w:rPr>
      <w:rFonts w:ascii="Times New Roman" w:hAnsi="Times New Roman" w:cs="Times New Roman"/>
      <w:b/>
      <w:bCs/>
      <w:sz w:val="24"/>
      <w:szCs w:val="24"/>
    </w:rPr>
  </w:style>
  <w:style w:type="character" w:customStyle="1" w:styleId="Predvolenpsmoodseku">
    <w:name w:val="Predvolené písmo odseku"/>
    <w:uiPriority w:val="99"/>
    <w:rsid w:val="008F55F4"/>
  </w:style>
  <w:style w:type="character" w:customStyle="1" w:styleId="Znakyprepoznmkupodiarou">
    <w:name w:val="Znaky pre poznámku pod čiarou"/>
    <w:uiPriority w:val="99"/>
    <w:rsid w:val="008F55F4"/>
    <w:rPr>
      <w:vertAlign w:val="superscript"/>
    </w:rPr>
  </w:style>
  <w:style w:type="character" w:styleId="PageNumber">
    <w:name w:val="page number"/>
    <w:basedOn w:val="Predvolenpsmoodseku"/>
    <w:uiPriority w:val="99"/>
    <w:rsid w:val="008F55F4"/>
  </w:style>
  <w:style w:type="character" w:customStyle="1" w:styleId="PtaChar">
    <w:name w:val="Päta Char"/>
    <w:uiPriority w:val="99"/>
    <w:rsid w:val="008F55F4"/>
    <w:rPr>
      <w:sz w:val="24"/>
      <w:szCs w:val="24"/>
    </w:rPr>
  </w:style>
  <w:style w:type="character" w:customStyle="1" w:styleId="TextvysvetlivkyChar">
    <w:name w:val="Text vysvetlivky Char"/>
    <w:basedOn w:val="Predvolenpsmoodseku"/>
    <w:uiPriority w:val="99"/>
    <w:rsid w:val="008F55F4"/>
  </w:style>
  <w:style w:type="character" w:customStyle="1" w:styleId="Znakyprevysvetlivky">
    <w:name w:val="Znaky pre vysvetlivky"/>
    <w:uiPriority w:val="99"/>
    <w:rsid w:val="008F55F4"/>
    <w:rPr>
      <w:vertAlign w:val="superscript"/>
    </w:rPr>
  </w:style>
  <w:style w:type="character" w:customStyle="1" w:styleId="HlavikaChar">
    <w:name w:val="Hlavička Char"/>
    <w:uiPriority w:val="99"/>
    <w:rsid w:val="008F55F4"/>
    <w:rPr>
      <w:sz w:val="24"/>
      <w:szCs w:val="24"/>
    </w:rPr>
  </w:style>
  <w:style w:type="character" w:customStyle="1" w:styleId="TextbublinyChar">
    <w:name w:val="Text bubliny Char"/>
    <w:uiPriority w:val="99"/>
    <w:rsid w:val="008F55F4"/>
    <w:rPr>
      <w:rFonts w:ascii="Tahoma" w:hAnsi="Tahoma" w:cs="Tahoma"/>
      <w:sz w:val="16"/>
      <w:szCs w:val="16"/>
    </w:rPr>
  </w:style>
  <w:style w:type="character" w:customStyle="1" w:styleId="tl">
    <w:name w:val="tl"/>
    <w:basedOn w:val="Predvolenpsmoodseku"/>
    <w:uiPriority w:val="99"/>
    <w:rsid w:val="008F55F4"/>
  </w:style>
  <w:style w:type="character" w:customStyle="1" w:styleId="tl1Char">
    <w:name w:val="Štýl1 Char"/>
    <w:basedOn w:val="PtaChar"/>
    <w:uiPriority w:val="99"/>
    <w:rsid w:val="008F55F4"/>
  </w:style>
  <w:style w:type="character" w:customStyle="1" w:styleId="ra">
    <w:name w:val="ra"/>
    <w:basedOn w:val="Predvolenpsmoodseku"/>
    <w:uiPriority w:val="99"/>
    <w:rsid w:val="008F55F4"/>
  </w:style>
  <w:style w:type="character" w:customStyle="1" w:styleId="OdsekzoznamuChar">
    <w:name w:val="Odsek zoznamu Char"/>
    <w:uiPriority w:val="99"/>
    <w:rsid w:val="008F55F4"/>
    <w:rPr>
      <w:sz w:val="24"/>
      <w:szCs w:val="24"/>
    </w:rPr>
  </w:style>
  <w:style w:type="paragraph" w:customStyle="1" w:styleId="Nadpis">
    <w:name w:val="Nadpis"/>
    <w:basedOn w:val="Normal"/>
    <w:next w:val="BodyText"/>
    <w:uiPriority w:val="99"/>
    <w:rsid w:val="008F55F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BodyText">
    <w:name w:val="Body Text"/>
    <w:basedOn w:val="Normal"/>
    <w:link w:val="BodyTextChar"/>
    <w:uiPriority w:val="99"/>
    <w:rsid w:val="008F55F4"/>
    <w:rPr>
      <w:rFonts w:ascii="Arial" w:hAnsi="Arial" w:cs="Arial"/>
      <w:sz w:val="20"/>
      <w:szCs w:val="20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332DE9"/>
    <w:rPr>
      <w:sz w:val="24"/>
      <w:szCs w:val="24"/>
      <w:lang w:eastAsia="ar-SA" w:bidi="ar-SA"/>
    </w:rPr>
  </w:style>
  <w:style w:type="paragraph" w:styleId="List">
    <w:name w:val="List"/>
    <w:basedOn w:val="BodyText"/>
    <w:uiPriority w:val="99"/>
    <w:rsid w:val="008F55F4"/>
  </w:style>
  <w:style w:type="paragraph" w:customStyle="1" w:styleId="Popisok">
    <w:name w:val="Popisok"/>
    <w:basedOn w:val="Normal"/>
    <w:uiPriority w:val="99"/>
    <w:rsid w:val="008F55F4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al"/>
    <w:uiPriority w:val="99"/>
    <w:rsid w:val="008F55F4"/>
    <w:pPr>
      <w:suppressLineNumbers/>
    </w:pPr>
  </w:style>
  <w:style w:type="paragraph" w:customStyle="1" w:styleId="Zkladntext1">
    <w:name w:val="Základní text1"/>
    <w:uiPriority w:val="99"/>
    <w:rsid w:val="008F55F4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FootnoteText">
    <w:name w:val="footnote text"/>
    <w:basedOn w:val="Normal"/>
    <w:link w:val="FootnoteTextChar"/>
    <w:uiPriority w:val="99"/>
    <w:semiHidden/>
    <w:rsid w:val="008F55F4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332DE9"/>
    <w:rPr>
      <w:sz w:val="20"/>
      <w:szCs w:val="20"/>
      <w:lang w:eastAsia="ar-SA" w:bidi="ar-SA"/>
    </w:rPr>
  </w:style>
  <w:style w:type="paragraph" w:styleId="Footer">
    <w:name w:val="footer"/>
    <w:basedOn w:val="Normal"/>
    <w:link w:val="FooterChar"/>
    <w:uiPriority w:val="99"/>
    <w:rsid w:val="008F55F4"/>
    <w:pPr>
      <w:tabs>
        <w:tab w:val="center" w:pos="4536"/>
        <w:tab w:val="right" w:pos="9072"/>
      </w:tabs>
      <w:jc w:val="right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332DE9"/>
    <w:rPr>
      <w:sz w:val="24"/>
      <w:szCs w:val="24"/>
      <w:lang w:eastAsia="ar-SA" w:bidi="ar-SA"/>
    </w:rPr>
  </w:style>
  <w:style w:type="paragraph" w:customStyle="1" w:styleId="Zkladntext2">
    <w:name w:val="Základný text 2"/>
    <w:basedOn w:val="Normal"/>
    <w:uiPriority w:val="99"/>
    <w:rsid w:val="008F55F4"/>
    <w:pPr>
      <w:jc w:val="both"/>
    </w:pPr>
  </w:style>
  <w:style w:type="paragraph" w:styleId="BodyTextIndent">
    <w:name w:val="Body Text Indent"/>
    <w:basedOn w:val="Normal"/>
    <w:link w:val="BodyTextIndentChar"/>
    <w:uiPriority w:val="99"/>
    <w:rsid w:val="008F55F4"/>
    <w:pPr>
      <w:ind w:firstLine="360"/>
      <w:jc w:val="both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332DE9"/>
    <w:rPr>
      <w:sz w:val="24"/>
      <w:szCs w:val="24"/>
      <w:lang w:eastAsia="ar-SA" w:bidi="ar-SA"/>
    </w:rPr>
  </w:style>
  <w:style w:type="paragraph" w:customStyle="1" w:styleId="Zarkazkladnhotextu2">
    <w:name w:val="Zarážka základného textu 2"/>
    <w:basedOn w:val="Normal"/>
    <w:uiPriority w:val="99"/>
    <w:rsid w:val="008F55F4"/>
    <w:pPr>
      <w:ind w:firstLine="360"/>
    </w:pPr>
  </w:style>
  <w:style w:type="paragraph" w:customStyle="1" w:styleId="Zkladntext3">
    <w:name w:val="Základný text 3"/>
    <w:basedOn w:val="Normal"/>
    <w:uiPriority w:val="99"/>
    <w:rsid w:val="008F55F4"/>
    <w:pPr>
      <w:ind w:right="-468"/>
      <w:jc w:val="both"/>
    </w:pPr>
    <w:rPr>
      <w:b/>
      <w:bCs/>
    </w:rPr>
  </w:style>
  <w:style w:type="paragraph" w:customStyle="1" w:styleId="Oznaitext">
    <w:name w:val="Označiť text"/>
    <w:basedOn w:val="Normal"/>
    <w:uiPriority w:val="99"/>
    <w:rsid w:val="008F55F4"/>
    <w:pPr>
      <w:ind w:left="1680" w:right="-468" w:hanging="240"/>
    </w:pPr>
  </w:style>
  <w:style w:type="paragraph" w:customStyle="1" w:styleId="Zarkazkladnhotextu3">
    <w:name w:val="Zarážka základného textu 3"/>
    <w:basedOn w:val="Normal"/>
    <w:uiPriority w:val="99"/>
    <w:rsid w:val="008F55F4"/>
    <w:pPr>
      <w:ind w:right="-468" w:firstLine="720"/>
      <w:jc w:val="both"/>
    </w:pPr>
  </w:style>
  <w:style w:type="paragraph" w:styleId="Header">
    <w:name w:val="header"/>
    <w:basedOn w:val="Normal"/>
    <w:link w:val="HeaderChar"/>
    <w:uiPriority w:val="99"/>
    <w:rsid w:val="008F55F4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332DE9"/>
    <w:rPr>
      <w:sz w:val="24"/>
      <w:szCs w:val="24"/>
      <w:lang w:eastAsia="ar-SA" w:bidi="ar-SA"/>
    </w:rPr>
  </w:style>
  <w:style w:type="paragraph" w:customStyle="1" w:styleId="Odsekzoznamu">
    <w:name w:val="Odsek zoznamu"/>
    <w:basedOn w:val="Normal"/>
    <w:uiPriority w:val="99"/>
    <w:rsid w:val="008F55F4"/>
    <w:pPr>
      <w:ind w:left="708"/>
    </w:pPr>
  </w:style>
  <w:style w:type="paragraph" w:styleId="EndnoteText">
    <w:name w:val="endnote text"/>
    <w:basedOn w:val="Normal"/>
    <w:link w:val="EndnoteTextChar"/>
    <w:uiPriority w:val="99"/>
    <w:semiHidden/>
    <w:rsid w:val="008F55F4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locked/>
    <w:rsid w:val="00332DE9"/>
    <w:rPr>
      <w:sz w:val="20"/>
      <w:szCs w:val="20"/>
      <w:lang w:eastAsia="ar-SA" w:bidi="ar-SA"/>
    </w:rPr>
  </w:style>
  <w:style w:type="paragraph" w:styleId="BalloonText">
    <w:name w:val="Balloon Text"/>
    <w:basedOn w:val="Normal"/>
    <w:link w:val="BalloonTextChar"/>
    <w:uiPriority w:val="99"/>
    <w:semiHidden/>
    <w:rsid w:val="008F55F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332DE9"/>
    <w:rPr>
      <w:sz w:val="2"/>
      <w:szCs w:val="2"/>
      <w:lang w:eastAsia="ar-SA" w:bidi="ar-SA"/>
    </w:rPr>
  </w:style>
  <w:style w:type="paragraph" w:customStyle="1" w:styleId="tl1">
    <w:name w:val="Štýl1"/>
    <w:basedOn w:val="Footer"/>
    <w:uiPriority w:val="99"/>
    <w:rsid w:val="008F55F4"/>
  </w:style>
  <w:style w:type="paragraph" w:customStyle="1" w:styleId="TopHeader">
    <w:name w:val="Top Header"/>
    <w:basedOn w:val="Normal"/>
    <w:uiPriority w:val="99"/>
    <w:rsid w:val="008F55F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Obsahtabuky">
    <w:name w:val="Obsah tabuľky"/>
    <w:basedOn w:val="Normal"/>
    <w:uiPriority w:val="99"/>
    <w:rsid w:val="008F55F4"/>
    <w:pPr>
      <w:suppressLineNumbers/>
    </w:pPr>
  </w:style>
  <w:style w:type="paragraph" w:customStyle="1" w:styleId="Nadpistabuky">
    <w:name w:val="Nadpis tabuľky"/>
    <w:basedOn w:val="Obsahtabuky"/>
    <w:uiPriority w:val="99"/>
    <w:rsid w:val="008F55F4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5</Pages>
  <Words>1350</Words>
  <Characters>7697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HP</cp:lastModifiedBy>
  <cp:revision>2</cp:revision>
  <cp:lastPrinted>2016-03-16T19:48:00Z</cp:lastPrinted>
  <dcterms:created xsi:type="dcterms:W3CDTF">2025-05-08T10:02:00Z</dcterms:created>
  <dcterms:modified xsi:type="dcterms:W3CDTF">2025-05-08T10:02:00Z</dcterms:modified>
</cp:coreProperties>
</file>