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8097CD" w14:textId="664071DB" w:rsidR="00365AA0" w:rsidRPr="006E1A4E" w:rsidRDefault="00365AA0" w:rsidP="00365AA0">
      <w:pPr>
        <w:pStyle w:val="Default"/>
        <w:rPr>
          <w:rFonts w:ascii="Arial" w:hAnsi="Arial" w:cs="Arial"/>
        </w:rPr>
      </w:pPr>
      <w:r w:rsidRPr="006E1A4E">
        <w:rPr>
          <w:rFonts w:ascii="Arial" w:hAnsi="Arial" w:cs="Arial"/>
        </w:rPr>
        <w:t xml:space="preserve">Poznámky </w:t>
      </w:r>
      <w:r>
        <w:rPr>
          <w:rFonts w:ascii="Arial" w:hAnsi="Arial" w:cs="Arial"/>
        </w:rPr>
        <w:t xml:space="preserve"> </w:t>
      </w:r>
      <w:r w:rsidRPr="006E1A4E">
        <w:rPr>
          <w:rFonts w:ascii="Arial" w:hAnsi="Arial" w:cs="Arial"/>
        </w:rPr>
        <w:t xml:space="preserve"> </w:t>
      </w:r>
    </w:p>
    <w:p w14:paraId="084C6F7D" w14:textId="77777777" w:rsidR="00365AA0" w:rsidRPr="006E1A4E" w:rsidRDefault="00365AA0" w:rsidP="00365AA0">
      <w:pPr>
        <w:pStyle w:val="Default"/>
        <w:rPr>
          <w:rFonts w:ascii="Arial" w:hAnsi="Arial" w:cs="Arial"/>
        </w:rPr>
      </w:pPr>
    </w:p>
    <w:p w14:paraId="775DC3FB" w14:textId="77777777" w:rsidR="00365AA0" w:rsidRPr="006E1A4E" w:rsidRDefault="00365AA0" w:rsidP="00365AA0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Názov právnickej osoby a jej sídlo alebo meno a priezvisko fyzickej osoby</w:t>
      </w:r>
    </w:p>
    <w:p w14:paraId="63346F84" w14:textId="77777777" w:rsidR="00365AA0" w:rsidRPr="006E1A4E" w:rsidRDefault="00365AA0" w:rsidP="00365AA0">
      <w:pPr>
        <w:pStyle w:val="Default"/>
        <w:jc w:val="center"/>
        <w:rPr>
          <w:rFonts w:ascii="Arial" w:hAnsi="Arial" w:cs="Arial"/>
          <w:sz w:val="28"/>
          <w:szCs w:val="28"/>
        </w:rPr>
      </w:pPr>
    </w:p>
    <w:p w14:paraId="6DA6F431" w14:textId="77777777" w:rsidR="00365AA0" w:rsidRDefault="00365AA0" w:rsidP="00365AA0">
      <w:pPr>
        <w:pStyle w:val="Default"/>
        <w:jc w:val="center"/>
        <w:rPr>
          <w:rFonts w:ascii="Arial" w:hAnsi="Arial" w:cs="Arial"/>
          <w:sz w:val="28"/>
          <w:szCs w:val="28"/>
        </w:rPr>
      </w:pPr>
      <w:proofErr w:type="spellStart"/>
      <w:r>
        <w:rPr>
          <w:rFonts w:ascii="Arial" w:hAnsi="Arial" w:cs="Arial"/>
          <w:sz w:val="28"/>
          <w:szCs w:val="28"/>
        </w:rPr>
        <w:t>Arthe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Building</w:t>
      </w:r>
      <w:proofErr w:type="spellEnd"/>
      <w:r>
        <w:rPr>
          <w:rFonts w:ascii="Arial" w:hAnsi="Arial" w:cs="Arial"/>
          <w:sz w:val="28"/>
          <w:szCs w:val="28"/>
        </w:rPr>
        <w:t xml:space="preserve">, </w:t>
      </w:r>
      <w:proofErr w:type="spellStart"/>
      <w:r>
        <w:rPr>
          <w:rFonts w:ascii="Arial" w:hAnsi="Arial" w:cs="Arial"/>
          <w:sz w:val="28"/>
          <w:szCs w:val="28"/>
        </w:rPr>
        <w:t>s.r.o</w:t>
      </w:r>
      <w:proofErr w:type="spellEnd"/>
      <w:r>
        <w:rPr>
          <w:rFonts w:ascii="Arial" w:hAnsi="Arial" w:cs="Arial"/>
          <w:sz w:val="28"/>
          <w:szCs w:val="28"/>
        </w:rPr>
        <w:t>.</w:t>
      </w:r>
    </w:p>
    <w:p w14:paraId="38F2E274" w14:textId="77777777" w:rsidR="00365AA0" w:rsidRDefault="00365AA0" w:rsidP="00365AA0">
      <w:pPr>
        <w:pStyle w:val="Default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Hlavná 1110</w:t>
      </w:r>
    </w:p>
    <w:p w14:paraId="58E65049" w14:textId="77777777" w:rsidR="00365AA0" w:rsidRPr="006E1A4E" w:rsidRDefault="00365AA0" w:rsidP="00365AA0">
      <w:pPr>
        <w:pStyle w:val="Default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930 25 Vrakúň</w:t>
      </w:r>
    </w:p>
    <w:p w14:paraId="16A2D9B0" w14:textId="77777777" w:rsidR="00365AA0" w:rsidRPr="006E1A4E" w:rsidRDefault="00365AA0" w:rsidP="00365AA0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14:paraId="0085EE43" w14:textId="77777777" w:rsidR="00365AA0" w:rsidRDefault="00365AA0" w:rsidP="00365AA0">
      <w:pPr>
        <w:pStyle w:val="Default"/>
        <w:jc w:val="center"/>
        <w:rPr>
          <w:rFonts w:ascii="Arial" w:hAnsi="Arial" w:cs="Arial"/>
          <w:sz w:val="28"/>
          <w:szCs w:val="28"/>
        </w:rPr>
      </w:pPr>
      <w:r w:rsidRPr="006E1A4E">
        <w:rPr>
          <w:rFonts w:ascii="Arial" w:hAnsi="Arial" w:cs="Arial"/>
          <w:sz w:val="28"/>
          <w:szCs w:val="28"/>
        </w:rPr>
        <w:t xml:space="preserve">DIČ </w:t>
      </w:r>
      <w:r w:rsidRPr="009225E5">
        <w:rPr>
          <w:rFonts w:ascii="Arial" w:hAnsi="Arial" w:cs="Arial"/>
          <w:sz w:val="28"/>
          <w:szCs w:val="28"/>
        </w:rPr>
        <w:t>2120190908</w:t>
      </w:r>
      <w:r>
        <w:rPr>
          <w:rFonts w:ascii="Arial" w:hAnsi="Arial" w:cs="Arial"/>
          <w:sz w:val="28"/>
          <w:szCs w:val="28"/>
        </w:rPr>
        <w:t xml:space="preserve">           </w:t>
      </w:r>
      <w:r w:rsidRPr="000C077C">
        <w:rPr>
          <w:rFonts w:ascii="Arial" w:hAnsi="Arial" w:cs="Arial"/>
          <w:sz w:val="28"/>
          <w:szCs w:val="28"/>
        </w:rPr>
        <w:t xml:space="preserve">IČO </w:t>
      </w:r>
      <w:r w:rsidRPr="009225E5">
        <w:rPr>
          <w:rFonts w:ascii="Arial" w:hAnsi="Arial" w:cs="Arial"/>
          <w:sz w:val="28"/>
          <w:szCs w:val="28"/>
        </w:rPr>
        <w:t>50133781</w:t>
      </w:r>
    </w:p>
    <w:p w14:paraId="2D123218" w14:textId="77777777" w:rsidR="00365AA0" w:rsidRPr="006E1A4E" w:rsidRDefault="00365AA0" w:rsidP="00365AA0">
      <w:pPr>
        <w:pStyle w:val="Default"/>
        <w:jc w:val="center"/>
        <w:rPr>
          <w:rFonts w:ascii="Arial" w:hAnsi="Arial" w:cs="Arial"/>
          <w:sz w:val="28"/>
          <w:szCs w:val="28"/>
        </w:rPr>
      </w:pPr>
    </w:p>
    <w:p w14:paraId="2E188D93" w14:textId="77777777" w:rsidR="00365AA0" w:rsidRDefault="00365AA0" w:rsidP="00365AA0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SK NACE </w:t>
      </w:r>
      <w:r>
        <w:rPr>
          <w:rFonts w:ascii="Arial" w:hAnsi="Arial" w:cs="Arial"/>
          <w:color w:val="auto"/>
          <w:sz w:val="28"/>
          <w:szCs w:val="28"/>
        </w:rPr>
        <w:t>42109</w:t>
      </w:r>
      <w:r w:rsidRPr="006E1A4E">
        <w:rPr>
          <w:rFonts w:ascii="Arial" w:hAnsi="Arial" w:cs="Arial"/>
          <w:color w:val="auto"/>
          <w:sz w:val="28"/>
          <w:szCs w:val="28"/>
        </w:rPr>
        <w:t xml:space="preserve"> </w:t>
      </w:r>
    </w:p>
    <w:p w14:paraId="7EFC10FC" w14:textId="77777777" w:rsidR="00365AA0" w:rsidRPr="006E1A4E" w:rsidRDefault="00365AA0" w:rsidP="00365AA0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14:paraId="27248E2B" w14:textId="77777777" w:rsidR="00365AA0" w:rsidRDefault="00365AA0" w:rsidP="00365AA0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Právna forma 112 – spoločnosť s ručením obmedzeným</w:t>
      </w:r>
    </w:p>
    <w:p w14:paraId="406ED82B" w14:textId="77777777" w:rsidR="00365AA0" w:rsidRPr="006E1A4E" w:rsidRDefault="00365AA0" w:rsidP="00365AA0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14:paraId="7767CD93" w14:textId="009862D0" w:rsidR="00365AA0" w:rsidRPr="006E1A4E" w:rsidRDefault="00365AA0" w:rsidP="00365AA0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Zdaňovacie obdobie od 01 </w:t>
      </w:r>
      <w:r>
        <w:rPr>
          <w:rFonts w:ascii="Arial" w:hAnsi="Arial" w:cs="Arial"/>
          <w:color w:val="auto"/>
          <w:sz w:val="28"/>
          <w:szCs w:val="28"/>
        </w:rPr>
        <w:t>202</w:t>
      </w:r>
      <w:r>
        <w:rPr>
          <w:rFonts w:ascii="Arial" w:hAnsi="Arial" w:cs="Arial"/>
          <w:color w:val="auto"/>
          <w:sz w:val="28"/>
          <w:szCs w:val="28"/>
        </w:rPr>
        <w:t>4</w:t>
      </w:r>
      <w:r w:rsidRPr="006E1A4E">
        <w:rPr>
          <w:rFonts w:ascii="Arial" w:hAnsi="Arial" w:cs="Arial"/>
          <w:color w:val="auto"/>
          <w:sz w:val="28"/>
          <w:szCs w:val="28"/>
        </w:rPr>
        <w:t xml:space="preserve"> do 12 </w:t>
      </w:r>
      <w:r>
        <w:rPr>
          <w:rFonts w:ascii="Arial" w:hAnsi="Arial" w:cs="Arial"/>
          <w:color w:val="auto"/>
          <w:sz w:val="28"/>
          <w:szCs w:val="28"/>
        </w:rPr>
        <w:t>202</w:t>
      </w:r>
      <w:r>
        <w:rPr>
          <w:rFonts w:ascii="Arial" w:hAnsi="Arial" w:cs="Arial"/>
          <w:color w:val="auto"/>
          <w:sz w:val="28"/>
          <w:szCs w:val="28"/>
        </w:rPr>
        <w:t>4</w:t>
      </w:r>
    </w:p>
    <w:p w14:paraId="64466614" w14:textId="77777777" w:rsidR="00365AA0" w:rsidRPr="006E1A4E" w:rsidRDefault="00365AA0" w:rsidP="00365AA0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14:paraId="7BC6F9D5" w14:textId="77777777" w:rsidR="00365AA0" w:rsidRPr="006E1A4E" w:rsidRDefault="00365AA0" w:rsidP="00365AA0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Spoločnosť je platiteľom dane z pridanej hodnoty.</w:t>
      </w:r>
    </w:p>
    <w:p w14:paraId="1B6B6827" w14:textId="77777777" w:rsidR="00365AA0" w:rsidRDefault="00365AA0" w:rsidP="00365AA0">
      <w:pPr>
        <w:pStyle w:val="Default"/>
        <w:rPr>
          <w:rFonts w:ascii="Arial" w:hAnsi="Arial" w:cs="Arial"/>
          <w:color w:val="auto"/>
        </w:rPr>
      </w:pPr>
    </w:p>
    <w:p w14:paraId="028758BE" w14:textId="77777777" w:rsidR="00365AA0" w:rsidRDefault="00365AA0" w:rsidP="00365AA0">
      <w:pPr>
        <w:pStyle w:val="Default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Spoločník – Szabó Attila</w:t>
      </w:r>
    </w:p>
    <w:p w14:paraId="1D6429D2" w14:textId="77777777" w:rsidR="00365AA0" w:rsidRDefault="00365AA0" w:rsidP="00365AA0">
      <w:pPr>
        <w:pStyle w:val="Default"/>
        <w:rPr>
          <w:rFonts w:ascii="Arial" w:hAnsi="Arial" w:cs="Arial"/>
          <w:color w:val="auto"/>
        </w:rPr>
      </w:pPr>
    </w:p>
    <w:p w14:paraId="26A52AFE" w14:textId="77777777" w:rsidR="00365AA0" w:rsidRPr="006E1A4E" w:rsidRDefault="00365AA0" w:rsidP="00365AA0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Účtovná závierka bola zostavená za predpokladu nepretržitého trvania spoločnosti. </w:t>
      </w:r>
    </w:p>
    <w:p w14:paraId="296F2A9E" w14:textId="77777777" w:rsidR="00365AA0" w:rsidRPr="006E1A4E" w:rsidRDefault="00365AA0" w:rsidP="00365AA0">
      <w:pPr>
        <w:pStyle w:val="Default"/>
        <w:spacing w:after="27"/>
        <w:rPr>
          <w:rFonts w:ascii="Arial" w:hAnsi="Arial" w:cs="Arial"/>
          <w:color w:val="auto"/>
        </w:rPr>
      </w:pPr>
    </w:p>
    <w:p w14:paraId="28C2A8CC" w14:textId="77777777" w:rsidR="00365AA0" w:rsidRPr="006E1A4E" w:rsidRDefault="00365AA0" w:rsidP="00365AA0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Údaje o konsolidovanom celku, a to </w:t>
      </w:r>
    </w:p>
    <w:p w14:paraId="4ED252D4" w14:textId="77777777" w:rsidR="00365AA0" w:rsidRPr="006E1A4E" w:rsidRDefault="00365AA0" w:rsidP="00365AA0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5C07C1C" w14:textId="77777777" w:rsidR="00365AA0" w:rsidRPr="006E1A4E" w:rsidRDefault="00365AA0" w:rsidP="00365AA0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46629FE" w14:textId="77777777" w:rsidR="00365AA0" w:rsidRPr="006E1A4E" w:rsidRDefault="00365AA0" w:rsidP="00365AA0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0E65DDCD" w14:textId="77777777" w:rsidR="00365AA0" w:rsidRPr="006E1A4E" w:rsidRDefault="00365AA0" w:rsidP="00365AA0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2. pri oslobodení podľa § 22 ods. 12 zákona obchodné meno a sídlo dcérskych účtovných jednotiek. </w:t>
      </w:r>
    </w:p>
    <w:p w14:paraId="74FAC3EE" w14:textId="77777777" w:rsidR="00365AA0" w:rsidRPr="006E1A4E" w:rsidRDefault="00365AA0" w:rsidP="00365AA0">
      <w:pPr>
        <w:pStyle w:val="Default"/>
        <w:rPr>
          <w:rFonts w:ascii="Arial" w:hAnsi="Arial" w:cs="Arial"/>
          <w:color w:val="auto"/>
        </w:rPr>
      </w:pPr>
    </w:p>
    <w:p w14:paraId="533B8615" w14:textId="77777777" w:rsidR="00365AA0" w:rsidRPr="006E1A4E" w:rsidRDefault="00365AA0" w:rsidP="00365AA0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Spoločnosť nie je súčasťou konsolidovanej účtovnej jednotky.</w:t>
      </w:r>
    </w:p>
    <w:p w14:paraId="2D93C0F3" w14:textId="77777777" w:rsidR="00365AA0" w:rsidRPr="006E1A4E" w:rsidRDefault="00365AA0" w:rsidP="00365AA0">
      <w:pPr>
        <w:pStyle w:val="Default"/>
        <w:rPr>
          <w:rFonts w:ascii="Arial" w:hAnsi="Arial" w:cs="Arial"/>
          <w:color w:val="auto"/>
        </w:rPr>
      </w:pPr>
    </w:p>
    <w:tbl>
      <w:tblPr>
        <w:tblW w:w="1458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"/>
        <w:gridCol w:w="3519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08"/>
      </w:tblGrid>
      <w:tr w:rsidR="00365AA0" w:rsidRPr="00C83E6C" w14:paraId="69E4E3AA" w14:textId="77777777" w:rsidTr="00892F4F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E04A5" w14:textId="77777777" w:rsidR="00365AA0" w:rsidRPr="006E1A4E" w:rsidRDefault="00365AA0" w:rsidP="00892F4F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Dlhodobý majetok nakupovaný sa oceňuje obstarávacou cenou, ktorá zahŕňa cenu obstarania a náklady Dlhodobý majetok nakupovaný sa oceňuje obstarávacou cenou, ktorá zahŕňa cenu obstarania a náklady </w:t>
            </w:r>
          </w:p>
        </w:tc>
      </w:tr>
      <w:tr w:rsidR="00365AA0" w:rsidRPr="00C83E6C" w14:paraId="270AF19B" w14:textId="77777777" w:rsidTr="00892F4F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ED3AB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súvisiace s obstaraním (clo, prepravu, montáž, poistné a pod.). </w:t>
            </w:r>
          </w:p>
        </w:tc>
      </w:tr>
      <w:tr w:rsidR="00365AA0" w:rsidRPr="00C83E6C" w14:paraId="5C9BA11F" w14:textId="77777777" w:rsidTr="00892F4F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3A0C5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365AA0" w:rsidRPr="00C83E6C" w14:paraId="47598054" w14:textId="77777777" w:rsidTr="00892F4F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11041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365AA0" w:rsidRPr="00C83E6C" w14:paraId="5344BEA7" w14:textId="77777777" w:rsidTr="00892F4F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9CF3E0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365AA0" w:rsidRPr="00C83E6C" w14:paraId="7A08BEE7" w14:textId="77777777" w:rsidTr="00892F4F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2E430" w14:textId="77777777" w:rsidR="00365AA0" w:rsidRPr="006E1A4E" w:rsidRDefault="00365AA0" w:rsidP="00892F4F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nehmotného majetku sú stanovené vychádzajúc z predpokladanej doby jeho </w:t>
            </w:r>
          </w:p>
        </w:tc>
      </w:tr>
      <w:tr w:rsidR="00365AA0" w:rsidRPr="00C83E6C" w14:paraId="15C99602" w14:textId="77777777" w:rsidTr="00892F4F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90B056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365AA0" w:rsidRPr="00C83E6C" w14:paraId="34E98D0A" w14:textId="77777777" w:rsidTr="00892F4F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C7821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uvedenia dlhodobého majetku do používania. Drobný dlhodobý nehmotný majetok, ktorého obstarávacia</w:t>
            </w:r>
          </w:p>
        </w:tc>
      </w:tr>
      <w:tr w:rsidR="00365AA0" w:rsidRPr="00C83E6C" w14:paraId="70B08826" w14:textId="77777777" w:rsidTr="00892F4F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486A1" w14:textId="77777777" w:rsidR="00365AA0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>cena (resp. vlastné náklady) je  2400 EUR a nižšia, sa odpisuje jednorazovo pri uvedení do používania.</w:t>
            </w:r>
          </w:p>
          <w:p w14:paraId="3A3DD210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365AA0" w:rsidRPr="00C83E6C" w14:paraId="7F29A654" w14:textId="77777777" w:rsidTr="00892F4F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41FED" w14:textId="77777777" w:rsidR="00365AA0" w:rsidRPr="006E1A4E" w:rsidRDefault="00365AA0" w:rsidP="00892F4F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hmotného majetku sú stanovené vychádzajúc z predpokladanej doby jeho </w:t>
            </w:r>
          </w:p>
        </w:tc>
      </w:tr>
      <w:tr w:rsidR="00365AA0" w:rsidRPr="00C83E6C" w14:paraId="3032E197" w14:textId="77777777" w:rsidTr="00892F4F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EDF8B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365AA0" w:rsidRPr="00C83E6C" w14:paraId="00DD88DC" w14:textId="77777777" w:rsidTr="00892F4F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52EB4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uvedenia dlhodobého majetku do používania. Drobný dlhodobý hmotný majetok, ktorého obstarávacia</w:t>
            </w:r>
          </w:p>
        </w:tc>
      </w:tr>
      <w:tr w:rsidR="00365AA0" w:rsidRPr="00C83E6C" w14:paraId="74BAC9BE" w14:textId="77777777" w:rsidTr="00892F4F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80EC0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cena (resp. vlastné náklady) je  1700 EUR a nižšia, sa odpisuje jednorazovo pri uvedení do používania. </w:t>
            </w:r>
          </w:p>
        </w:tc>
      </w:tr>
      <w:tr w:rsidR="00365AA0" w:rsidRPr="006E1A4E" w14:paraId="6B2AF051" w14:textId="77777777" w:rsidTr="00892F4F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A7C34" w14:textId="77777777" w:rsidR="00365AA0" w:rsidRPr="00C83E6C" w:rsidRDefault="00365AA0" w:rsidP="00892F4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522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BAC3C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Ocenenie zásob 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B4F5E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08D43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7FB16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85A3B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A37BD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9313D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2DA6F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92B608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E2559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BBC5E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657DD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657A8C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1B2EB8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C04DC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358B8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F5ACB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365AA0" w:rsidRPr="00C83E6C" w14:paraId="582BBDBB" w14:textId="77777777" w:rsidTr="00892F4F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5233B5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Zásoby sa oceňujú nižšou z nasledujúcich hodnôt:  obstarávacia cena (nakupované zásoby) alebo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11969055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365AA0" w:rsidRPr="00C83E6C" w14:paraId="18E11E49" w14:textId="77777777" w:rsidTr="00892F4F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A9942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lastRenderedPageBreak/>
              <w:t>vlastné náklady (zásoby vytvorené vlastnou činnosťou) alebo čistá realizačná hodnota.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14764927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365AA0" w:rsidRPr="00C83E6C" w14:paraId="133E6591" w14:textId="77777777" w:rsidTr="00892F4F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38414" w14:textId="77777777" w:rsidR="00365AA0" w:rsidRPr="006E1A4E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78157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Nakupované zásoby sa oceňujú váženým aritmetickým priemerom z obstarávacích cien.</w:t>
            </w:r>
          </w:p>
          <w:p w14:paraId="11FEB787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73D37BB9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365AA0" w:rsidRPr="00C83E6C" w14:paraId="6374CFD6" w14:textId="77777777" w:rsidTr="00892F4F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B1ACE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Zníženie hodnoty zásob sa upravuje vytvorením opravnej položky.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19D03458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365AA0" w:rsidRPr="006E1A4E" w14:paraId="568D13E1" w14:textId="77777777" w:rsidTr="00892F4F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6239B" w14:textId="77777777" w:rsidR="00365AA0" w:rsidRPr="00C83E6C" w:rsidRDefault="00365AA0" w:rsidP="00892F4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3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0A322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Ocenenie pohľadávok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F478A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883A19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99710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9533AE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C5F25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0AEC7A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EDC96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13F49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E5905C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00625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8827E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31FCC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7B10C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FEE54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6E59B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34406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5766B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CB15A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C924E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56E31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0F597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A66A4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071AE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5DA5C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6AD1A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3B8255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3C016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CD139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23719E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A8241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3D8DF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3B403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D9820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1F6F0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B43EF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9ED22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B0BDD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30750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C3C5D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48D62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0BB06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3A787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EB16C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94BBC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B3A6B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365AA0" w:rsidRPr="00C83E6C" w14:paraId="2A66F18C" w14:textId="77777777" w:rsidTr="00892F4F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08610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Pohľadávky pri ich vzniku sa oceňujú ich menovitou hodnotou; postúpené pohľadávky a pohľadávky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2F640029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365AA0" w:rsidRPr="00C83E6C" w14:paraId="21AFF196" w14:textId="77777777" w:rsidTr="00892F4F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D5ABB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nadobudnuté vkladom do základného imania sa oceňujú obstarávacou cenou vrátane nákladov súvisiacich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149E8DBB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365AA0" w:rsidRPr="00C83E6C" w14:paraId="08428D93" w14:textId="77777777" w:rsidTr="00892F4F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3D93C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>s obstaraním. Toto ocenenie sa znižuje o pochybné a nevymožiteľné pohľadávky.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5B41D984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365AA0" w:rsidRPr="00C83E6C" w14:paraId="02D3C043" w14:textId="77777777" w:rsidTr="00892F4F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3DF419" w14:textId="77777777" w:rsidR="00365AA0" w:rsidRPr="00C83E6C" w:rsidRDefault="00365AA0" w:rsidP="00892F4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627" w:type="dxa"/>
            <w:gridSpan w:val="4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A7005" w14:textId="77777777" w:rsidR="00365AA0" w:rsidRPr="006E1A4E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Spoločnosť neevidu</w:t>
            </w:r>
            <w:r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je vlastné akcie, nevlastní cenné papiere.</w:t>
            </w:r>
          </w:p>
          <w:p w14:paraId="44386348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4245978C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365AA0" w:rsidRPr="006E1A4E" w14:paraId="050ACFA7" w14:textId="77777777" w:rsidTr="00892F4F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37B1F" w14:textId="77777777" w:rsidR="00365AA0" w:rsidRPr="00C83E6C" w:rsidRDefault="00365AA0" w:rsidP="00892F4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729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71142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Ocenenie záväzkov vrátane rezerv, dlhopisov, pôžičiek a úverov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FDD5E9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0429AD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FD07B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DB143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6221F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07BD60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8FBF9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E728BF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2DE16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ED367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0CEFE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F19F12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0433E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062DD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6D7ABF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365AA0" w:rsidRPr="00C83E6C" w14:paraId="598CFFB2" w14:textId="77777777" w:rsidTr="00892F4F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CCDA1E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Záväzky pri ich vzniku sa oceňujú menovitou hodnotou. Záväzky pri ich prevzatí sa oceňujú obstarávacou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6FD856F6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365AA0" w:rsidRPr="00C83E6C" w14:paraId="0830B3EB" w14:textId="77777777" w:rsidTr="00892F4F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3A31E6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cenou. Ak sa pri inventarizácii zistí, že suma záväzkov je iná ako ich výška v účtovníctve, uvedú sa záväzky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0098FD0E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365AA0" w:rsidRPr="00C83E6C" w14:paraId="2BD39F24" w14:textId="77777777" w:rsidTr="00892F4F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2E9D4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v účtovníctve a v účtovnej závierke v tomto zistenom ocenení.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06815CD9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365AA0" w:rsidRPr="00C83E6C" w14:paraId="47388B27" w14:textId="77777777" w:rsidTr="00892F4F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8CE54B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Rezervy sú záväzky s neurčitým časovým vymedzením alebo výškou; tvoria sa na krytie známych rizík alebo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68455771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365AA0" w:rsidRPr="00C83E6C" w14:paraId="0D71794E" w14:textId="77777777" w:rsidTr="00892F4F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F2FBB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strát z podnikania. Oceňujú sa v očakávanej výške záväzku.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16170D9A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365AA0" w:rsidRPr="006E1A4E" w14:paraId="1C4EE8B1" w14:textId="77777777" w:rsidTr="00892F4F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76D31" w14:textId="77777777" w:rsidR="00365AA0" w:rsidRPr="00C83E6C" w:rsidRDefault="00365AA0" w:rsidP="00892F4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7659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4D20F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Informácie o poskytnutých </w:t>
            </w:r>
            <w:proofErr w:type="spellStart"/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dotáciach</w:t>
            </w:r>
            <w:proofErr w:type="spellEnd"/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a ich ocenení</w:t>
            </w: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- Spoločnosti neboli poskytnuté dotácie.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B5A72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79AED1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454E2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9041E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0FDE93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A6D04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51476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EBCD2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EA8D8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03750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6F7E5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0BB2C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95C8E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08EB2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F3E11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D18AC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85A1F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636B8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E1A6B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85217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20051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32F39A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81C0F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93F5E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0E3C6" w14:textId="77777777" w:rsidR="00365AA0" w:rsidRPr="00C83E6C" w:rsidRDefault="00365AA0" w:rsidP="00892F4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</w:tbl>
    <w:p w14:paraId="1A4185E6" w14:textId="77777777" w:rsidR="00365AA0" w:rsidRPr="006E1A4E" w:rsidRDefault="00365AA0" w:rsidP="00365AA0">
      <w:pPr>
        <w:pStyle w:val="Default"/>
        <w:rPr>
          <w:rFonts w:ascii="Arial" w:hAnsi="Arial" w:cs="Arial"/>
          <w:bCs/>
          <w:color w:val="auto"/>
        </w:rPr>
      </w:pPr>
    </w:p>
    <w:p w14:paraId="5EBA99DA" w14:textId="77777777" w:rsidR="00365AA0" w:rsidRDefault="00365AA0" w:rsidP="00365AA0">
      <w:pPr>
        <w:pStyle w:val="Default"/>
        <w:rPr>
          <w:rFonts w:ascii="Arial" w:hAnsi="Arial" w:cs="Arial"/>
          <w:b/>
          <w:bCs/>
          <w:i/>
          <w:color w:val="auto"/>
        </w:rPr>
      </w:pPr>
      <w:r w:rsidRPr="006E1A4E">
        <w:rPr>
          <w:rFonts w:ascii="Arial" w:hAnsi="Arial" w:cs="Arial"/>
          <w:b/>
          <w:bCs/>
          <w:i/>
          <w:color w:val="auto"/>
        </w:rPr>
        <w:t xml:space="preserve">Informácie o prijatých postupoch </w:t>
      </w:r>
    </w:p>
    <w:p w14:paraId="37AD1D1B" w14:textId="77777777" w:rsidR="00365AA0" w:rsidRPr="006E1A4E" w:rsidRDefault="00365AA0" w:rsidP="00365AA0">
      <w:pPr>
        <w:pStyle w:val="Default"/>
        <w:rPr>
          <w:rFonts w:ascii="Arial" w:hAnsi="Arial" w:cs="Arial"/>
          <w:b/>
          <w:i/>
          <w:color w:val="auto"/>
        </w:rPr>
      </w:pPr>
    </w:p>
    <w:p w14:paraId="074277A5" w14:textId="77777777" w:rsidR="00365AA0" w:rsidRPr="006E1A4E" w:rsidRDefault="00365AA0" w:rsidP="00365AA0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Účtovná jednotka predpokladá, že bude nepretržite pokračovať vo svojej činnosti. </w:t>
      </w:r>
    </w:p>
    <w:p w14:paraId="1BF49876" w14:textId="77777777" w:rsidR="00365AA0" w:rsidRPr="006E1A4E" w:rsidRDefault="00365AA0" w:rsidP="00365AA0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Účtovné metódy a všeobecné účtovné zásady boli účtovnou jednotkou konzistentne aplikované.</w:t>
      </w:r>
    </w:p>
    <w:p w14:paraId="11899E18" w14:textId="77777777" w:rsidR="00365AA0" w:rsidRPr="006E1A4E" w:rsidRDefault="00365AA0" w:rsidP="00365AA0">
      <w:pPr>
        <w:pStyle w:val="Default"/>
        <w:rPr>
          <w:rFonts w:ascii="Arial" w:hAnsi="Arial" w:cs="Arial"/>
          <w:color w:val="auto"/>
        </w:rPr>
      </w:pPr>
    </w:p>
    <w:p w14:paraId="6782AD2C" w14:textId="77777777" w:rsidR="00365AA0" w:rsidRPr="006E1A4E" w:rsidRDefault="00365AA0" w:rsidP="00365AA0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eviduje záväzky, ktorých hodnota je uvedená vo výkaze MÚJ.</w:t>
      </w:r>
    </w:p>
    <w:p w14:paraId="1B3A6281" w14:textId="77777777" w:rsidR="00365AA0" w:rsidRPr="006E1A4E" w:rsidRDefault="00365AA0" w:rsidP="00365AA0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29E1A975" w14:textId="77777777" w:rsidR="00365AA0" w:rsidRPr="006E1A4E" w:rsidRDefault="00365AA0" w:rsidP="00365AA0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neeviduje finančné povinnosti, ktoré sa nevykazujú  v súvahe.</w:t>
      </w:r>
    </w:p>
    <w:p w14:paraId="512EC8FE" w14:textId="77777777" w:rsidR="00365AA0" w:rsidRPr="006E1A4E" w:rsidRDefault="00365AA0" w:rsidP="00365AA0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0AE189CD" w14:textId="77777777" w:rsidR="00365AA0" w:rsidRPr="006E1A4E" w:rsidRDefault="00365AA0" w:rsidP="00365AA0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neposkytla účasť na dôchodkových programoch pre zamestnancov.</w:t>
      </w:r>
    </w:p>
    <w:p w14:paraId="09702291" w14:textId="77777777" w:rsidR="00365AA0" w:rsidRPr="006E1A4E" w:rsidRDefault="00365AA0" w:rsidP="00365AA0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2DEAC4C8" w14:textId="77777777" w:rsidR="00365AA0" w:rsidRPr="006E1A4E" w:rsidRDefault="00365AA0" w:rsidP="00365AA0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Spoločnosti neboli poskytnuté dotácie.</w:t>
      </w:r>
    </w:p>
    <w:p w14:paraId="228BF7A9" w14:textId="77777777" w:rsidR="00365AA0" w:rsidRPr="006E1A4E" w:rsidRDefault="00365AA0" w:rsidP="00365AA0">
      <w:pPr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6EA8E16A" w14:textId="77777777" w:rsidR="00365AA0" w:rsidRPr="006E1A4E" w:rsidRDefault="00365AA0" w:rsidP="00365AA0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78157C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 xml:space="preserve"> </w:t>
      </w:r>
    </w:p>
    <w:p w14:paraId="6A8E8C1A" w14:textId="77777777" w:rsidR="00974B73" w:rsidRDefault="00974B73"/>
    <w:sectPr w:rsidR="00974B73" w:rsidSect="00365AA0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B10A79"/>
    <w:multiLevelType w:val="hybridMultilevel"/>
    <w:tmpl w:val="D166AC1A"/>
    <w:lvl w:ilvl="0" w:tplc="F73AFD4C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177612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5AA0"/>
    <w:rsid w:val="00365AA0"/>
    <w:rsid w:val="005F5284"/>
    <w:rsid w:val="00974B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6CD5DF"/>
  <w15:chartTrackingRefBased/>
  <w15:docId w15:val="{1AB713DB-928D-4AA9-A0DC-AED8D4E57B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65AA0"/>
    <w:pPr>
      <w:spacing w:after="200" w:line="276" w:lineRule="auto"/>
    </w:pPr>
    <w:rPr>
      <w:kern w:val="0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365AA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365AA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65AA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65AA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365AA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365AA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65AA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65AA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65AA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65AA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365AA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65AA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65AA0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365AA0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365AA0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65AA0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65AA0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65AA0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365AA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365AA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65AA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365AA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365AA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365AA0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365AA0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365AA0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365AA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365AA0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365AA0"/>
    <w:rPr>
      <w:b/>
      <w:bCs/>
      <w:smallCaps/>
      <w:color w:val="2F5496" w:themeColor="accent1" w:themeShade="BF"/>
      <w:spacing w:val="5"/>
    </w:rPr>
  </w:style>
  <w:style w:type="paragraph" w:customStyle="1" w:styleId="Default">
    <w:name w:val="Default"/>
    <w:rsid w:val="00365AA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673</Words>
  <Characters>3841</Characters>
  <Application>Microsoft Office Word</Application>
  <DocSecurity>0</DocSecurity>
  <Lines>32</Lines>
  <Paragraphs>9</Paragraphs>
  <ScaleCrop>false</ScaleCrop>
  <Company/>
  <LinksUpToDate>false</LinksUpToDate>
  <CharactersWithSpaces>4505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Stanko</dc:creator>
  <cp:keywords/>
  <dc:description/>
  <cp:lastModifiedBy>Peter Stanko</cp:lastModifiedBy>
  <cp:revision>1</cp:revision>
  <dcterms:created xsi:type="dcterms:W3CDTF">2025-03-31T20:41:00Z</dcterms:created>
  <dcterms:modified xsi:type="dcterms:W3CDTF">2025-03-31T20:48:00Z</dcterms:modified>
</cp:coreProperties>
</file>