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4429" w:rsidRDefault="005F4429" w:rsidP="000C08ED">
      <w:pPr>
        <w:autoSpaceDE w:val="0"/>
        <w:autoSpaceDN w:val="0"/>
        <w:adjustRightInd w:val="0"/>
        <w:spacing w:after="0" w:line="240" w:lineRule="auto"/>
        <w:ind w:left="567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 w:rsidRPr="004B0A7F">
        <w:rPr>
          <w:rFonts w:ascii="Arial" w:hAnsi="Arial" w:cs="Arial"/>
          <w:b/>
          <w:bCs/>
          <w:sz w:val="24"/>
          <w:szCs w:val="24"/>
          <w:lang w:val="x-none"/>
        </w:rPr>
        <w:t>I. Základné informácie o účtovnej jednotke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 w:rsidRPr="004B0A7F">
        <w:rPr>
          <w:rFonts w:ascii="Arial" w:hAnsi="Arial" w:cs="Arial"/>
          <w:b/>
          <w:bCs/>
          <w:sz w:val="20"/>
          <w:szCs w:val="20"/>
          <w:lang w:val="x-none"/>
        </w:rPr>
        <w:t xml:space="preserve">1. </w:t>
      </w:r>
      <w:r w:rsidRPr="004B0A7F">
        <w:rPr>
          <w:rFonts w:ascii="Arial" w:hAnsi="Arial" w:cs="Arial"/>
          <w:b/>
          <w:bCs/>
          <w:sz w:val="20"/>
          <w:szCs w:val="20"/>
          <w:lang w:val="x-none"/>
        </w:rPr>
        <w:tab/>
        <w:t>Meno a priezvisko fyzickej osoby alebo názov právnickej osoby, ktorá je zakladateľom alebo zriaďovateľom účtovnej jednotky: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Rastislav Kubiš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ab/>
        <w:t>Dátum založenia alebo zriadenia účtovnej jednotky: 02.03.2007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 w:rsidRPr="004B0A7F">
        <w:rPr>
          <w:rFonts w:ascii="Arial" w:hAnsi="Arial" w:cs="Arial"/>
          <w:b/>
          <w:bCs/>
          <w:sz w:val="20"/>
          <w:szCs w:val="20"/>
          <w:lang w:val="x-none"/>
        </w:rPr>
        <w:t>2.</w:t>
      </w:r>
      <w:r w:rsidRPr="004B0A7F">
        <w:rPr>
          <w:rFonts w:ascii="Arial" w:hAnsi="Arial" w:cs="Arial"/>
          <w:b/>
          <w:bCs/>
          <w:sz w:val="20"/>
          <w:szCs w:val="20"/>
          <w:lang w:val="x-none"/>
        </w:rPr>
        <w:tab/>
        <w:t>Informácie o členoch štatutárnych orgánov, dozorných orgánov a iných orgánov účtovnej jednotky:</w:t>
      </w:r>
    </w:p>
    <w:tbl>
      <w:tblPr>
        <w:tblW w:w="1095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72"/>
        <w:gridCol w:w="3189"/>
        <w:gridCol w:w="3189"/>
      </w:tblGrid>
      <w:tr w:rsidR="004B0A7F" w:rsidRPr="004B0A7F">
        <w:trPr>
          <w:trHeight w:val="28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4B0A7F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Meno a priezvisko členov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4B0A7F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orgánu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4B0A7F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Poznámka</w:t>
            </w:r>
          </w:p>
        </w:tc>
      </w:tr>
      <w:tr w:rsidR="004B0A7F" w:rsidRPr="004B0A7F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4B0A7F">
              <w:rPr>
                <w:rFonts w:ascii="Arial" w:hAnsi="Arial" w:cs="Arial"/>
                <w:sz w:val="16"/>
                <w:szCs w:val="16"/>
                <w:lang w:val="x-none"/>
              </w:rPr>
              <w:t>Rastislav Kubiš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4B0A7F">
              <w:rPr>
                <w:rFonts w:ascii="Arial" w:hAnsi="Arial" w:cs="Arial"/>
                <w:sz w:val="16"/>
                <w:szCs w:val="16"/>
                <w:lang w:val="x-none"/>
              </w:rPr>
              <w:t>štatutár a predseda združenia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4B0A7F">
              <w:rPr>
                <w:rFonts w:ascii="Arial" w:hAnsi="Arial" w:cs="Arial"/>
                <w:sz w:val="16"/>
                <w:szCs w:val="16"/>
                <w:lang w:val="x-none"/>
              </w:rPr>
              <w:t>Šlahor Ján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4B0A7F">
              <w:rPr>
                <w:rFonts w:ascii="Arial" w:hAnsi="Arial" w:cs="Arial"/>
                <w:sz w:val="16"/>
                <w:szCs w:val="16"/>
                <w:lang w:val="x-none"/>
              </w:rPr>
              <w:t>podpredseda združenia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4B0A7F">
              <w:rPr>
                <w:rFonts w:ascii="Arial" w:hAnsi="Arial" w:cs="Arial"/>
                <w:sz w:val="16"/>
                <w:szCs w:val="16"/>
                <w:lang w:val="x-none"/>
              </w:rPr>
              <w:t>Repáňová Magdaléna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4B0A7F">
              <w:rPr>
                <w:rFonts w:ascii="Arial" w:hAnsi="Arial" w:cs="Arial"/>
                <w:sz w:val="16"/>
                <w:szCs w:val="16"/>
                <w:lang w:val="x-none"/>
              </w:rPr>
              <w:t>ekonóm združenia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 w:rsidRPr="004B0A7F">
        <w:rPr>
          <w:rFonts w:ascii="Arial" w:hAnsi="Arial" w:cs="Arial"/>
          <w:b/>
          <w:bCs/>
          <w:sz w:val="20"/>
          <w:szCs w:val="20"/>
          <w:lang w:val="x-none"/>
        </w:rPr>
        <w:t>3.</w:t>
      </w:r>
      <w:r w:rsidRPr="004B0A7F">
        <w:rPr>
          <w:rFonts w:ascii="Arial" w:hAnsi="Arial" w:cs="Arial"/>
          <w:b/>
          <w:bCs/>
          <w:sz w:val="20"/>
          <w:szCs w:val="20"/>
          <w:lang w:val="x-none"/>
        </w:rPr>
        <w:tab/>
        <w:t>Opis činnosti, na účel ktorej bola účtovná jednotka zriadená: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ab/>
        <w:t xml:space="preserve">Poskytovateľ všestrannú pomoc a podporu (predovšetkým finančnú) postihnutým s neurologickými a motorickými 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ab/>
        <w:t>poruchami pohybového systému, členom ich rodín a podporovať zlepšenie kvality ich života.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ab/>
        <w:t xml:space="preserve">Vyhľadávať </w:t>
      </w:r>
      <w:r w:rsidR="000C08ED" w:rsidRPr="004B0A7F">
        <w:rPr>
          <w:rFonts w:ascii="Arial" w:hAnsi="Arial" w:cs="Arial"/>
          <w:sz w:val="20"/>
          <w:szCs w:val="20"/>
          <w:lang w:val="x-none"/>
        </w:rPr>
        <w:t>postihnutých</w:t>
      </w:r>
      <w:r w:rsidRPr="004B0A7F">
        <w:rPr>
          <w:rFonts w:ascii="Arial" w:hAnsi="Arial" w:cs="Arial"/>
          <w:sz w:val="20"/>
          <w:szCs w:val="20"/>
          <w:lang w:val="x-none"/>
        </w:rPr>
        <w:t xml:space="preserve"> s cieľom informovať ich o existencii združenia a aktivitách, ktoré vykonáva.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ab/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 w:rsidRPr="004B0A7F">
        <w:rPr>
          <w:rFonts w:ascii="Arial" w:hAnsi="Arial" w:cs="Arial"/>
          <w:b/>
          <w:bCs/>
          <w:sz w:val="20"/>
          <w:szCs w:val="20"/>
          <w:lang w:val="x-none"/>
        </w:rPr>
        <w:t>4.</w:t>
      </w:r>
      <w:r w:rsidRPr="004B0A7F">
        <w:rPr>
          <w:rFonts w:ascii="Arial" w:hAnsi="Arial" w:cs="Arial"/>
          <w:b/>
          <w:bCs/>
          <w:sz w:val="20"/>
          <w:szCs w:val="20"/>
          <w:lang w:val="x-none"/>
        </w:rPr>
        <w:tab/>
        <w:t>Počet zamestnancov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tbl>
      <w:tblPr>
        <w:tblW w:w="9720" w:type="dxa"/>
        <w:tblInd w:w="127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567"/>
        <w:gridCol w:w="1866"/>
        <w:gridCol w:w="2287"/>
      </w:tblGrid>
      <w:tr w:rsidR="004B0A7F" w:rsidRPr="004B0A7F">
        <w:tc>
          <w:tcPr>
            <w:tcW w:w="5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Bežné účt. obdobie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Počet hodín vykonávania dobrovoľníckej činnosti</w:t>
            </w:r>
          </w:p>
        </w:tc>
      </w:tr>
      <w:tr w:rsidR="004B0A7F" w:rsidRPr="004B0A7F">
        <w:tblPrEx>
          <w:tblCellSpacing w:w="-8" w:type="nil"/>
        </w:tblPrEx>
        <w:trPr>
          <w:trHeight w:val="390"/>
          <w:tblCellSpacing w:w="-8" w:type="nil"/>
        </w:trPr>
        <w:tc>
          <w:tcPr>
            <w:tcW w:w="5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Priemerný prepočítaný počet zamestnancov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x</w:t>
            </w:r>
          </w:p>
        </w:tc>
      </w:tr>
      <w:tr w:rsidR="004B0A7F" w:rsidRPr="004B0A7F">
        <w:tblPrEx>
          <w:tblCellSpacing w:w="-8" w:type="nil"/>
        </w:tblPrEx>
        <w:trPr>
          <w:trHeight w:val="390"/>
          <w:tblCellSpacing w:w="-8" w:type="nil"/>
        </w:trPr>
        <w:tc>
          <w:tcPr>
            <w:tcW w:w="5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z toho  počet vedúcich zamestnancov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x</w:t>
            </w:r>
          </w:p>
        </w:tc>
      </w:tr>
      <w:tr w:rsidR="004B0A7F" w:rsidRPr="004B0A7F">
        <w:tblPrEx>
          <w:tblCellSpacing w:w="-8" w:type="nil"/>
        </w:tblPrEx>
        <w:trPr>
          <w:trHeight w:val="390"/>
          <w:tblCellSpacing w:w="-8" w:type="nil"/>
        </w:trPr>
        <w:tc>
          <w:tcPr>
            <w:tcW w:w="5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 xml:space="preserve">Počet dobrovoľníkov vyslaných účtovnou jednotkou 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</w:t>
            </w:r>
          </w:p>
        </w:tc>
      </w:tr>
      <w:tr w:rsidR="004B0A7F" w:rsidRPr="004B0A7F">
        <w:tblPrEx>
          <w:tblCellSpacing w:w="-8" w:type="nil"/>
        </w:tblPrEx>
        <w:trPr>
          <w:trHeight w:val="390"/>
          <w:tblCellSpacing w:w="-8" w:type="nil"/>
        </w:trPr>
        <w:tc>
          <w:tcPr>
            <w:tcW w:w="5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</w:t>
            </w:r>
          </w:p>
        </w:tc>
      </w:tr>
    </w:tbl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 w:rsidRPr="004B0A7F">
        <w:rPr>
          <w:rFonts w:ascii="Arial" w:hAnsi="Arial" w:cs="Arial"/>
          <w:b/>
          <w:bCs/>
          <w:sz w:val="20"/>
          <w:szCs w:val="20"/>
          <w:lang w:val="x-none"/>
        </w:rPr>
        <w:t xml:space="preserve">5. </w:t>
      </w:r>
      <w:r w:rsidRPr="004B0A7F">
        <w:rPr>
          <w:rFonts w:ascii="Arial" w:hAnsi="Arial" w:cs="Arial"/>
          <w:b/>
          <w:bCs/>
          <w:sz w:val="20"/>
          <w:szCs w:val="20"/>
          <w:lang w:val="x-none"/>
        </w:rPr>
        <w:tab/>
        <w:t>Organizačná štruktúra účtovnej jednotky: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4B0A7F" w:rsidRPr="004B0A7F" w:rsidRDefault="004B0A7F" w:rsidP="00601FC7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val="x-none"/>
        </w:rPr>
      </w:pPr>
      <w:r w:rsidRPr="004B0A7F">
        <w:rPr>
          <w:rFonts w:ascii="Arial" w:hAnsi="Arial" w:cs="Arial"/>
          <w:b/>
          <w:bCs/>
          <w:noProof/>
          <w:sz w:val="20"/>
          <w:szCs w:val="20"/>
          <w:lang w:eastAsia="sk-SK"/>
        </w:rPr>
        <w:drawing>
          <wp:inline distT="0" distB="0" distL="0" distR="0">
            <wp:extent cx="2209800" cy="15430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0A7F" w:rsidRPr="004B0A7F" w:rsidRDefault="004B0A7F" w:rsidP="004B0A7F">
      <w:pPr>
        <w:autoSpaceDE w:val="0"/>
        <w:autoSpaceDN w:val="0"/>
        <w:adjustRightInd w:val="0"/>
        <w:spacing w:before="120" w:after="120" w:line="252" w:lineRule="auto"/>
        <w:jc w:val="both"/>
        <w:rPr>
          <w:rFonts w:ascii="Arial Narrow" w:hAnsi="Arial Narrow" w:cs="Arial Narrow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 w:rsidRPr="004B0A7F">
        <w:rPr>
          <w:rFonts w:ascii="Arial" w:hAnsi="Arial" w:cs="Arial"/>
          <w:b/>
          <w:bCs/>
          <w:sz w:val="20"/>
          <w:szCs w:val="20"/>
          <w:lang w:val="x-none"/>
        </w:rPr>
        <w:t>6.</w:t>
      </w:r>
      <w:r w:rsidRPr="004B0A7F">
        <w:rPr>
          <w:rFonts w:ascii="Arial" w:hAnsi="Arial" w:cs="Arial"/>
          <w:b/>
          <w:bCs/>
          <w:sz w:val="20"/>
          <w:szCs w:val="20"/>
          <w:lang w:val="x-none"/>
        </w:rPr>
        <w:tab/>
        <w:t>Informácia o organizáciách v zriaďovateľskej pôsobnosti účtovnej jednotky: BEZ OBSAHU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 w:rsidRPr="004B0A7F">
        <w:rPr>
          <w:rFonts w:ascii="Arial" w:hAnsi="Arial" w:cs="Arial"/>
          <w:b/>
          <w:bCs/>
          <w:sz w:val="24"/>
          <w:szCs w:val="24"/>
          <w:lang w:val="x-none"/>
        </w:rPr>
        <w:t>II. Informácie o účtovných zásadách a účtovných metódach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 w:rsidRPr="004B0A7F">
        <w:rPr>
          <w:rFonts w:ascii="Arial" w:hAnsi="Arial" w:cs="Arial"/>
          <w:b/>
          <w:bCs/>
          <w:sz w:val="20"/>
          <w:szCs w:val="20"/>
          <w:lang w:val="x-none"/>
        </w:rPr>
        <w:t>1.</w:t>
      </w:r>
      <w:r w:rsidRPr="004B0A7F">
        <w:rPr>
          <w:rFonts w:ascii="Arial" w:hAnsi="Arial" w:cs="Arial"/>
          <w:b/>
          <w:bCs/>
          <w:sz w:val="20"/>
          <w:szCs w:val="20"/>
          <w:lang w:val="x-none"/>
        </w:rPr>
        <w:tab/>
        <w:t>Účtovná jednotka bude nepretržite pokračovať vo svojej činnosti:</w:t>
      </w:r>
    </w:p>
    <w:tbl>
      <w:tblPr>
        <w:tblW w:w="3540" w:type="dxa"/>
        <w:tblInd w:w="45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4"/>
        <w:gridCol w:w="1180"/>
        <w:gridCol w:w="454"/>
        <w:gridCol w:w="1452"/>
      </w:tblGrid>
      <w:tr w:rsidR="004B0A7F" w:rsidRPr="004B0A7F">
        <w:trPr>
          <w:trHeight w:val="285"/>
        </w:trPr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4B0A7F">
              <w:rPr>
                <w:rFonts w:ascii="Arial" w:hAnsi="Arial" w:cs="Arial"/>
                <w:sz w:val="16"/>
                <w:szCs w:val="16"/>
                <w:lang w:val="x-none"/>
              </w:rPr>
              <w:t xml:space="preserve">  x</w:t>
            </w:r>
          </w:p>
        </w:tc>
        <w:tc>
          <w:tcPr>
            <w:tcW w:w="11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  <w:r w:rsidRPr="004B0A7F">
              <w:rPr>
                <w:rFonts w:ascii="Arial" w:hAnsi="Arial" w:cs="Arial"/>
                <w:sz w:val="20"/>
                <w:szCs w:val="20"/>
                <w:lang w:val="x-none"/>
              </w:rPr>
              <w:t>áno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4B0A7F" w:rsidRPr="004B0A7F" w:rsidRDefault="004B0A7F" w:rsidP="004B0A7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  <w:r w:rsidRPr="004B0A7F">
              <w:rPr>
                <w:rFonts w:ascii="Arial" w:hAnsi="Arial" w:cs="Arial"/>
                <w:sz w:val="20"/>
                <w:szCs w:val="20"/>
                <w:lang w:val="x-none"/>
              </w:rPr>
              <w:t>nie</w:t>
            </w:r>
          </w:p>
        </w:tc>
      </w:tr>
    </w:tbl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x-none"/>
        </w:rPr>
      </w:pPr>
      <w:r w:rsidRPr="004B0A7F">
        <w:rPr>
          <w:rFonts w:ascii="Arial" w:hAnsi="Arial" w:cs="Arial"/>
          <w:b/>
          <w:bCs/>
          <w:sz w:val="20"/>
          <w:szCs w:val="20"/>
          <w:lang w:val="x-none"/>
        </w:rPr>
        <w:t xml:space="preserve">2. </w:t>
      </w:r>
      <w:r w:rsidR="0018292F">
        <w:rPr>
          <w:rFonts w:ascii="Arial" w:hAnsi="Arial" w:cs="Arial"/>
          <w:b/>
          <w:bCs/>
          <w:sz w:val="20"/>
          <w:szCs w:val="20"/>
          <w:lang w:val="x-none"/>
        </w:rPr>
        <w:tab/>
      </w:r>
      <w:r w:rsidRPr="004B0A7F">
        <w:rPr>
          <w:rFonts w:ascii="Arial Narrow" w:hAnsi="Arial Narrow" w:cs="Arial Narrow"/>
          <w:lang w:val="x-none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BEZ OBSAHU 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 w:rsidRPr="004B0A7F">
        <w:rPr>
          <w:rFonts w:ascii="Arial" w:hAnsi="Arial" w:cs="Arial"/>
          <w:b/>
          <w:bCs/>
          <w:sz w:val="20"/>
          <w:szCs w:val="20"/>
          <w:lang w:val="x-none"/>
        </w:rPr>
        <w:t>3.</w:t>
      </w:r>
      <w:r w:rsidRPr="004B0A7F">
        <w:rPr>
          <w:rFonts w:ascii="Arial" w:hAnsi="Arial" w:cs="Arial"/>
          <w:b/>
          <w:bCs/>
          <w:sz w:val="20"/>
          <w:szCs w:val="20"/>
          <w:lang w:val="x-none"/>
        </w:rPr>
        <w:tab/>
        <w:t>Spôsob oceňovania jednotlivých položiek majetku a záväzkov: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(a) Pohľadávky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Pohľadávky pri ich vzniku sa oceňujú ich menovitou hodnotou; postúpené pohľadávky a pohľadávky nadobudnuté vkladom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do základného imania sa oceňujú obstarávacou cenou vrátane nákladov súvisiacich s obstaraním. Toto ocenenie sa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znižuje o pochybné a nevymožiteľné pohľadávky.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(b) Peňažné prostriedky a ceniny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Peňažné prostriedky a ceniny sa oceňujú ich menovitou hodnotou. Zníženie ich hodnoty sa vyjadruje opravnou položkou.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(c) Náklady budúcich období a príjmy budúcich období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Náklady budúcich období a príjmy budúcich období sa vykazujú vo výške, ktorá je potrebná na dodržanie zásady vecnej a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časovej súvislosti s účtovným obdobím.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(d) Rezervy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Rezervy sú záväzky s neurčitým časovým vymedzením alebo výškou; tvoria sa na krytie známych rizík alebo strát z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podnikania. Oceňujú sa v očakávanej výške záväzku.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(e) Záväzky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Záväzky pri ich vzniku sa oceňujú menovitou hodnotou. Záväzky pri ich prevzatí sa oceňujú obstarávacou cenou. Ak sa pri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inventarizácii zistí, že suma záväzkov je iná ako ich výška v účtovníctve, uvedú sa záväzky v účtovníctve a v účtovnej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závierke v tomto zistenom ocenení.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(f) Výdavky budúcich období a výnosy budúcich období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Výdavky budúcich období a výnosy budúcich období sa vykazujú vo výške, ktorá je potrebná na dodržanie zásady vecnej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a časovej súvislosti s účtovným obdobím.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(g) Výnosy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Tržby za vlastné výkony a tovar neobsahujú daň z pridanej hodnoty. Sú tiež znížené o zľavy a zrážky (rabaty, bonusy,</w:t>
      </w:r>
    </w:p>
    <w:p w:rsidR="004B0A7F" w:rsidRP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skontá, dobropisy a pod.) bez ohľadu na to, či zákazník mal vopred na zľavu nárok, alebo či ide o dodatočne uznanú</w:t>
      </w:r>
    </w:p>
    <w:p w:rsidR="004B0A7F" w:rsidRDefault="004B0A7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>zľavu.</w:t>
      </w:r>
    </w:p>
    <w:p w:rsidR="0018292F" w:rsidRDefault="0018292F" w:rsidP="004B0A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4B0A7F" w:rsidRPr="0018292F" w:rsidRDefault="0018292F" w:rsidP="0018292F">
      <w:pPr>
        <w:spacing w:after="240" w:line="240" w:lineRule="auto"/>
      </w:pPr>
      <w:r w:rsidRPr="0018292F">
        <w:rPr>
          <w:b/>
        </w:rPr>
        <w:t>4.</w:t>
      </w:r>
      <w:r w:rsidRPr="0035225A">
        <w:t xml:space="preserve"> </w:t>
      </w:r>
      <w:r>
        <w:tab/>
      </w:r>
      <w:r w:rsidRPr="0035225A"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:rsidR="004B0A7F" w:rsidRPr="0018292F" w:rsidRDefault="0018292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</w:t>
      </w:r>
      <w:r w:rsidR="004B0A7F" w:rsidRPr="004B0A7F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4B0A7F" w:rsidRPr="004B0A7F">
        <w:rPr>
          <w:rFonts w:ascii="Arial" w:hAnsi="Arial" w:cs="Arial"/>
          <w:b/>
          <w:bCs/>
          <w:sz w:val="20"/>
          <w:szCs w:val="20"/>
          <w:lang w:val="x-none"/>
        </w:rPr>
        <w:tab/>
        <w:t xml:space="preserve">Zásady pre zohľadnenie zníženia hodnoty majetku: </w:t>
      </w:r>
      <w:r w:rsidR="004B0A7F" w:rsidRPr="0018292F">
        <w:rPr>
          <w:rFonts w:ascii="Arial" w:hAnsi="Arial" w:cs="Arial"/>
          <w:bCs/>
          <w:sz w:val="20"/>
          <w:szCs w:val="20"/>
          <w:lang w:val="x-none"/>
        </w:rPr>
        <w:t>Nedošlo k zníženiu hodnoty majetku, pretože OZ nevlastní žiadny DHM ani DNM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4B0A7F" w:rsidRPr="004B0A7F" w:rsidRDefault="0018292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 Narrow" w:hAnsi="Arial Narrow" w:cs="Arial Narrow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6</w:t>
      </w:r>
      <w:r w:rsidR="004B0A7F" w:rsidRPr="004B0A7F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4B0A7F" w:rsidRPr="004B0A7F">
        <w:rPr>
          <w:rFonts w:ascii="Arial" w:hAnsi="Arial" w:cs="Arial"/>
          <w:b/>
          <w:bCs/>
          <w:sz w:val="20"/>
          <w:szCs w:val="20"/>
          <w:lang w:val="x-none"/>
        </w:rPr>
        <w:tab/>
      </w:r>
      <w:r w:rsidR="004B0A7F" w:rsidRPr="004B0A7F">
        <w:rPr>
          <w:rFonts w:ascii="Arial Narrow" w:hAnsi="Arial Narrow" w:cs="Arial Narrow"/>
          <w:lang w:val="x-none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obdobia: Žiadne opravy chýb minulých účtovných období neboli vykonané.</w:t>
      </w:r>
    </w:p>
    <w:p w:rsidR="004B0A7F" w:rsidRPr="004B0A7F" w:rsidRDefault="004B0A7F" w:rsidP="004B0A7F">
      <w:p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  <w:r w:rsidRPr="004B0A7F">
        <w:rPr>
          <w:rFonts w:ascii="Arial" w:hAnsi="Arial" w:cs="Arial"/>
          <w:sz w:val="20"/>
          <w:szCs w:val="20"/>
          <w:lang w:val="x-none"/>
        </w:rPr>
        <w:tab/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1829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  <w:lang w:val="x-none"/>
        </w:rPr>
      </w:pPr>
    </w:p>
    <w:p w:rsidR="004B0A7F" w:rsidRDefault="004B0A7F" w:rsidP="00601FC7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 w:rsidRPr="004B0A7F">
        <w:rPr>
          <w:rFonts w:ascii="Arial" w:hAnsi="Arial" w:cs="Arial"/>
          <w:b/>
          <w:bCs/>
          <w:sz w:val="24"/>
          <w:szCs w:val="24"/>
          <w:lang w:val="x-none"/>
        </w:rPr>
        <w:lastRenderedPageBreak/>
        <w:t>III. Informácie, ktoré dopĺňajú a vysvetľujú v súvahe</w:t>
      </w:r>
    </w:p>
    <w:p w:rsidR="00601FC7" w:rsidRPr="004B0A7F" w:rsidRDefault="00601FC7" w:rsidP="00601FC7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</w:p>
    <w:p w:rsidR="004B0A7F" w:rsidRPr="004B0A7F" w:rsidRDefault="004B0A7F" w:rsidP="004B0A7F">
      <w:pPr>
        <w:numPr>
          <w:ilvl w:val="0"/>
          <w:numId w:val="1"/>
        </w:num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 xml:space="preserve"> Významné sumy prírastkov a úbytkov dlhodobého nehmotného majetku a dlhodobého hmotného majetku. BEZ OBSAHU</w:t>
      </w:r>
    </w:p>
    <w:p w:rsidR="004B0A7F" w:rsidRDefault="004B0A7F" w:rsidP="004B0A7F">
      <w:pPr>
        <w:numPr>
          <w:ilvl w:val="0"/>
          <w:numId w:val="1"/>
        </w:num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 xml:space="preserve"> Prehľad dlhodobého majetku, na ktorý je zriadené záložné právo a prehľad dlhodobého majetku, pri ktorom má účtovná jednotka obmedzené právo s ním nakladať. BEZ OBSAHU</w:t>
      </w:r>
    </w:p>
    <w:p w:rsidR="00601FC7" w:rsidRPr="00601FC7" w:rsidRDefault="00601FC7" w:rsidP="00601FC7">
      <w:pPr>
        <w:numPr>
          <w:ilvl w:val="0"/>
          <w:numId w:val="1"/>
        </w:num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  <w:r w:rsidRPr="00601FC7">
        <w:rPr>
          <w:rFonts w:ascii="Arial Narrow" w:hAnsi="Arial Narrow" w:cs="Arial Narrow"/>
          <w:lang w:val="x-none"/>
        </w:rPr>
        <w:t>Údaje o štruktúre dlhodobého finančného majetku za bežné účtovné obdobie a jeho umiestnenie: BEZ OBSAHU.</w:t>
      </w:r>
    </w:p>
    <w:p w:rsidR="00601FC7" w:rsidRPr="00601FC7" w:rsidRDefault="00601FC7" w:rsidP="00601FC7">
      <w:pPr>
        <w:numPr>
          <w:ilvl w:val="0"/>
          <w:numId w:val="1"/>
        </w:num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  <w:r w:rsidRPr="00601FC7">
        <w:rPr>
          <w:rFonts w:ascii="Arial Narrow" w:hAnsi="Arial Narrow" w:cs="Arial Narrow"/>
          <w:lang w:val="x-none"/>
        </w:rPr>
        <w:t>Údaje o štruktúre dlhodobého finančného majetku a krátkodobého finančného majetku: BEZ OBSAHU.</w:t>
      </w:r>
    </w:p>
    <w:p w:rsidR="00601FC7" w:rsidRPr="00601FC7" w:rsidRDefault="00601FC7" w:rsidP="00601FC7">
      <w:pPr>
        <w:numPr>
          <w:ilvl w:val="0"/>
          <w:numId w:val="1"/>
        </w:num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  <w:r w:rsidRPr="00601FC7">
        <w:rPr>
          <w:rFonts w:ascii="Arial Narrow" w:hAnsi="Arial Narrow" w:cs="Arial Narrow"/>
          <w:lang w:val="x-none"/>
        </w:rPr>
        <w:t>Údaje o štruktúre dlhodobých pôžičiek. BEZ OBSAHU.</w:t>
      </w:r>
    </w:p>
    <w:p w:rsidR="00601FC7" w:rsidRPr="00601FC7" w:rsidRDefault="00601FC7" w:rsidP="00601FC7">
      <w:pPr>
        <w:numPr>
          <w:ilvl w:val="0"/>
          <w:numId w:val="1"/>
        </w:num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  <w:r w:rsidRPr="00601FC7">
        <w:rPr>
          <w:rFonts w:ascii="Arial Narrow" w:hAnsi="Arial Narrow" w:cs="Arial Narrow"/>
          <w:lang w:val="x-none"/>
        </w:rPr>
        <w:t>Prehľad  o vývoji významných súm opravných položiek podľa jednotliv</w:t>
      </w:r>
      <w:r>
        <w:rPr>
          <w:rFonts w:ascii="Arial Narrow" w:hAnsi="Arial Narrow" w:cs="Arial Narrow"/>
          <w:lang w:val="x-none"/>
        </w:rPr>
        <w:t>ých druhov majetku. BEZ OBSAHU.</w:t>
      </w:r>
    </w:p>
    <w:p w:rsidR="004B0A7F" w:rsidRPr="004B0A7F" w:rsidRDefault="004B0A7F" w:rsidP="004B0A7F">
      <w:pPr>
        <w:numPr>
          <w:ilvl w:val="0"/>
          <w:numId w:val="1"/>
        </w:numPr>
        <w:autoSpaceDE w:val="0"/>
        <w:autoSpaceDN w:val="0"/>
        <w:adjustRightInd w:val="0"/>
        <w:spacing w:before="120"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 xml:space="preserve"> Opis významných súm pohľadávok</w:t>
      </w:r>
      <w:r w:rsidRPr="004B0A7F">
        <w:rPr>
          <w:rFonts w:ascii="Arial Narrow" w:hAnsi="Arial Narrow" w:cs="Arial Narrow"/>
          <w:b/>
          <w:bCs/>
          <w:lang w:val="x-none"/>
        </w:rPr>
        <w:t xml:space="preserve"> </w:t>
      </w:r>
      <w:r w:rsidRPr="004B0A7F">
        <w:rPr>
          <w:rFonts w:ascii="Arial Narrow" w:hAnsi="Arial Narrow" w:cs="Arial Narrow"/>
          <w:lang w:val="x-none"/>
        </w:rPr>
        <w:t>v nadväznosti na položky súvahy, v členení na pohľadávky za hlavnú nezdaňovanú činnosť a zdaňovanú činnosť za bežné účtovné obdobie.</w:t>
      </w:r>
    </w:p>
    <w:tbl>
      <w:tblPr>
        <w:tblW w:w="9735" w:type="dxa"/>
        <w:tblInd w:w="-83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056"/>
        <w:gridCol w:w="2975"/>
        <w:gridCol w:w="2704"/>
      </w:tblGrid>
      <w:tr w:rsidR="004B0A7F" w:rsidRPr="004B0A7F" w:rsidTr="000C08ED">
        <w:tc>
          <w:tcPr>
            <w:tcW w:w="4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 xml:space="preserve">Druh a opis významných položiek pohľadávok 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Hlavná nezdaňovaná činnosť</w:t>
            </w:r>
          </w:p>
        </w:tc>
        <w:tc>
          <w:tcPr>
            <w:tcW w:w="2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Zdaňovaná činnosť</w:t>
            </w:r>
          </w:p>
        </w:tc>
      </w:tr>
      <w:tr w:rsidR="004B0A7F" w:rsidRPr="004B0A7F" w:rsidTr="000C08ED">
        <w:tblPrEx>
          <w:tblCellSpacing w:w="-8" w:type="nil"/>
        </w:tblPrEx>
        <w:trPr>
          <w:tblCellSpacing w:w="-8" w:type="nil"/>
        </w:trPr>
        <w:tc>
          <w:tcPr>
            <w:tcW w:w="4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Poskytnuté preddavky tuzem</w:t>
            </w:r>
            <w:r>
              <w:rPr>
                <w:rFonts w:ascii="Arial Narrow" w:hAnsi="Arial Narrow" w:cs="Arial Narrow"/>
              </w:rPr>
              <w:t>s</w:t>
            </w:r>
            <w:r w:rsidRPr="004B0A7F">
              <w:rPr>
                <w:rFonts w:ascii="Arial Narrow" w:hAnsi="Arial Narrow" w:cs="Arial Narrow"/>
                <w:lang w:val="x-none"/>
              </w:rPr>
              <w:t>ké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2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</w:tr>
    </w:tbl>
    <w:p w:rsidR="004B0A7F" w:rsidRPr="004B0A7F" w:rsidRDefault="004B0A7F" w:rsidP="004B0A7F">
      <w:pPr>
        <w:keepNext/>
        <w:numPr>
          <w:ilvl w:val="0"/>
          <w:numId w:val="1"/>
        </w:numPr>
        <w:autoSpaceDE w:val="0"/>
        <w:autoSpaceDN w:val="0"/>
        <w:adjustRightInd w:val="0"/>
        <w:spacing w:before="120"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b/>
          <w:bCs/>
          <w:lang w:val="x-none"/>
        </w:rPr>
        <w:t xml:space="preserve"> </w:t>
      </w:r>
      <w:r w:rsidRPr="004B0A7F">
        <w:rPr>
          <w:rFonts w:ascii="Arial Narrow" w:hAnsi="Arial Narrow" w:cs="Arial Narrow"/>
          <w:lang w:val="x-none"/>
        </w:rPr>
        <w:t>Prehľad pohľadávok do uplynutia lehoty splatnosti a po uplynutí lehoty splatnosti.</w:t>
      </w:r>
    </w:p>
    <w:tbl>
      <w:tblPr>
        <w:tblW w:w="9825" w:type="dxa"/>
        <w:tblInd w:w="-113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2704"/>
        <w:gridCol w:w="3606"/>
        <w:gridCol w:w="3515"/>
      </w:tblGrid>
      <w:tr w:rsidR="004B0A7F" w:rsidRPr="004B0A7F"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keepNext/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Pohľadávky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keepNext/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konci bezprostredne predchádzajúceho účtovného obdobia</w:t>
            </w:r>
          </w:p>
        </w:tc>
        <w:tc>
          <w:tcPr>
            <w:tcW w:w="3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keepNext/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>
              <w:rPr>
                <w:rFonts w:ascii="Arial Narrow" w:hAnsi="Arial Narrow" w:cs="Arial Narrow"/>
                <w:b/>
                <w:bCs/>
                <w:lang w:val="x-none"/>
              </w:rPr>
              <w:t>Stav na konci bežného</w:t>
            </w: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 xml:space="preserve"> účtovného obdobia</w:t>
            </w:r>
          </w:p>
        </w:tc>
      </w:tr>
      <w:tr w:rsidR="004B0A7F" w:rsidRPr="004B0A7F">
        <w:tblPrEx>
          <w:tblCellSpacing w:w="-8" w:type="nil"/>
        </w:tblPrEx>
        <w:trPr>
          <w:tblCellSpacing w:w="-8" w:type="nil"/>
        </w:trPr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- do uplynutia lehoty splatnosti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3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lang w:val="x-none"/>
              </w:rPr>
              <w:t>0,0</w:t>
            </w:r>
            <w:r>
              <w:rPr>
                <w:rFonts w:ascii="Arial Narrow" w:hAnsi="Arial Narrow" w:cs="Arial Narrow"/>
              </w:rPr>
              <w:t>0</w:t>
            </w:r>
          </w:p>
        </w:tc>
      </w:tr>
      <w:tr w:rsidR="004B0A7F" w:rsidRPr="004B0A7F">
        <w:tblPrEx>
          <w:tblCellSpacing w:w="-8" w:type="nil"/>
        </w:tblPrEx>
        <w:trPr>
          <w:tblCellSpacing w:w="-8" w:type="nil"/>
        </w:trPr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- po uplynutí lehoty splatnosti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3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</w:tr>
      <w:tr w:rsidR="004B0A7F" w:rsidRPr="004B0A7F">
        <w:tblPrEx>
          <w:tblCellSpacing w:w="-8" w:type="nil"/>
        </w:tblPrEx>
        <w:trPr>
          <w:tblCellSpacing w:w="-8" w:type="nil"/>
        </w:trPr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Spolu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0,00</w:t>
            </w:r>
          </w:p>
        </w:tc>
        <w:tc>
          <w:tcPr>
            <w:tcW w:w="3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>
              <w:rPr>
                <w:rFonts w:ascii="Arial Narrow" w:hAnsi="Arial Narrow" w:cs="Arial Narrow"/>
                <w:b/>
                <w:bCs/>
                <w:lang w:val="x-none"/>
              </w:rPr>
              <w:t>0,00</w:t>
            </w:r>
          </w:p>
        </w:tc>
      </w:tr>
    </w:tbl>
    <w:p w:rsidR="004B0A7F" w:rsidRPr="004B0A7F" w:rsidRDefault="004B0A7F" w:rsidP="004B0A7F">
      <w:pPr>
        <w:numPr>
          <w:ilvl w:val="0"/>
          <w:numId w:val="1"/>
        </w:numPr>
        <w:autoSpaceDE w:val="0"/>
        <w:autoSpaceDN w:val="0"/>
        <w:adjustRightInd w:val="0"/>
        <w:spacing w:before="120"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 xml:space="preserve"> Prehľad o významných položkách časového rozlíšenia nákladov budúcich období a príjmov budúcich období.</w:t>
      </w:r>
      <w:r>
        <w:rPr>
          <w:rFonts w:ascii="Arial Narrow" w:hAnsi="Arial Narrow" w:cs="Arial Narrow"/>
        </w:rPr>
        <w:t xml:space="preserve"> </w:t>
      </w:r>
      <w:r w:rsidRPr="004B0A7F">
        <w:rPr>
          <w:rFonts w:ascii="Arial Narrow" w:hAnsi="Arial Narrow" w:cs="Arial Narrow"/>
          <w:lang w:val="x-none"/>
        </w:rPr>
        <w:t>BEZ OBSAHU</w:t>
      </w:r>
    </w:p>
    <w:p w:rsidR="004B0A7F" w:rsidRPr="004B0A7F" w:rsidRDefault="004B0A7F" w:rsidP="004B0A7F">
      <w:pPr>
        <w:numPr>
          <w:ilvl w:val="0"/>
          <w:numId w:val="1"/>
        </w:numPr>
        <w:autoSpaceDE w:val="0"/>
        <w:autoSpaceDN w:val="0"/>
        <w:adjustRightInd w:val="0"/>
        <w:spacing w:before="120"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 xml:space="preserve"> Opis a výška zmien vlastného imania v priebehu bežného účtovného obdobia podľa položiek súvahy.</w:t>
      </w:r>
    </w:p>
    <w:tbl>
      <w:tblPr>
        <w:tblW w:w="10110" w:type="dxa"/>
        <w:tblInd w:w="-83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2016"/>
        <w:gridCol w:w="2046"/>
        <w:gridCol w:w="1444"/>
        <w:gridCol w:w="1294"/>
        <w:gridCol w:w="1414"/>
        <w:gridCol w:w="1896"/>
      </w:tblGrid>
      <w:tr w:rsidR="004B0A7F" w:rsidRPr="004B0A7F" w:rsidTr="00C24DC9"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začiatku bežného účtovného obdobia</w:t>
            </w: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Prírastky</w:t>
            </w:r>
          </w:p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(+)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Úbytky</w:t>
            </w:r>
          </w:p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(-)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Presuny</w:t>
            </w:r>
          </w:p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(+, -)</w:t>
            </w: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konci bežného účtovného obdobia</w:t>
            </w:r>
          </w:p>
        </w:tc>
      </w:tr>
      <w:tr w:rsidR="004B0A7F" w:rsidRPr="004B0A7F" w:rsidTr="00C24DC9">
        <w:tblPrEx>
          <w:tblCellSpacing w:w="-8" w:type="nil"/>
        </w:tblPrEx>
        <w:trPr>
          <w:trHeight w:val="390"/>
          <w:tblCellSpacing w:w="-8" w:type="nil"/>
        </w:trPr>
        <w:tc>
          <w:tcPr>
            <w:tcW w:w="1011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Vlastné imanie</w:t>
            </w:r>
          </w:p>
        </w:tc>
      </w:tr>
      <w:tr w:rsidR="004B0A7F" w:rsidRPr="004B0A7F" w:rsidTr="00C24DC9">
        <w:tblPrEx>
          <w:tblCellSpacing w:w="-8" w:type="nil"/>
        </w:tblPrEx>
        <w:trPr>
          <w:trHeight w:val="390"/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Základné imanie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C24DC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11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z toho:</w:t>
            </w:r>
          </w:p>
        </w:tc>
      </w:tr>
      <w:tr w:rsidR="004B0A7F" w:rsidRPr="004B0A7F" w:rsidTr="00C24DC9">
        <w:tblPrEx>
          <w:tblCellSpacing w:w="-8" w:type="nil"/>
        </w:tblPrEx>
        <w:trPr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- nadačné imanie v nadácii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C24DC9">
        <w:tblPrEx>
          <w:tblCellSpacing w:w="-8" w:type="nil"/>
        </w:tblPrEx>
        <w:trPr>
          <w:trHeight w:val="390"/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- vklady zakladateľov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C24DC9">
        <w:tblPrEx>
          <w:tblCellSpacing w:w="-8" w:type="nil"/>
        </w:tblPrEx>
        <w:trPr>
          <w:trHeight w:val="390"/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- prioritný majetok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C24DC9">
        <w:tblPrEx>
          <w:tblCellSpacing w:w="-8" w:type="nil"/>
        </w:tblPrEx>
        <w:trPr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Fondy tvorené podľa osobitných predpisov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C24DC9">
        <w:tblPrEx>
          <w:tblCellSpacing w:w="-8" w:type="nil"/>
        </w:tblPrEx>
        <w:trPr>
          <w:trHeight w:val="390"/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lastRenderedPageBreak/>
              <w:t>Fond reprodukcie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C24DC9">
        <w:tblPrEx>
          <w:tblCellSpacing w:w="-8" w:type="nil"/>
        </w:tblPrEx>
        <w:trPr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Oceňovacie rozdiely z precenenia kapitálových účastín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C24DC9">
        <w:tblPrEx>
          <w:tblCellSpacing w:w="-8" w:type="nil"/>
        </w:tblPrEx>
        <w:trPr>
          <w:trHeight w:val="390"/>
          <w:tblCellSpacing w:w="-8" w:type="nil"/>
        </w:trPr>
        <w:tc>
          <w:tcPr>
            <w:tcW w:w="1011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Fondy tvorené zo zisku</w:t>
            </w:r>
          </w:p>
        </w:tc>
      </w:tr>
      <w:tr w:rsidR="004B0A7F" w:rsidRPr="004B0A7F" w:rsidTr="00C24DC9">
        <w:tblPrEx>
          <w:tblCellSpacing w:w="-8" w:type="nil"/>
        </w:tblPrEx>
        <w:trPr>
          <w:trHeight w:val="390"/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Rezervný fond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C24DC9">
        <w:tblPrEx>
          <w:tblCellSpacing w:w="-8" w:type="nil"/>
        </w:tblPrEx>
        <w:trPr>
          <w:trHeight w:val="390"/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Fondy tvorené zo zisku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C24DC9">
        <w:tblPrEx>
          <w:tblCellSpacing w:w="-8" w:type="nil"/>
        </w:tblPrEx>
        <w:trPr>
          <w:trHeight w:val="390"/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Ostatné fondy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C24DC9">
        <w:tblPrEx>
          <w:tblCellSpacing w:w="-8" w:type="nil"/>
        </w:tblPrEx>
        <w:trPr>
          <w:trHeight w:val="465"/>
          <w:tblCellSpacing w:w="-8" w:type="nil"/>
        </w:trPr>
        <w:tc>
          <w:tcPr>
            <w:tcW w:w="1011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Výsledok hospodárenia</w:t>
            </w:r>
          </w:p>
        </w:tc>
      </w:tr>
      <w:tr w:rsidR="004B0A7F" w:rsidRPr="004B0A7F" w:rsidTr="00C24DC9">
        <w:tblPrEx>
          <w:tblCellSpacing w:w="-8" w:type="nil"/>
        </w:tblPrEx>
        <w:trPr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Nevysporiadaný výsledok hospodárenia minulých rokov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3A34D4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3A34D4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>
              <w:rPr>
                <w:rFonts w:ascii="Arial Narrow" w:hAnsi="Arial Narrow" w:cs="Arial Narrow"/>
                <w:lang w:val="x-none"/>
              </w:rPr>
              <w:t>0,00</w:t>
            </w:r>
          </w:p>
        </w:tc>
      </w:tr>
      <w:tr w:rsidR="004B0A7F" w:rsidRPr="004B0A7F" w:rsidTr="00C24DC9">
        <w:tblPrEx>
          <w:tblCellSpacing w:w="-8" w:type="nil"/>
        </w:tblPrEx>
        <w:trPr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Výsledok hospodárenia účtovného obdobia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</w:tr>
      <w:tr w:rsidR="004B0A7F" w:rsidRPr="004B0A7F" w:rsidTr="00C24DC9">
        <w:tblPrEx>
          <w:tblCellSpacing w:w="-8" w:type="nil"/>
        </w:tblPrEx>
        <w:trPr>
          <w:trHeight w:val="390"/>
          <w:tblCellSpacing w:w="-8" w:type="nil"/>
        </w:trPr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Spolu</w:t>
            </w:r>
          </w:p>
        </w:tc>
        <w:tc>
          <w:tcPr>
            <w:tcW w:w="2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3A34D4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>
              <w:rPr>
                <w:rFonts w:ascii="Arial Narrow" w:hAnsi="Arial Narrow" w:cs="Arial Narrow"/>
                <w:b/>
                <w:bCs/>
                <w:lang w:val="x-none"/>
              </w:rPr>
              <w:t>0,00</w:t>
            </w: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0,00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0,00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0,00</w:t>
            </w: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3A34D4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>
              <w:rPr>
                <w:rFonts w:ascii="Arial Narrow" w:hAnsi="Arial Narrow" w:cs="Arial Narrow"/>
                <w:b/>
                <w:bCs/>
                <w:lang w:val="x-none"/>
              </w:rPr>
              <w:t>0,00</w:t>
            </w:r>
          </w:p>
        </w:tc>
      </w:tr>
    </w:tbl>
    <w:p w:rsidR="00C24DC9" w:rsidRPr="00C24DC9" w:rsidRDefault="00C24DC9" w:rsidP="00C24DC9">
      <w:pPr>
        <w:pStyle w:val="Odsekzoznamu"/>
        <w:keepNext/>
        <w:numPr>
          <w:ilvl w:val="0"/>
          <w:numId w:val="1"/>
        </w:numPr>
        <w:autoSpaceDE w:val="0"/>
        <w:autoSpaceDN w:val="0"/>
        <w:adjustRightInd w:val="0"/>
        <w:spacing w:before="120" w:after="120" w:line="252" w:lineRule="auto"/>
        <w:jc w:val="both"/>
        <w:rPr>
          <w:rFonts w:ascii="Arial Narrow" w:hAnsi="Arial Narrow" w:cs="Arial Narrow"/>
          <w:lang w:val="x-none"/>
        </w:rPr>
      </w:pPr>
      <w:r w:rsidRPr="00C24DC9">
        <w:rPr>
          <w:rFonts w:ascii="Arial Narrow" w:hAnsi="Arial Narrow" w:cs="Arial Narrow"/>
          <w:lang w:val="x-none"/>
        </w:rPr>
        <w:t>Opis a vyčíslenie jednotlivých druhov fondov tvorených podľa osobitných predpisov: BEZ OBSAHU.</w:t>
      </w:r>
    </w:p>
    <w:p w:rsidR="004B0A7F" w:rsidRPr="00C24DC9" w:rsidRDefault="004B0A7F" w:rsidP="00C24DC9">
      <w:pPr>
        <w:pStyle w:val="Odsekzoznamu"/>
        <w:keepNext/>
        <w:numPr>
          <w:ilvl w:val="0"/>
          <w:numId w:val="1"/>
        </w:numPr>
        <w:autoSpaceDE w:val="0"/>
        <w:autoSpaceDN w:val="0"/>
        <w:adjustRightInd w:val="0"/>
        <w:spacing w:before="120" w:after="120" w:line="252" w:lineRule="auto"/>
        <w:jc w:val="both"/>
        <w:rPr>
          <w:rFonts w:ascii="Arial Narrow" w:hAnsi="Arial Narrow" w:cs="Arial Narrow"/>
          <w:lang w:val="x-none"/>
        </w:rPr>
      </w:pPr>
      <w:r w:rsidRPr="00C24DC9">
        <w:rPr>
          <w:rFonts w:ascii="Arial Narrow" w:hAnsi="Arial Narrow" w:cs="Arial Narrow"/>
          <w:lang w:val="x-none"/>
        </w:rPr>
        <w:t>Informácia o rozdelení účtovného zisku alebo o vysporiadaní účtovnej straty za bezprostredne predchádzajúce účtovné obdobie. BEZ OBSAHU</w:t>
      </w:r>
    </w:p>
    <w:tbl>
      <w:tblPr>
        <w:tblW w:w="4700" w:type="pct"/>
        <w:tblInd w:w="-113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910"/>
        <w:gridCol w:w="5565"/>
      </w:tblGrid>
      <w:tr w:rsidR="004B0A7F" w:rsidRPr="004B0A7F">
        <w:trPr>
          <w:trHeight w:val="76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keepNext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Názov položky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keepNext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Bezprostredne predchádzajúce účtovné obdobie</w:t>
            </w: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b/>
                <w:bCs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color w:val="000000"/>
                <w:lang w:val="x-none"/>
              </w:rPr>
              <w:t>Účtovný zisk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0</w:t>
            </w: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105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b/>
                <w:bCs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color w:val="000000"/>
                <w:lang w:val="x-none"/>
              </w:rPr>
              <w:t>Rozdelenie účtovného zisku</w:t>
            </w: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Prídel do základného imania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Prídel do f</w:t>
            </w:r>
            <w:r w:rsidRPr="004B0A7F">
              <w:rPr>
                <w:rFonts w:ascii="Arial Narrow" w:hAnsi="Arial Narrow" w:cs="Arial Narrow"/>
                <w:lang w:val="x-none"/>
              </w:rPr>
              <w:t>ondov tvorených podľa osobitných predpisov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Prídel do fondu reprodukcie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Prídel do rezervného fondu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Prídel do fondov tvorených zo zisku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Prídel do ostatných fondov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Úhrada straty minulých období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 xml:space="preserve">Prevod do sociálneho fondu 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lastRenderedPageBreak/>
              <w:t>Prevod  do n</w:t>
            </w:r>
            <w:r w:rsidRPr="004B0A7F">
              <w:rPr>
                <w:rFonts w:ascii="Arial Narrow" w:hAnsi="Arial Narrow" w:cs="Arial Narrow"/>
                <w:lang w:val="x-none"/>
              </w:rPr>
              <w:t>evysporiadaného výsledku hospodárenia minulých rokov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 xml:space="preserve">Iné 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b/>
                <w:bCs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color w:val="000000"/>
                <w:lang w:val="x-none"/>
              </w:rPr>
              <w:t>Účtovná strata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105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b/>
                <w:bCs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color w:val="000000"/>
                <w:lang w:val="x-none"/>
              </w:rPr>
              <w:t>Vysporiadanie účtovnej straty</w:t>
            </w: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Zo základného imania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Z rezervného fondu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Z fondov tvorených zo zisku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Z ostatných fondov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Z nerozdeleného zisku minulých rokov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>Prevod do n</w:t>
            </w:r>
            <w:r w:rsidRPr="004B0A7F">
              <w:rPr>
                <w:rFonts w:ascii="Arial Narrow" w:hAnsi="Arial Narrow" w:cs="Arial Narrow"/>
                <w:lang w:val="x-none"/>
              </w:rPr>
              <w:t>evysporiadaného výsledku hospodárenia minulých rokov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  <w:tr w:rsidR="004B0A7F" w:rsidRPr="004B0A7F">
        <w:tblPrEx>
          <w:tblCellSpacing w:w="-8" w:type="nil"/>
        </w:tblPrEx>
        <w:trPr>
          <w:trHeight w:val="33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both"/>
              <w:rPr>
                <w:rFonts w:ascii="Arial Narrow" w:hAnsi="Arial Narrow" w:cs="Arial Narrow"/>
                <w:color w:val="000000"/>
                <w:lang w:val="x-none"/>
              </w:rPr>
            </w:pPr>
            <w:r w:rsidRPr="004B0A7F">
              <w:rPr>
                <w:rFonts w:ascii="Arial Narrow" w:hAnsi="Arial Narrow" w:cs="Arial Narrow"/>
                <w:color w:val="000000"/>
                <w:lang w:val="x-none"/>
              </w:rPr>
              <w:t xml:space="preserve">Iné </w:t>
            </w:r>
          </w:p>
        </w:tc>
        <w:tc>
          <w:tcPr>
            <w:tcW w:w="5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color w:val="000000"/>
                <w:lang w:val="x-none"/>
              </w:rPr>
            </w:pPr>
          </w:p>
        </w:tc>
      </w:tr>
    </w:tbl>
    <w:p w:rsidR="004B0A7F" w:rsidRDefault="004B0A7F" w:rsidP="004B0A7F">
      <w:pPr>
        <w:numPr>
          <w:ilvl w:val="0"/>
          <w:numId w:val="1"/>
        </w:numPr>
        <w:autoSpaceDE w:val="0"/>
        <w:autoSpaceDN w:val="0"/>
        <w:adjustRightInd w:val="0"/>
        <w:spacing w:before="120"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 xml:space="preserve"> 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6"/>
        <w:gridCol w:w="1888"/>
        <w:gridCol w:w="1190"/>
        <w:gridCol w:w="1298"/>
        <w:gridCol w:w="1330"/>
        <w:gridCol w:w="1554"/>
      </w:tblGrid>
      <w:tr w:rsidR="00601FC7" w:rsidRPr="00D90FC4" w:rsidTr="00CB6C82">
        <w:tc>
          <w:tcPr>
            <w:tcW w:w="1836" w:type="dxa"/>
            <w:vAlign w:val="center"/>
          </w:tcPr>
          <w:p w:rsidR="00601FC7" w:rsidRPr="00D90FC4" w:rsidRDefault="00601FC7" w:rsidP="00CB6C82">
            <w:pPr>
              <w:keepNext/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Druh rezervy</w:t>
            </w:r>
          </w:p>
        </w:tc>
        <w:tc>
          <w:tcPr>
            <w:tcW w:w="1888" w:type="dxa"/>
            <w:vAlign w:val="center"/>
          </w:tcPr>
          <w:p w:rsidR="00601FC7" w:rsidRPr="00D90FC4" w:rsidRDefault="00601FC7" w:rsidP="00CB6C82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  <w:lang w:eastAsia="sk-SK"/>
              </w:rPr>
              <w:t xml:space="preserve">Stav na </w:t>
            </w:r>
            <w:r>
              <w:rPr>
                <w:b/>
              </w:rPr>
              <w:t xml:space="preserve">konci bezprostredne predchádzajúceho </w:t>
            </w:r>
            <w:r w:rsidRPr="00D90FC4">
              <w:rPr>
                <w:b/>
                <w:lang w:eastAsia="sk-SK"/>
              </w:rPr>
              <w:t>účtovného obdobia</w:t>
            </w:r>
          </w:p>
        </w:tc>
        <w:tc>
          <w:tcPr>
            <w:tcW w:w="1190" w:type="dxa"/>
            <w:vAlign w:val="center"/>
          </w:tcPr>
          <w:p w:rsidR="00601FC7" w:rsidRPr="00D90FC4" w:rsidRDefault="00601FC7" w:rsidP="00CB6C82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Tvorba rezerv</w:t>
            </w:r>
          </w:p>
        </w:tc>
        <w:tc>
          <w:tcPr>
            <w:tcW w:w="1298" w:type="dxa"/>
            <w:vAlign w:val="center"/>
          </w:tcPr>
          <w:p w:rsidR="00601FC7" w:rsidRPr="00D90FC4" w:rsidRDefault="00601FC7" w:rsidP="00CB6C82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Použitie rezerv</w:t>
            </w:r>
          </w:p>
        </w:tc>
        <w:tc>
          <w:tcPr>
            <w:tcW w:w="1330" w:type="dxa"/>
            <w:vAlign w:val="center"/>
          </w:tcPr>
          <w:p w:rsidR="00601FC7" w:rsidRPr="00D90FC4" w:rsidRDefault="00601FC7" w:rsidP="00CB6C82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Zrušenie rezerv</w:t>
            </w:r>
          </w:p>
        </w:tc>
        <w:tc>
          <w:tcPr>
            <w:tcW w:w="1554" w:type="dxa"/>
            <w:vAlign w:val="center"/>
          </w:tcPr>
          <w:p w:rsidR="00601FC7" w:rsidRPr="00D90FC4" w:rsidRDefault="00601FC7" w:rsidP="00CB6C82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  <w:lang w:eastAsia="sk-SK"/>
              </w:rPr>
              <w:t>Stav na konci bežného účtovného obdobia</w:t>
            </w:r>
          </w:p>
        </w:tc>
      </w:tr>
      <w:tr w:rsidR="00601FC7" w:rsidRPr="00D90FC4" w:rsidTr="00CB6C82">
        <w:tc>
          <w:tcPr>
            <w:tcW w:w="1836" w:type="dxa"/>
            <w:vAlign w:val="center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Krátkodobé zákonné rezervy</w:t>
            </w:r>
          </w:p>
        </w:tc>
        <w:tc>
          <w:tcPr>
            <w:tcW w:w="1888" w:type="dxa"/>
          </w:tcPr>
          <w:p w:rsidR="00601FC7" w:rsidRDefault="00601FC7" w:rsidP="00CB6C82">
            <w:pPr>
              <w:spacing w:after="0" w:line="240" w:lineRule="auto"/>
              <w:rPr>
                <w:b/>
              </w:rPr>
            </w:pPr>
            <w:r>
              <w:t>0</w:t>
            </w:r>
          </w:p>
        </w:tc>
        <w:tc>
          <w:tcPr>
            <w:tcW w:w="1190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>
              <w:t>0</w:t>
            </w:r>
          </w:p>
        </w:tc>
        <w:tc>
          <w:tcPr>
            <w:tcW w:w="1298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>
              <w:t>0</w:t>
            </w:r>
          </w:p>
        </w:tc>
        <w:tc>
          <w:tcPr>
            <w:tcW w:w="1330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>
              <w:t>0</w:t>
            </w:r>
          </w:p>
        </w:tc>
        <w:tc>
          <w:tcPr>
            <w:tcW w:w="1554" w:type="dxa"/>
          </w:tcPr>
          <w:p w:rsidR="00601FC7" w:rsidRDefault="00601FC7" w:rsidP="00CB6C82">
            <w:pPr>
              <w:spacing w:after="0" w:line="240" w:lineRule="auto"/>
              <w:rPr>
                <w:b/>
              </w:rPr>
            </w:pPr>
            <w:r>
              <w:t>0</w:t>
            </w:r>
          </w:p>
        </w:tc>
      </w:tr>
      <w:tr w:rsidR="00601FC7" w:rsidRPr="00D90FC4" w:rsidTr="00CB6C82">
        <w:tc>
          <w:tcPr>
            <w:tcW w:w="1836" w:type="dxa"/>
            <w:vAlign w:val="center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Dlhodobé zákonné rezervy</w:t>
            </w:r>
          </w:p>
        </w:tc>
        <w:tc>
          <w:tcPr>
            <w:tcW w:w="1888" w:type="dxa"/>
          </w:tcPr>
          <w:p w:rsidR="00601FC7" w:rsidRDefault="00601FC7" w:rsidP="00CB6C82">
            <w:pPr>
              <w:spacing w:after="0" w:line="240" w:lineRule="auto"/>
              <w:rPr>
                <w:b/>
              </w:rPr>
            </w:pPr>
            <w:r>
              <w:t>0</w:t>
            </w:r>
          </w:p>
        </w:tc>
        <w:tc>
          <w:tcPr>
            <w:tcW w:w="1190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>
              <w:t>0</w:t>
            </w:r>
          </w:p>
        </w:tc>
        <w:tc>
          <w:tcPr>
            <w:tcW w:w="1298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>
              <w:t>0</w:t>
            </w:r>
          </w:p>
        </w:tc>
        <w:tc>
          <w:tcPr>
            <w:tcW w:w="1330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>
              <w:t>0</w:t>
            </w:r>
          </w:p>
        </w:tc>
        <w:tc>
          <w:tcPr>
            <w:tcW w:w="1554" w:type="dxa"/>
          </w:tcPr>
          <w:p w:rsidR="00601FC7" w:rsidRDefault="00601FC7" w:rsidP="00CB6C82">
            <w:pPr>
              <w:spacing w:after="0" w:line="240" w:lineRule="auto"/>
              <w:rPr>
                <w:b/>
              </w:rPr>
            </w:pPr>
            <w:r>
              <w:t>0</w:t>
            </w:r>
          </w:p>
        </w:tc>
      </w:tr>
      <w:tr w:rsidR="00601FC7" w:rsidRPr="00D90FC4" w:rsidTr="00CB6C82">
        <w:tc>
          <w:tcPr>
            <w:tcW w:w="1836" w:type="dxa"/>
            <w:vAlign w:val="center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 w:rsidRPr="00D90FC4">
              <w:rPr>
                <w:b/>
              </w:rPr>
              <w:t>Zákonné rezervy spolu</w:t>
            </w:r>
          </w:p>
        </w:tc>
        <w:tc>
          <w:tcPr>
            <w:tcW w:w="1888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90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</w:p>
        </w:tc>
        <w:tc>
          <w:tcPr>
            <w:tcW w:w="1298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</w:p>
        </w:tc>
        <w:tc>
          <w:tcPr>
            <w:tcW w:w="1330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</w:p>
        </w:tc>
        <w:tc>
          <w:tcPr>
            <w:tcW w:w="1554" w:type="dxa"/>
          </w:tcPr>
          <w:p w:rsidR="00601FC7" w:rsidRPr="00D90FC4" w:rsidRDefault="00601FC7" w:rsidP="00CB6C8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601FC7" w:rsidRPr="00D90FC4" w:rsidTr="00CB6C82">
        <w:tc>
          <w:tcPr>
            <w:tcW w:w="1836" w:type="dxa"/>
            <w:vAlign w:val="center"/>
          </w:tcPr>
          <w:p w:rsidR="00601FC7" w:rsidRPr="00691A52" w:rsidRDefault="00601FC7" w:rsidP="00CB6C82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</w:rPr>
              <w:t>Krátkodobé ostatné rezervy (na</w:t>
            </w:r>
            <w:r w:rsidRPr="00691A52">
              <w:rPr>
                <w:bCs/>
              </w:rPr>
              <w:t xml:space="preserve"> audit</w:t>
            </w:r>
            <w:r>
              <w:rPr>
                <w:bCs/>
              </w:rPr>
              <w:t xml:space="preserve"> a zostavenie účtovnej závierky)</w:t>
            </w:r>
            <w:r w:rsidRPr="00691A52">
              <w:rPr>
                <w:bCs/>
              </w:rPr>
              <w:t xml:space="preserve"> </w:t>
            </w:r>
          </w:p>
        </w:tc>
        <w:tc>
          <w:tcPr>
            <w:tcW w:w="1888" w:type="dxa"/>
          </w:tcPr>
          <w:p w:rsidR="00601FC7" w:rsidRPr="00D90FC4" w:rsidRDefault="003A34D4" w:rsidP="00CB6C82">
            <w:pPr>
              <w:spacing w:after="0" w:line="240" w:lineRule="auto"/>
            </w:pPr>
            <w:r>
              <w:t>0</w:t>
            </w:r>
          </w:p>
        </w:tc>
        <w:tc>
          <w:tcPr>
            <w:tcW w:w="1190" w:type="dxa"/>
          </w:tcPr>
          <w:p w:rsidR="00601FC7" w:rsidRPr="00D90FC4" w:rsidRDefault="003A34D4" w:rsidP="00CB6C82">
            <w:pPr>
              <w:spacing w:after="0" w:line="240" w:lineRule="auto"/>
            </w:pPr>
            <w:r>
              <w:t>0</w:t>
            </w:r>
          </w:p>
        </w:tc>
        <w:tc>
          <w:tcPr>
            <w:tcW w:w="1298" w:type="dxa"/>
          </w:tcPr>
          <w:p w:rsidR="00601FC7" w:rsidRPr="00D90FC4" w:rsidRDefault="003A34D4" w:rsidP="00CB6C82">
            <w:pPr>
              <w:spacing w:after="0" w:line="240" w:lineRule="auto"/>
            </w:pPr>
            <w:r>
              <w:t>0</w:t>
            </w:r>
          </w:p>
        </w:tc>
        <w:tc>
          <w:tcPr>
            <w:tcW w:w="1330" w:type="dxa"/>
          </w:tcPr>
          <w:p w:rsidR="00601FC7" w:rsidRPr="00D90FC4" w:rsidRDefault="00601FC7" w:rsidP="00CB6C82">
            <w:pPr>
              <w:spacing w:after="0" w:line="240" w:lineRule="auto"/>
            </w:pPr>
            <w:r w:rsidRPr="002D5453">
              <w:t>0</w:t>
            </w:r>
          </w:p>
        </w:tc>
        <w:tc>
          <w:tcPr>
            <w:tcW w:w="1554" w:type="dxa"/>
          </w:tcPr>
          <w:p w:rsidR="00601FC7" w:rsidRPr="00D90FC4" w:rsidRDefault="003A34D4" w:rsidP="00CB6C82">
            <w:pPr>
              <w:spacing w:after="0" w:line="240" w:lineRule="auto"/>
            </w:pPr>
            <w:r>
              <w:t>0</w:t>
            </w:r>
          </w:p>
        </w:tc>
      </w:tr>
      <w:tr w:rsidR="00601FC7" w:rsidRPr="00D90FC4" w:rsidTr="00CB6C82">
        <w:tc>
          <w:tcPr>
            <w:tcW w:w="1836" w:type="dxa"/>
            <w:vAlign w:val="center"/>
          </w:tcPr>
          <w:p w:rsidR="00601FC7" w:rsidRPr="00691A52" w:rsidRDefault="00601FC7" w:rsidP="00CB6C82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Dlhodobé ostatné rezervy</w:t>
            </w:r>
          </w:p>
        </w:tc>
        <w:tc>
          <w:tcPr>
            <w:tcW w:w="1888" w:type="dxa"/>
          </w:tcPr>
          <w:p w:rsidR="00601FC7" w:rsidRPr="00D90FC4" w:rsidRDefault="00601FC7" w:rsidP="00CB6C82">
            <w:pPr>
              <w:spacing w:after="0" w:line="240" w:lineRule="auto"/>
            </w:pPr>
            <w:r>
              <w:t>0</w:t>
            </w:r>
          </w:p>
        </w:tc>
        <w:tc>
          <w:tcPr>
            <w:tcW w:w="1190" w:type="dxa"/>
          </w:tcPr>
          <w:p w:rsidR="00601FC7" w:rsidRPr="00D90FC4" w:rsidRDefault="00601FC7" w:rsidP="00CB6C82">
            <w:pPr>
              <w:spacing w:after="0" w:line="240" w:lineRule="auto"/>
            </w:pPr>
            <w:r>
              <w:t>0</w:t>
            </w:r>
          </w:p>
        </w:tc>
        <w:tc>
          <w:tcPr>
            <w:tcW w:w="1298" w:type="dxa"/>
          </w:tcPr>
          <w:p w:rsidR="00601FC7" w:rsidRPr="00D90FC4" w:rsidRDefault="00601FC7" w:rsidP="00CB6C82">
            <w:pPr>
              <w:spacing w:after="0" w:line="240" w:lineRule="auto"/>
            </w:pPr>
            <w:r>
              <w:t>0</w:t>
            </w:r>
          </w:p>
        </w:tc>
        <w:tc>
          <w:tcPr>
            <w:tcW w:w="1330" w:type="dxa"/>
          </w:tcPr>
          <w:p w:rsidR="00601FC7" w:rsidRPr="00D90FC4" w:rsidRDefault="00601FC7" w:rsidP="00CB6C82">
            <w:pPr>
              <w:spacing w:after="0" w:line="240" w:lineRule="auto"/>
            </w:pPr>
            <w:r>
              <w:t>0</w:t>
            </w:r>
          </w:p>
        </w:tc>
        <w:tc>
          <w:tcPr>
            <w:tcW w:w="1554" w:type="dxa"/>
          </w:tcPr>
          <w:p w:rsidR="00601FC7" w:rsidRPr="00D90FC4" w:rsidRDefault="00601FC7" w:rsidP="00CB6C82">
            <w:pPr>
              <w:spacing w:after="0" w:line="240" w:lineRule="auto"/>
            </w:pPr>
            <w:r>
              <w:t>0</w:t>
            </w:r>
          </w:p>
        </w:tc>
      </w:tr>
      <w:tr w:rsidR="00601FC7" w:rsidRPr="00245120" w:rsidTr="00CB6C82">
        <w:trPr>
          <w:trHeight w:val="374"/>
        </w:trPr>
        <w:tc>
          <w:tcPr>
            <w:tcW w:w="1836" w:type="dxa"/>
            <w:vAlign w:val="center"/>
          </w:tcPr>
          <w:p w:rsidR="00601FC7" w:rsidRPr="00245120" w:rsidRDefault="00601FC7" w:rsidP="00CB6C82">
            <w:pPr>
              <w:spacing w:after="0" w:line="240" w:lineRule="auto"/>
              <w:rPr>
                <w:b/>
              </w:rPr>
            </w:pPr>
            <w:r w:rsidRPr="00245120">
              <w:rPr>
                <w:b/>
              </w:rPr>
              <w:t>Rezervy spolu</w:t>
            </w:r>
          </w:p>
        </w:tc>
        <w:tc>
          <w:tcPr>
            <w:tcW w:w="1888" w:type="dxa"/>
            <w:vAlign w:val="center"/>
          </w:tcPr>
          <w:p w:rsidR="00601FC7" w:rsidRPr="00245120" w:rsidRDefault="003A34D4" w:rsidP="00CB6C8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90" w:type="dxa"/>
            <w:vAlign w:val="center"/>
          </w:tcPr>
          <w:p w:rsidR="00601FC7" w:rsidRPr="00245120" w:rsidRDefault="003A34D4" w:rsidP="00CB6C8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98" w:type="dxa"/>
            <w:vAlign w:val="center"/>
          </w:tcPr>
          <w:p w:rsidR="00601FC7" w:rsidRPr="00245120" w:rsidRDefault="003A34D4" w:rsidP="00CB6C8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330" w:type="dxa"/>
            <w:vAlign w:val="center"/>
          </w:tcPr>
          <w:p w:rsidR="00601FC7" w:rsidRPr="00245120" w:rsidRDefault="00C24DC9" w:rsidP="00CB6C8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54" w:type="dxa"/>
            <w:vAlign w:val="center"/>
          </w:tcPr>
          <w:p w:rsidR="00601FC7" w:rsidRPr="00245120" w:rsidRDefault="003A34D4" w:rsidP="00CB6C8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601FC7" w:rsidRPr="004B0A7F" w:rsidRDefault="00601FC7" w:rsidP="00601FC7">
      <w:pPr>
        <w:autoSpaceDE w:val="0"/>
        <w:autoSpaceDN w:val="0"/>
        <w:adjustRightInd w:val="0"/>
        <w:spacing w:before="120" w:after="120" w:line="252" w:lineRule="auto"/>
        <w:jc w:val="both"/>
        <w:rPr>
          <w:rFonts w:ascii="Arial Narrow" w:hAnsi="Arial Narrow" w:cs="Arial Narrow"/>
          <w:lang w:val="x-none"/>
        </w:rPr>
      </w:pPr>
    </w:p>
    <w:p w:rsidR="004B0A7F" w:rsidRPr="004B0A7F" w:rsidRDefault="004B0A7F" w:rsidP="005F4429">
      <w:pPr>
        <w:keepNext/>
        <w:numPr>
          <w:ilvl w:val="0"/>
          <w:numId w:val="1"/>
        </w:num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  <w:sz w:val="20"/>
          <w:szCs w:val="20"/>
          <w:lang w:val="x-none"/>
        </w:rPr>
      </w:pPr>
      <w:r w:rsidRPr="004B0A7F">
        <w:rPr>
          <w:rFonts w:ascii="Arial Narrow" w:hAnsi="Arial Narrow" w:cs="Arial Narrow"/>
          <w:sz w:val="20"/>
          <w:szCs w:val="20"/>
          <w:lang w:val="x-none"/>
        </w:rPr>
        <w:lastRenderedPageBreak/>
        <w:t xml:space="preserve"> Údaje o významných sumách záväzkov v nadväznosti na položky súvahy, v členení na záväzky za hlavnú nezdaňovanú činnosť a zdaňovanú činnosť. </w:t>
      </w:r>
    </w:p>
    <w:tbl>
      <w:tblPr>
        <w:tblW w:w="10230" w:type="dxa"/>
        <w:tblInd w:w="-83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513"/>
        <w:gridCol w:w="3159"/>
        <w:gridCol w:w="2558"/>
      </w:tblGrid>
      <w:tr w:rsidR="004B0A7F" w:rsidRPr="004B0A7F" w:rsidTr="004B0A7F">
        <w:tc>
          <w:tcPr>
            <w:tcW w:w="4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5F4429">
            <w:pPr>
              <w:keepNext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  <w:t xml:space="preserve">Druh a opis významných položiek záväzkov </w:t>
            </w:r>
          </w:p>
        </w:tc>
        <w:tc>
          <w:tcPr>
            <w:tcW w:w="3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5F4429">
            <w:pPr>
              <w:keepNext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  <w:t>Hlavná nezdaňovaná činnosť</w:t>
            </w:r>
          </w:p>
        </w:tc>
        <w:tc>
          <w:tcPr>
            <w:tcW w:w="2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5F4429">
            <w:pPr>
              <w:keepNext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  <w:t>Zdaňovaná činnosť</w:t>
            </w: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4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5F4429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sz w:val="20"/>
                <w:szCs w:val="20"/>
                <w:lang w:val="x-none"/>
              </w:rPr>
              <w:t>Dodávatelia tuzemsko</w:t>
            </w:r>
          </w:p>
        </w:tc>
        <w:tc>
          <w:tcPr>
            <w:tcW w:w="3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5F4429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sz w:val="20"/>
                <w:szCs w:val="20"/>
                <w:lang w:val="x-none"/>
              </w:rPr>
              <w:t>240,00</w:t>
            </w:r>
          </w:p>
        </w:tc>
        <w:tc>
          <w:tcPr>
            <w:tcW w:w="2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5F4429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sz w:val="20"/>
                <w:szCs w:val="20"/>
                <w:lang w:val="x-none"/>
              </w:rPr>
              <w:t>0</w:t>
            </w:r>
          </w:p>
        </w:tc>
      </w:tr>
    </w:tbl>
    <w:p w:rsidR="004B0A7F" w:rsidRPr="004B0A7F" w:rsidRDefault="004B0A7F" w:rsidP="005F4429">
      <w:pPr>
        <w:autoSpaceDE w:val="0"/>
        <w:autoSpaceDN w:val="0"/>
        <w:adjustRightInd w:val="0"/>
        <w:spacing w:after="165" w:line="240" w:lineRule="auto"/>
        <w:rPr>
          <w:rFonts w:ascii="Arial Narrow" w:hAnsi="Arial Narrow" w:cs="Arial Narrow"/>
          <w:sz w:val="20"/>
          <w:szCs w:val="20"/>
          <w:lang w:val="x-none"/>
        </w:rPr>
      </w:pPr>
    </w:p>
    <w:p w:rsidR="004B0A7F" w:rsidRPr="004B0A7F" w:rsidRDefault="004B0A7F" w:rsidP="005F4429">
      <w:pPr>
        <w:keepNext/>
        <w:numPr>
          <w:ilvl w:val="0"/>
          <w:numId w:val="1"/>
        </w:numPr>
        <w:autoSpaceDE w:val="0"/>
        <w:autoSpaceDN w:val="0"/>
        <w:adjustRightInd w:val="0"/>
        <w:spacing w:before="240" w:after="120" w:line="240" w:lineRule="auto"/>
        <w:jc w:val="both"/>
        <w:rPr>
          <w:rFonts w:ascii="Arial Narrow" w:hAnsi="Arial Narrow" w:cs="Arial Narrow"/>
          <w:sz w:val="20"/>
          <w:szCs w:val="20"/>
          <w:lang w:val="x-none"/>
        </w:rPr>
      </w:pPr>
      <w:r w:rsidRPr="004B0A7F">
        <w:rPr>
          <w:rFonts w:ascii="Arial Narrow" w:hAnsi="Arial Narrow" w:cs="Arial Narrow"/>
          <w:sz w:val="20"/>
          <w:szCs w:val="20"/>
          <w:lang w:val="x-none"/>
        </w:rPr>
        <w:t xml:space="preserve"> Prehľad záväzkov do uplynutia lehoty splatnosti a po uplynutí lehoty splatnosti.</w:t>
      </w:r>
    </w:p>
    <w:tbl>
      <w:tblPr>
        <w:tblW w:w="9900" w:type="dxa"/>
        <w:tblInd w:w="22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123"/>
        <w:gridCol w:w="2738"/>
        <w:gridCol w:w="3039"/>
      </w:tblGrid>
      <w:tr w:rsidR="004B0A7F" w:rsidRPr="004B0A7F">
        <w:trPr>
          <w:trHeight w:val="615"/>
        </w:trPr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5F4429">
            <w:pPr>
              <w:keepNext/>
              <w:autoSpaceDE w:val="0"/>
              <w:autoSpaceDN w:val="0"/>
              <w:adjustRightInd w:val="0"/>
              <w:spacing w:after="165" w:line="240" w:lineRule="auto"/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  <w:t>Záväzky</w:t>
            </w:r>
          </w:p>
        </w:tc>
        <w:tc>
          <w:tcPr>
            <w:tcW w:w="2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5F4429">
            <w:pPr>
              <w:keepNext/>
              <w:autoSpaceDE w:val="0"/>
              <w:autoSpaceDN w:val="0"/>
              <w:adjustRightInd w:val="0"/>
              <w:spacing w:after="165" w:line="240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  <w:t>Stav na konci bezprostredne predchádzajúceho účtovného obdobia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5F4429">
            <w:pPr>
              <w:keepNext/>
              <w:autoSpaceDE w:val="0"/>
              <w:autoSpaceDN w:val="0"/>
              <w:adjustRightInd w:val="0"/>
              <w:spacing w:after="165" w:line="240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  <w:t>Stav na konci bežného účtovného obdobia</w:t>
            </w:r>
          </w:p>
        </w:tc>
      </w:tr>
      <w:tr w:rsidR="004B0A7F" w:rsidRPr="004B0A7F">
        <w:tblPrEx>
          <w:tblCellSpacing w:w="-8" w:type="nil"/>
        </w:tblPrEx>
        <w:trPr>
          <w:trHeight w:val="375"/>
          <w:tblCellSpacing w:w="-8" w:type="nil"/>
        </w:trPr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5F4429">
            <w:pPr>
              <w:autoSpaceDE w:val="0"/>
              <w:autoSpaceDN w:val="0"/>
              <w:adjustRightInd w:val="0"/>
              <w:spacing w:after="165" w:line="240" w:lineRule="auto"/>
              <w:rPr>
                <w:rFonts w:ascii="Arial Narrow" w:hAnsi="Arial Narrow" w:cs="Arial Narrow"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sz w:val="20"/>
                <w:szCs w:val="20"/>
                <w:lang w:val="x-none"/>
              </w:rPr>
              <w:t xml:space="preserve">- do uplynutia lehoty splatnosti </w:t>
            </w:r>
          </w:p>
        </w:tc>
        <w:tc>
          <w:tcPr>
            <w:tcW w:w="2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D26D5" w:rsidRDefault="004D26D5" w:rsidP="005F4429">
            <w:pPr>
              <w:autoSpaceDE w:val="0"/>
              <w:autoSpaceDN w:val="0"/>
              <w:adjustRightInd w:val="0"/>
              <w:spacing w:after="165" w:line="240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240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D26D5" w:rsidP="005F4429">
            <w:pPr>
              <w:autoSpaceDE w:val="0"/>
              <w:autoSpaceDN w:val="0"/>
              <w:adjustRightInd w:val="0"/>
              <w:spacing w:after="165" w:line="240" w:lineRule="auto"/>
              <w:rPr>
                <w:rFonts w:ascii="Arial Narrow" w:hAnsi="Arial Narrow" w:cs="Arial Narrow"/>
                <w:sz w:val="20"/>
                <w:szCs w:val="20"/>
                <w:lang w:val="x-none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x-none"/>
              </w:rPr>
              <w:t>0</w:t>
            </w:r>
          </w:p>
        </w:tc>
      </w:tr>
      <w:tr w:rsidR="004B0A7F" w:rsidRPr="004B0A7F">
        <w:tblPrEx>
          <w:tblCellSpacing w:w="-8" w:type="nil"/>
        </w:tblPrEx>
        <w:trPr>
          <w:trHeight w:val="375"/>
          <w:tblCellSpacing w:w="-8" w:type="nil"/>
        </w:trPr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5F4429">
            <w:pPr>
              <w:autoSpaceDE w:val="0"/>
              <w:autoSpaceDN w:val="0"/>
              <w:adjustRightInd w:val="0"/>
              <w:spacing w:after="165" w:line="240" w:lineRule="auto"/>
              <w:rPr>
                <w:rFonts w:ascii="Arial Narrow" w:hAnsi="Arial Narrow" w:cs="Arial Narrow"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sz w:val="20"/>
                <w:szCs w:val="20"/>
                <w:lang w:val="x-none"/>
              </w:rPr>
              <w:t>- po uplynutí lehoty splatnosti</w:t>
            </w:r>
          </w:p>
        </w:tc>
        <w:tc>
          <w:tcPr>
            <w:tcW w:w="2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5F4429">
            <w:pPr>
              <w:autoSpaceDE w:val="0"/>
              <w:autoSpaceDN w:val="0"/>
              <w:adjustRightInd w:val="0"/>
              <w:spacing w:after="165" w:line="240" w:lineRule="auto"/>
              <w:rPr>
                <w:rFonts w:ascii="Arial Narrow" w:hAnsi="Arial Narrow" w:cs="Arial Narrow"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sz w:val="20"/>
                <w:szCs w:val="20"/>
                <w:lang w:val="x-none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5F4429">
            <w:pPr>
              <w:autoSpaceDE w:val="0"/>
              <w:autoSpaceDN w:val="0"/>
              <w:adjustRightInd w:val="0"/>
              <w:spacing w:after="165" w:line="240" w:lineRule="auto"/>
              <w:rPr>
                <w:rFonts w:ascii="Arial Narrow" w:hAnsi="Arial Narrow" w:cs="Arial Narrow"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sz w:val="20"/>
                <w:szCs w:val="20"/>
                <w:lang w:val="x-none"/>
              </w:rPr>
              <w:t>0</w:t>
            </w:r>
          </w:p>
        </w:tc>
      </w:tr>
      <w:tr w:rsidR="004B0A7F" w:rsidRPr="004B0A7F">
        <w:tblPrEx>
          <w:tblCellSpacing w:w="-8" w:type="nil"/>
        </w:tblPrEx>
        <w:trPr>
          <w:trHeight w:val="375"/>
          <w:tblCellSpacing w:w="-8" w:type="nil"/>
        </w:trPr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5F4429">
            <w:pPr>
              <w:autoSpaceDE w:val="0"/>
              <w:autoSpaceDN w:val="0"/>
              <w:adjustRightInd w:val="0"/>
              <w:spacing w:after="165" w:line="240" w:lineRule="auto"/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sz w:val="20"/>
                <w:szCs w:val="20"/>
                <w:lang w:val="x-none"/>
              </w:rPr>
              <w:t>Spolu</w:t>
            </w:r>
          </w:p>
        </w:tc>
        <w:tc>
          <w:tcPr>
            <w:tcW w:w="2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D26D5" w:rsidP="005F4429">
            <w:pPr>
              <w:autoSpaceDE w:val="0"/>
              <w:autoSpaceDN w:val="0"/>
              <w:adjustRightInd w:val="0"/>
              <w:spacing w:after="165" w:line="240" w:lineRule="auto"/>
              <w:rPr>
                <w:rFonts w:ascii="Arial Narrow" w:hAnsi="Arial Narrow" w:cs="Arial Narrow"/>
                <w:sz w:val="20"/>
                <w:szCs w:val="20"/>
                <w:lang w:val="x-none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x-none"/>
              </w:rPr>
              <w:t>240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D26D5" w:rsidP="005F4429">
            <w:pPr>
              <w:autoSpaceDE w:val="0"/>
              <w:autoSpaceDN w:val="0"/>
              <w:adjustRightInd w:val="0"/>
              <w:spacing w:after="165" w:line="240" w:lineRule="auto"/>
              <w:rPr>
                <w:rFonts w:ascii="Arial Narrow" w:hAnsi="Arial Narrow" w:cs="Arial Narrow"/>
                <w:sz w:val="20"/>
                <w:szCs w:val="20"/>
                <w:lang w:val="x-none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val="x-none"/>
              </w:rPr>
              <w:t>0</w:t>
            </w:r>
            <w:bookmarkStart w:id="0" w:name="_GoBack"/>
            <w:bookmarkEnd w:id="0"/>
          </w:p>
        </w:tc>
      </w:tr>
    </w:tbl>
    <w:p w:rsidR="004B0A7F" w:rsidRPr="004B0A7F" w:rsidRDefault="004B0A7F" w:rsidP="005F4429">
      <w:pPr>
        <w:autoSpaceDE w:val="0"/>
        <w:autoSpaceDN w:val="0"/>
        <w:adjustRightInd w:val="0"/>
        <w:spacing w:before="240" w:after="120" w:line="240" w:lineRule="auto"/>
        <w:jc w:val="both"/>
        <w:rPr>
          <w:rFonts w:ascii="Arial Narrow" w:hAnsi="Arial Narrow" w:cs="Arial Narrow"/>
          <w:sz w:val="20"/>
          <w:szCs w:val="20"/>
          <w:lang w:val="x-none"/>
        </w:rPr>
      </w:pPr>
    </w:p>
    <w:p w:rsidR="004B0A7F" w:rsidRPr="004B0A7F" w:rsidRDefault="004B0A7F" w:rsidP="004B0A7F">
      <w:pPr>
        <w:keepNext/>
        <w:numPr>
          <w:ilvl w:val="0"/>
          <w:numId w:val="1"/>
        </w:num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b/>
          <w:bCs/>
          <w:lang w:val="x-none"/>
        </w:rPr>
        <w:t xml:space="preserve"> </w:t>
      </w:r>
      <w:r w:rsidRPr="004B0A7F">
        <w:rPr>
          <w:rFonts w:ascii="Arial Narrow" w:hAnsi="Arial Narrow" w:cs="Arial Narrow"/>
          <w:lang w:val="x-none"/>
        </w:rPr>
        <w:t>Prehľad o začiatočnom stave, tvorbe, čerpaní a konečnom zostatku sociálneho fondu v priebehu bežného účtovného obdobia. BEZ OBSAHU</w:t>
      </w:r>
    </w:p>
    <w:p w:rsidR="004B0A7F" w:rsidRPr="004B0A7F" w:rsidRDefault="004B0A7F" w:rsidP="004B0A7F">
      <w:pPr>
        <w:keepNext/>
        <w:numPr>
          <w:ilvl w:val="0"/>
          <w:numId w:val="1"/>
        </w:num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 xml:space="preserve"> Prehľad o bankových úveroch, pôžičkách a návratných finančných výpomociach s uvedením meny. BEZ OBSAHU</w:t>
      </w:r>
    </w:p>
    <w:p w:rsidR="004B0A7F" w:rsidRPr="004B0A7F" w:rsidRDefault="004B0A7F" w:rsidP="004B0A7F">
      <w:pPr>
        <w:keepNext/>
        <w:numPr>
          <w:ilvl w:val="0"/>
          <w:numId w:val="1"/>
        </w:num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>Prehľad o významných položkách časového rozlíšenia výdavkov budúcich období. BEZ OBSAHU</w:t>
      </w:r>
    </w:p>
    <w:p w:rsidR="004B0A7F" w:rsidRPr="004B0A7F" w:rsidRDefault="004B0A7F" w:rsidP="004B0A7F">
      <w:pPr>
        <w:keepNext/>
        <w:numPr>
          <w:ilvl w:val="0"/>
          <w:numId w:val="1"/>
        </w:numPr>
        <w:autoSpaceDE w:val="0"/>
        <w:autoSpaceDN w:val="0"/>
        <w:adjustRightInd w:val="0"/>
        <w:spacing w:after="12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9585" w:type="dxa"/>
        <w:tblInd w:w="-8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3455"/>
        <w:gridCol w:w="2975"/>
        <w:gridCol w:w="3155"/>
      </w:tblGrid>
      <w:tr w:rsidR="004B0A7F" w:rsidRPr="004B0A7F" w:rsidTr="004B0A7F"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Položky výnosov budúcich období - dlhodobé z dôvodu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konci bezprostredne predchádzajúceho účtovného obdobia</w:t>
            </w: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konci bežného účtovného obdobia</w:t>
            </w: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bezodplatne nadobudnutého dlhodobého majetku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dlhodobého majetku obstaraného z verejných zdrojov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 xml:space="preserve">dlhodobého majetku obstaraného z finančného daru 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dlhodobého majetku obstaraného z podielu zaplatenej dane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dlhodobého majetku obstaraného zo sponzorského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nepoužitého sponzorského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iné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Spolu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</w:t>
            </w: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</w:t>
            </w:r>
          </w:p>
        </w:tc>
      </w:tr>
    </w:tbl>
    <w:p w:rsidR="004B0A7F" w:rsidRPr="004B0A7F" w:rsidRDefault="004B0A7F" w:rsidP="004B0A7F">
      <w:pPr>
        <w:autoSpaceDE w:val="0"/>
        <w:autoSpaceDN w:val="0"/>
        <w:adjustRightInd w:val="0"/>
        <w:spacing w:before="240" w:after="120" w:line="252" w:lineRule="auto"/>
        <w:jc w:val="both"/>
        <w:rPr>
          <w:rFonts w:ascii="Arial Narrow" w:hAnsi="Arial Narrow" w:cs="Arial Narrow"/>
          <w:lang w:val="x-none"/>
        </w:rPr>
      </w:pPr>
    </w:p>
    <w:tbl>
      <w:tblPr>
        <w:tblW w:w="9585" w:type="dxa"/>
        <w:tblInd w:w="-8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3455"/>
        <w:gridCol w:w="2975"/>
        <w:gridCol w:w="3155"/>
      </w:tblGrid>
      <w:tr w:rsidR="004B0A7F" w:rsidRPr="004B0A7F" w:rsidTr="004B0A7F"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lastRenderedPageBreak/>
              <w:t>Položky výnosov budúcich období - krátkodobé z dôvodu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konci bezprostredne predchádzajúceho účtovného obdobia</w:t>
            </w: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konci bežného účtovného obdobia</w:t>
            </w: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dotácie zo štátneho rozpočtu a  z prostriedkov Európskej únie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dotácie z rozpočtu obce a z rozpočtu vyššieho územného celku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zostatku podielu zaplatenej dane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nepoužitého sponzorského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iné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</w:p>
        </w:tc>
      </w:tr>
      <w:tr w:rsidR="004B0A7F" w:rsidRPr="004B0A7F" w:rsidTr="004B0A7F">
        <w:tblPrEx>
          <w:tblCellSpacing w:w="-8" w:type="nil"/>
        </w:tblPrEx>
        <w:trPr>
          <w:tblCellSpacing w:w="-8" w:type="nil"/>
        </w:trPr>
        <w:tc>
          <w:tcPr>
            <w:tcW w:w="34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Spolu</w:t>
            </w:r>
          </w:p>
        </w:tc>
        <w:tc>
          <w:tcPr>
            <w:tcW w:w="2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0C08ED" w:rsidRPr="00601FC7" w:rsidRDefault="004B0A7F" w:rsidP="00601FC7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before="120" w:after="120" w:line="360" w:lineRule="auto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>Údaje o druhoch majetku a záväzkoch z lízingových zmlúv. BEZ OBSAHU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 w:rsidRPr="004B0A7F">
        <w:rPr>
          <w:rFonts w:ascii="Arial" w:hAnsi="Arial" w:cs="Arial"/>
          <w:b/>
          <w:bCs/>
          <w:sz w:val="24"/>
          <w:szCs w:val="24"/>
          <w:lang w:val="x-none"/>
        </w:rPr>
        <w:t>IV. Informácie, ktoré dopĺňajú a vysvetľujú údaje vo výkaze ziskov a strát</w:t>
      </w:r>
    </w:p>
    <w:p w:rsidR="004B0A7F" w:rsidRPr="004B0A7F" w:rsidRDefault="004B0A7F" w:rsidP="004B0A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8292F" w:rsidRDefault="004B0A7F" w:rsidP="004B0A7F">
      <w:pPr>
        <w:pStyle w:val="Odsekzoznamu"/>
        <w:numPr>
          <w:ilvl w:val="0"/>
          <w:numId w:val="2"/>
        </w:num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 BEZ OBSAHU</w:t>
      </w:r>
    </w:p>
    <w:p w:rsidR="004B0A7F" w:rsidRDefault="004B0A7F" w:rsidP="004B0A7F">
      <w:pPr>
        <w:pStyle w:val="Odsekzoznamu"/>
        <w:numPr>
          <w:ilvl w:val="0"/>
          <w:numId w:val="2"/>
        </w:num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p w:rsidR="0018292F" w:rsidRPr="0018292F" w:rsidRDefault="0018292F" w:rsidP="0018292F">
      <w:pPr>
        <w:pStyle w:val="Odsekzoznamu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x-none"/>
        </w:rPr>
      </w:pPr>
    </w:p>
    <w:tbl>
      <w:tblPr>
        <w:tblW w:w="9573" w:type="dxa"/>
        <w:tblInd w:w="559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285"/>
        <w:gridCol w:w="2494"/>
        <w:gridCol w:w="2794"/>
      </w:tblGrid>
      <w:tr w:rsidR="004B0A7F" w:rsidRPr="004B0A7F" w:rsidTr="0018292F">
        <w:tc>
          <w:tcPr>
            <w:tcW w:w="4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Druh a opis významných súm výnosov</w:t>
            </w:r>
          </w:p>
        </w:tc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konci bezprostredne predchádzajúceho účtovného obdobia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konci bežného účtovného obdobia</w:t>
            </w:r>
          </w:p>
        </w:tc>
      </w:tr>
      <w:tr w:rsidR="004B0A7F" w:rsidRPr="004B0A7F" w:rsidTr="0018292F">
        <w:tblPrEx>
          <w:tblCellSpacing w:w="-8" w:type="nil"/>
        </w:tblPrEx>
        <w:trPr>
          <w:tblCellSpacing w:w="-8" w:type="nil"/>
        </w:trPr>
        <w:tc>
          <w:tcPr>
            <w:tcW w:w="4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Prijaté dary</w:t>
            </w:r>
          </w:p>
        </w:tc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>
              <w:rPr>
                <w:rFonts w:ascii="Arial Narrow" w:hAnsi="Arial Narrow" w:cs="Arial Narrow"/>
                <w:lang w:val="x-none"/>
              </w:rPr>
              <w:t>0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18292F" w:rsidRDefault="004B0A7F" w:rsidP="005F4429">
      <w:pPr>
        <w:pStyle w:val="Odsekzoznamu"/>
        <w:keepNext/>
        <w:numPr>
          <w:ilvl w:val="0"/>
          <w:numId w:val="2"/>
        </w:numPr>
        <w:autoSpaceDE w:val="0"/>
        <w:autoSpaceDN w:val="0"/>
        <w:adjustRightInd w:val="0"/>
        <w:spacing w:before="240" w:after="120" w:line="252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 BEZ OBSAHU</w:t>
      </w:r>
    </w:p>
    <w:p w:rsidR="0018292F" w:rsidRDefault="004B0A7F" w:rsidP="004B0A7F">
      <w:pPr>
        <w:pStyle w:val="Odsekzoznamu"/>
        <w:keepNext/>
        <w:numPr>
          <w:ilvl w:val="0"/>
          <w:numId w:val="2"/>
        </w:numPr>
        <w:autoSpaceDE w:val="0"/>
        <w:autoSpaceDN w:val="0"/>
        <w:adjustRightInd w:val="0"/>
        <w:spacing w:before="240" w:after="120" w:line="252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Opis a vyčíslenie hodnoty významných položiek príjmov z reklám, ktoré sú určené na charitatívne účely, a charitatívnej lotérie prijatých v  bezprostredne predchádzajúcom účtovnom období a v bežnom účtovnom období. BEZ OBSAHU</w:t>
      </w:r>
    </w:p>
    <w:p w:rsidR="004B0A7F" w:rsidRPr="0018292F" w:rsidRDefault="004B0A7F" w:rsidP="004B0A7F">
      <w:pPr>
        <w:pStyle w:val="Odsekzoznamu"/>
        <w:keepNext/>
        <w:numPr>
          <w:ilvl w:val="0"/>
          <w:numId w:val="2"/>
        </w:numPr>
        <w:autoSpaceDE w:val="0"/>
        <w:autoSpaceDN w:val="0"/>
        <w:adjustRightInd w:val="0"/>
        <w:spacing w:before="240" w:after="120" w:line="252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9714" w:type="dxa"/>
        <w:tblInd w:w="418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846"/>
        <w:gridCol w:w="2434"/>
        <w:gridCol w:w="2434"/>
      </w:tblGrid>
      <w:tr w:rsidR="004B0A7F" w:rsidRPr="004B0A7F" w:rsidTr="0018292F">
        <w:tc>
          <w:tcPr>
            <w:tcW w:w="4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keepNext/>
              <w:autoSpaceDE w:val="0"/>
              <w:autoSpaceDN w:val="0"/>
              <w:adjustRightInd w:val="0"/>
              <w:spacing w:after="120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Druh a opis významných položiek nákladov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keepNext/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konci bezprostredne predchádzajúceho účtovného obdobia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keepNext/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Stav na konci bežného účtovného obdobia</w:t>
            </w:r>
          </w:p>
        </w:tc>
      </w:tr>
      <w:tr w:rsidR="004B0A7F" w:rsidRPr="004B0A7F" w:rsidTr="0018292F">
        <w:tblPrEx>
          <w:tblCellSpacing w:w="-8" w:type="nil"/>
        </w:tblPrEx>
        <w:trPr>
          <w:trHeight w:val="360"/>
          <w:tblCellSpacing w:w="-8" w:type="nil"/>
        </w:trPr>
        <w:tc>
          <w:tcPr>
            <w:tcW w:w="4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Náklady na ostatné služby z toho: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4B0A7F" w:rsidRPr="004B0A7F" w:rsidTr="0018292F">
        <w:tblPrEx>
          <w:tblCellSpacing w:w="-8" w:type="nil"/>
        </w:tblPrEx>
        <w:trPr>
          <w:tblCellSpacing w:w="-8" w:type="nil"/>
        </w:trPr>
        <w:tc>
          <w:tcPr>
            <w:tcW w:w="4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Účtovné služby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4B0A7F" w:rsidRPr="004B0A7F" w:rsidTr="0018292F">
        <w:tblPrEx>
          <w:tblCellSpacing w:w="-8" w:type="nil"/>
        </w:tblPrEx>
        <w:trPr>
          <w:tblCellSpacing w:w="-8" w:type="nil"/>
        </w:trPr>
        <w:tc>
          <w:tcPr>
            <w:tcW w:w="4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Liečebná starostlivosť a kineziológia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4B0A7F" w:rsidRPr="004B0A7F" w:rsidTr="0018292F">
        <w:tblPrEx>
          <w:tblCellSpacing w:w="-8" w:type="nil"/>
        </w:tblPrEx>
        <w:trPr>
          <w:tblCellSpacing w:w="-8" w:type="nil"/>
        </w:trPr>
        <w:tc>
          <w:tcPr>
            <w:tcW w:w="4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lastRenderedPageBreak/>
              <w:t>Cestovné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>
              <w:rPr>
                <w:rFonts w:ascii="Arial Narrow" w:hAnsi="Arial Narrow" w:cs="Arial Narrow"/>
                <w:lang w:val="x-none"/>
              </w:rPr>
              <w:t>0</w:t>
            </w:r>
          </w:p>
        </w:tc>
      </w:tr>
      <w:tr w:rsidR="004B0A7F" w:rsidRPr="004B0A7F" w:rsidTr="0018292F">
        <w:tblPrEx>
          <w:tblCellSpacing w:w="-8" w:type="nil"/>
        </w:tblPrEx>
        <w:trPr>
          <w:tblCellSpacing w:w="-8" w:type="nil"/>
        </w:trPr>
        <w:tc>
          <w:tcPr>
            <w:tcW w:w="4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Osta</w:t>
            </w:r>
            <w:r w:rsidR="000C08ED">
              <w:rPr>
                <w:rFonts w:ascii="Arial Narrow" w:hAnsi="Arial Narrow" w:cs="Arial Narrow"/>
              </w:rPr>
              <w:t>t</w:t>
            </w:r>
            <w:r w:rsidRPr="004B0A7F">
              <w:rPr>
                <w:rFonts w:ascii="Arial Narrow" w:hAnsi="Arial Narrow" w:cs="Arial Narrow"/>
                <w:lang w:val="x-none"/>
              </w:rPr>
              <w:t>né dane, poplatky a dary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>
              <w:rPr>
                <w:rFonts w:ascii="Arial Narrow" w:hAnsi="Arial Narrow" w:cs="Arial Narrow"/>
                <w:lang w:val="x-none"/>
              </w:rPr>
              <w:t>0,00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0,00</w:t>
            </w:r>
          </w:p>
        </w:tc>
      </w:tr>
      <w:tr w:rsidR="004B0A7F" w:rsidRPr="004B0A7F" w:rsidTr="0018292F">
        <w:tblPrEx>
          <w:tblCellSpacing w:w="-8" w:type="nil"/>
        </w:tblPrEx>
        <w:trPr>
          <w:tblCellSpacing w:w="-8" w:type="nil"/>
        </w:trPr>
        <w:tc>
          <w:tcPr>
            <w:tcW w:w="4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20" w:line="252" w:lineRule="auto"/>
              <w:jc w:val="both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Iné náklady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0,00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20" w:line="252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0,00</w:t>
            </w:r>
          </w:p>
        </w:tc>
      </w:tr>
    </w:tbl>
    <w:p w:rsidR="004B0A7F" w:rsidRPr="0018292F" w:rsidRDefault="004B0A7F" w:rsidP="0018292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before="240" w:after="120" w:line="252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9759" w:type="dxa"/>
        <w:tblInd w:w="418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245"/>
        <w:gridCol w:w="2257"/>
        <w:gridCol w:w="2257"/>
      </w:tblGrid>
      <w:tr w:rsidR="004B0A7F" w:rsidRPr="004B0A7F" w:rsidTr="0018292F"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Účel použitia prijatého podielu zaplatenej dane</w:t>
            </w:r>
          </w:p>
        </w:tc>
        <w:tc>
          <w:tcPr>
            <w:tcW w:w="2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Použitá suma zostatku z predchádzajúceho účtovného obdobia</w:t>
            </w:r>
          </w:p>
        </w:tc>
        <w:tc>
          <w:tcPr>
            <w:tcW w:w="2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jc w:val="center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Použitá suma z bežného účtovného obdobia</w:t>
            </w:r>
          </w:p>
        </w:tc>
      </w:tr>
      <w:tr w:rsidR="004B0A7F" w:rsidRPr="004B0A7F" w:rsidTr="0018292F">
        <w:tblPrEx>
          <w:tblCellSpacing w:w="-8" w:type="nil"/>
        </w:tblPrEx>
        <w:trPr>
          <w:trHeight w:val="390"/>
          <w:tblCellSpacing w:w="-8" w:type="nil"/>
        </w:trPr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lang w:val="x-none"/>
              </w:rPr>
            </w:pPr>
            <w:r w:rsidRPr="004B0A7F">
              <w:rPr>
                <w:rFonts w:ascii="Arial Narrow" w:hAnsi="Arial Narrow" w:cs="Arial Narrow"/>
                <w:lang w:val="x-none"/>
              </w:rPr>
              <w:t>Rehabilitačné pobyty, pomôcky a prevádzka OZ</w:t>
            </w:r>
          </w:p>
        </w:tc>
        <w:tc>
          <w:tcPr>
            <w:tcW w:w="2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65" w:line="252" w:lineRule="auto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65" w:line="252" w:lineRule="auto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4B0A7F" w:rsidRPr="004B0A7F" w:rsidTr="0018292F">
        <w:tblPrEx>
          <w:tblCellSpacing w:w="-8" w:type="nil"/>
        </w:tblPrEx>
        <w:trPr>
          <w:trHeight w:val="390"/>
          <w:tblCellSpacing w:w="-8" w:type="nil"/>
        </w:trPr>
        <w:tc>
          <w:tcPr>
            <w:tcW w:w="75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4B0A7F" w:rsidRDefault="004B0A7F" w:rsidP="004B0A7F">
            <w:pPr>
              <w:autoSpaceDE w:val="0"/>
              <w:autoSpaceDN w:val="0"/>
              <w:adjustRightInd w:val="0"/>
              <w:spacing w:after="165" w:line="252" w:lineRule="auto"/>
              <w:rPr>
                <w:rFonts w:ascii="Arial Narrow" w:hAnsi="Arial Narrow" w:cs="Arial Narrow"/>
                <w:b/>
                <w:bCs/>
                <w:lang w:val="x-none"/>
              </w:rPr>
            </w:pPr>
            <w:r w:rsidRPr="004B0A7F">
              <w:rPr>
                <w:rFonts w:ascii="Arial Narrow" w:hAnsi="Arial Narrow" w:cs="Arial Narrow"/>
                <w:b/>
                <w:bCs/>
                <w:lang w:val="x-none"/>
              </w:rPr>
              <w:t>Zostatok podielu zaplatenej dane</w:t>
            </w:r>
          </w:p>
        </w:tc>
        <w:tc>
          <w:tcPr>
            <w:tcW w:w="2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0A7F" w:rsidRPr="003A34D4" w:rsidRDefault="003A34D4" w:rsidP="004B0A7F">
            <w:pPr>
              <w:autoSpaceDE w:val="0"/>
              <w:autoSpaceDN w:val="0"/>
              <w:adjustRightInd w:val="0"/>
              <w:spacing w:after="165" w:line="252" w:lineRule="auto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</w:tr>
    </w:tbl>
    <w:p w:rsidR="004B0A7F" w:rsidRPr="004B0A7F" w:rsidRDefault="004B0A7F" w:rsidP="00601FC7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4B0A7F" w:rsidRPr="004B0A7F" w:rsidRDefault="004B0A7F" w:rsidP="00601FC7">
      <w:pPr>
        <w:keepNext/>
        <w:autoSpaceDE w:val="0"/>
        <w:autoSpaceDN w:val="0"/>
        <w:adjustRightInd w:val="0"/>
        <w:spacing w:after="0" w:line="252" w:lineRule="auto"/>
        <w:jc w:val="center"/>
        <w:outlineLvl w:val="0"/>
        <w:rPr>
          <w:rFonts w:ascii="Arial Narrow" w:hAnsi="Arial Narrow" w:cs="Arial Narrow"/>
          <w:b/>
          <w:bCs/>
          <w:lang w:val="x-none"/>
        </w:rPr>
      </w:pPr>
      <w:r w:rsidRPr="004B0A7F">
        <w:rPr>
          <w:rFonts w:ascii="Arial Narrow" w:hAnsi="Arial Narrow" w:cs="Arial Narrow"/>
          <w:b/>
          <w:bCs/>
          <w:lang w:val="x-none"/>
        </w:rPr>
        <w:t>Čl. V</w:t>
      </w:r>
    </w:p>
    <w:p w:rsidR="004B0A7F" w:rsidRPr="004B0A7F" w:rsidRDefault="004B0A7F" w:rsidP="00601FC7">
      <w:pPr>
        <w:keepNext/>
        <w:autoSpaceDE w:val="0"/>
        <w:autoSpaceDN w:val="0"/>
        <w:adjustRightInd w:val="0"/>
        <w:spacing w:after="0" w:line="252" w:lineRule="auto"/>
        <w:jc w:val="center"/>
        <w:outlineLvl w:val="1"/>
        <w:rPr>
          <w:rFonts w:ascii="Arial Narrow" w:hAnsi="Arial Narrow" w:cs="Arial Narrow"/>
          <w:b/>
          <w:bCs/>
          <w:lang w:val="x-none"/>
        </w:rPr>
      </w:pPr>
      <w:r w:rsidRPr="004B0A7F">
        <w:rPr>
          <w:rFonts w:ascii="Arial Narrow" w:hAnsi="Arial Narrow" w:cs="Arial Narrow"/>
          <w:b/>
          <w:bCs/>
          <w:lang w:val="x-none"/>
        </w:rPr>
        <w:t>Opis údajov na podsúvahových účtoch</w:t>
      </w:r>
    </w:p>
    <w:p w:rsidR="004B0A7F" w:rsidRPr="004B0A7F" w:rsidRDefault="004B0A7F" w:rsidP="00601FC7">
      <w:pPr>
        <w:autoSpaceDE w:val="0"/>
        <w:autoSpaceDN w:val="0"/>
        <w:adjustRightInd w:val="0"/>
        <w:spacing w:after="0" w:line="252" w:lineRule="auto"/>
        <w:jc w:val="both"/>
        <w:rPr>
          <w:rFonts w:ascii="Arial Narrow" w:hAnsi="Arial Narrow" w:cs="Arial Narrow"/>
          <w:lang w:val="x-none"/>
        </w:rPr>
      </w:pPr>
      <w:r w:rsidRPr="004B0A7F">
        <w:rPr>
          <w:rFonts w:ascii="Arial Narrow" w:hAnsi="Arial Narrow" w:cs="Arial Narrow"/>
          <w:lang w:val="x-none"/>
        </w:rPr>
        <w:t>Významné položky zásob prijatých na komisionálny predaj, prenajatého majetku, majetku prijatého do úschovy, odpísané pohľadávky a prípadné ďalšie položky.  BEZ OBSAHU</w:t>
      </w:r>
    </w:p>
    <w:p w:rsidR="004B0A7F" w:rsidRPr="004B0A7F" w:rsidRDefault="004B0A7F" w:rsidP="00601FC7">
      <w:pPr>
        <w:keepNext/>
        <w:autoSpaceDE w:val="0"/>
        <w:autoSpaceDN w:val="0"/>
        <w:adjustRightInd w:val="0"/>
        <w:spacing w:after="0" w:line="252" w:lineRule="auto"/>
        <w:jc w:val="center"/>
        <w:outlineLvl w:val="1"/>
        <w:rPr>
          <w:rFonts w:ascii="Arial Narrow" w:hAnsi="Arial Narrow" w:cs="Arial Narrow"/>
          <w:b/>
          <w:bCs/>
          <w:lang w:val="x-none"/>
        </w:rPr>
      </w:pPr>
      <w:r w:rsidRPr="004B0A7F">
        <w:rPr>
          <w:rFonts w:ascii="Arial Narrow" w:hAnsi="Arial Narrow" w:cs="Arial Narrow"/>
          <w:b/>
          <w:bCs/>
          <w:lang w:val="x-none"/>
        </w:rPr>
        <w:t>Čl. VI</w:t>
      </w:r>
    </w:p>
    <w:p w:rsidR="004B0A7F" w:rsidRPr="004B0A7F" w:rsidRDefault="004B0A7F" w:rsidP="00601FC7">
      <w:pPr>
        <w:keepNext/>
        <w:autoSpaceDE w:val="0"/>
        <w:autoSpaceDN w:val="0"/>
        <w:adjustRightInd w:val="0"/>
        <w:spacing w:after="0" w:line="252" w:lineRule="auto"/>
        <w:jc w:val="center"/>
        <w:outlineLvl w:val="1"/>
        <w:rPr>
          <w:rFonts w:ascii="Arial Narrow" w:hAnsi="Arial Narrow" w:cs="Arial Narrow"/>
          <w:b/>
          <w:bCs/>
          <w:lang w:val="x-none"/>
        </w:rPr>
      </w:pPr>
      <w:r w:rsidRPr="004B0A7F">
        <w:rPr>
          <w:rFonts w:ascii="Arial Narrow" w:hAnsi="Arial Narrow" w:cs="Arial Narrow"/>
          <w:b/>
          <w:bCs/>
          <w:lang w:val="x-none"/>
        </w:rPr>
        <w:t>Ďalšie informácie</w:t>
      </w:r>
    </w:p>
    <w:p w:rsidR="004B0A7F" w:rsidRPr="0018292F" w:rsidRDefault="004B0A7F" w:rsidP="00601FC7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BEZ OBSAHU</w:t>
      </w:r>
    </w:p>
    <w:p w:rsidR="004B0A7F" w:rsidRPr="0018292F" w:rsidRDefault="004B0A7F" w:rsidP="00601FC7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Opis a hodnota iných pasív vyplývajúcich zo súdnych rozhodnutí, z poskytnutých záruk, zo všeobecne záväzných právnych predpisov, z ručenia podľa jednotlivých druhov ručenia;  takýmito inými pasívami sú: BEZ OBSAHU</w:t>
      </w:r>
    </w:p>
    <w:p w:rsidR="004B0A7F" w:rsidRPr="0018292F" w:rsidRDefault="004B0A7F" w:rsidP="00601FC7">
      <w:pPr>
        <w:pStyle w:val="Odsekzoznamu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povinnosť, ktorá vznikla ako dôsledok minulej udalosti a ktorej existencia závisí od toho, či nastane alebo nenastane jedna alebo viac neistých udalostí v budúcnosti, ktorých vznik nezávisí od účtovnej jednotky, alebo BEZ OBSAHU</w:t>
      </w:r>
    </w:p>
    <w:p w:rsidR="004B0A7F" w:rsidRPr="0018292F" w:rsidRDefault="004B0A7F" w:rsidP="00601FC7">
      <w:pPr>
        <w:pStyle w:val="Odsekzoznamu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 BEZ OBSAHU</w:t>
      </w:r>
    </w:p>
    <w:p w:rsidR="004B0A7F" w:rsidRPr="0018292F" w:rsidRDefault="004B0A7F" w:rsidP="00601FC7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 xml:space="preserve">Opis významných položiek ostatných finančných povinností, ktoré sa nesledujú v účtovníctve a neuvádzajú sa v súvahe; pri každej položke sa uvádza jej opis, výška a údaj, či sa týka spriaznených osôb, a to </w:t>
      </w:r>
    </w:p>
    <w:p w:rsidR="004B0A7F" w:rsidRPr="0018292F" w:rsidRDefault="004B0A7F" w:rsidP="00601FC7">
      <w:pPr>
        <w:pStyle w:val="Odsekzoznamu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povinnosť z devízových termínovaných obchodov a iných finančných derivátov, BEZ OBSAHU</w:t>
      </w:r>
    </w:p>
    <w:p w:rsidR="004B0A7F" w:rsidRPr="0018292F" w:rsidRDefault="004B0A7F" w:rsidP="00601FC7">
      <w:pPr>
        <w:pStyle w:val="Odsekzoznamu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povinnosť z opčných obchodov, BEZ OBSAHU</w:t>
      </w:r>
    </w:p>
    <w:p w:rsidR="004B0A7F" w:rsidRPr="0018292F" w:rsidRDefault="004B0A7F" w:rsidP="00601FC7">
      <w:pPr>
        <w:pStyle w:val="Odsekzoznamu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zákonná povinnosť alebo zmluvná povinnosť odobrať určité produkty alebo služby, napríklad z dodávateľských zmlúv alebo odberateľských zmlúv, BEZ OBSAHU</w:t>
      </w:r>
    </w:p>
    <w:p w:rsidR="004B0A7F" w:rsidRPr="0018292F" w:rsidRDefault="004B0A7F" w:rsidP="00601FC7">
      <w:pPr>
        <w:pStyle w:val="Odsekzoznamu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povinnosť z lízingových zmlúv, nájomných zmlúv, servisných zmlúv, poistných zmlúv, koncesionárskych zmlúv, licenčných zmlúv a podobných zmlúv, BEZ OBSAHU</w:t>
      </w:r>
    </w:p>
    <w:p w:rsidR="004B0A7F" w:rsidRPr="0018292F" w:rsidRDefault="004B0A7F" w:rsidP="00601FC7">
      <w:pPr>
        <w:pStyle w:val="Odsekzoznamu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iné povinnosti. BEZ OBSAHU</w:t>
      </w:r>
    </w:p>
    <w:p w:rsidR="000C08ED" w:rsidRDefault="004B0A7F" w:rsidP="00601FC7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52" w:lineRule="auto"/>
        <w:jc w:val="both"/>
        <w:rPr>
          <w:rFonts w:ascii="Arial Narrow" w:hAnsi="Arial Narrow" w:cs="Arial Narrow"/>
          <w:lang w:val="x-none"/>
        </w:rPr>
      </w:pPr>
      <w:r w:rsidRPr="0018292F">
        <w:rPr>
          <w:rFonts w:ascii="Arial Narrow" w:hAnsi="Arial Narrow" w:cs="Arial Narrow"/>
          <w:lang w:val="x-none"/>
        </w:rPr>
        <w:t>Prehľad nehnuteľných kultúrnych pamiatok, ktoré sú v správe alebo vo vlastníctve účtovnej jednotky, a to názov, adresa a číslo kultúrnej pamiatky v Ústrednom zozname pamiatkového fondu. BEZ OBSAHU</w:t>
      </w:r>
    </w:p>
    <w:p w:rsidR="004B0A7F" w:rsidRPr="00601FC7" w:rsidRDefault="004B0A7F" w:rsidP="00601FC7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52" w:lineRule="auto"/>
        <w:jc w:val="both"/>
        <w:rPr>
          <w:rFonts w:ascii="Arial Narrow" w:hAnsi="Arial Narrow" w:cs="Arial Narrow"/>
          <w:lang w:val="x-none"/>
        </w:rPr>
      </w:pPr>
      <w:r w:rsidRPr="00601FC7">
        <w:rPr>
          <w:rFonts w:ascii="Arial Narrow" w:hAnsi="Arial Narrow" w:cs="Arial Narrow"/>
          <w:lang w:val="x-none"/>
        </w:rPr>
        <w:t>Informácie o významných skutočnostiach, ktoré nastali medzi dňom, ku ktorému sa zostavuje účtovná závierka a dňom jej zostavenia.</w:t>
      </w:r>
      <w:r w:rsidR="000C08ED" w:rsidRPr="00601FC7">
        <w:rPr>
          <w:rFonts w:ascii="Arial Narrow" w:hAnsi="Arial Narrow" w:cs="Arial Narrow"/>
        </w:rPr>
        <w:t xml:space="preserve"> </w:t>
      </w:r>
      <w:r w:rsidRPr="00601FC7">
        <w:rPr>
          <w:rFonts w:ascii="Arial Narrow" w:hAnsi="Arial Narrow" w:cs="Arial Narrow"/>
          <w:lang w:val="x-none"/>
        </w:rPr>
        <w:t>V roku 2023 postupne očakávame pokles objemu prijatých príspevkov z podielovej dane a prijatých darov z dôvodu zmeny modelu fungovania občianskeho združenia. Väčšina prijatých príspevkov a darov už bude</w:t>
      </w:r>
      <w:r w:rsidR="0018292F" w:rsidRPr="00601FC7">
        <w:rPr>
          <w:rFonts w:ascii="Arial Narrow" w:hAnsi="Arial Narrow" w:cs="Arial Narrow"/>
          <w:lang w:val="x-none"/>
        </w:rPr>
        <w:t xml:space="preserve"> vyzbieraná napriamo cez nadáciu</w:t>
      </w:r>
      <w:r w:rsidR="000C08ED" w:rsidRPr="00601FC7">
        <w:rPr>
          <w:rFonts w:ascii="Arial Narrow" w:hAnsi="Arial Narrow" w:cs="Arial Narrow"/>
          <w:lang w:val="x-none"/>
        </w:rPr>
        <w:t xml:space="preserve"> Axis</w:t>
      </w:r>
      <w:r w:rsidRPr="00601FC7">
        <w:rPr>
          <w:rFonts w:ascii="Arial Narrow" w:hAnsi="Arial Narrow" w:cs="Arial Narrow"/>
          <w:lang w:val="x-none"/>
        </w:rPr>
        <w:t>.</w:t>
      </w:r>
    </w:p>
    <w:p w:rsidR="004B0A7F" w:rsidRPr="00601FC7" w:rsidRDefault="004B0A7F" w:rsidP="00601FC7">
      <w:pPr>
        <w:autoSpaceDE w:val="0"/>
        <w:autoSpaceDN w:val="0"/>
        <w:adjustRightInd w:val="0"/>
        <w:spacing w:after="0" w:line="252" w:lineRule="auto"/>
        <w:jc w:val="both"/>
        <w:rPr>
          <w:rFonts w:ascii="Arial Narrow" w:hAnsi="Arial Narrow" w:cs="Arial Narrow"/>
          <w:sz w:val="20"/>
          <w:szCs w:val="20"/>
          <w:lang w:val="x-none"/>
        </w:rPr>
      </w:pPr>
    </w:p>
    <w:p w:rsidR="004F38F9" w:rsidRDefault="004F38F9"/>
    <w:sectPr w:rsidR="004F38F9" w:rsidSect="00601FC7">
      <w:headerReference w:type="default" r:id="rId8"/>
      <w:footerReference w:type="default" r:id="rId9"/>
      <w:pgSz w:w="12246" w:h="15817"/>
      <w:pgMar w:top="1134" w:right="621" w:bottom="426" w:left="465" w:header="720" w:footer="720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5A60" w:rsidRDefault="00F05A60" w:rsidP="006B2D70">
      <w:pPr>
        <w:spacing w:after="0" w:line="240" w:lineRule="auto"/>
      </w:pPr>
      <w:r>
        <w:separator/>
      </w:r>
    </w:p>
  </w:endnote>
  <w:endnote w:type="continuationSeparator" w:id="0">
    <w:p w:rsidR="00F05A60" w:rsidRDefault="00F05A60" w:rsidP="006B2D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74420429"/>
      <w:docPartObj>
        <w:docPartGallery w:val="Page Numbers (Bottom of Page)"/>
        <w:docPartUnique/>
      </w:docPartObj>
    </w:sdtPr>
    <w:sdtEndPr/>
    <w:sdtContent>
      <w:p w:rsidR="005F4429" w:rsidRDefault="005F442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D26D5">
          <w:rPr>
            <w:noProof/>
          </w:rPr>
          <w:t>4</w:t>
        </w:r>
        <w:r>
          <w:fldChar w:fldCharType="end"/>
        </w:r>
      </w:p>
    </w:sdtContent>
  </w:sdt>
  <w:p w:rsidR="005F4429" w:rsidRDefault="005F442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5A60" w:rsidRDefault="00F05A60" w:rsidP="006B2D70">
      <w:pPr>
        <w:spacing w:after="0" w:line="240" w:lineRule="auto"/>
      </w:pPr>
      <w:r>
        <w:separator/>
      </w:r>
    </w:p>
  </w:footnote>
  <w:footnote w:type="continuationSeparator" w:id="0">
    <w:p w:rsidR="00F05A60" w:rsidRDefault="00F05A60" w:rsidP="006B2D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D70" w:rsidRDefault="006B2D70" w:rsidP="006B2D70">
    <w:pPr>
      <w:pStyle w:val="Hlavika"/>
      <w:jc w:val="center"/>
    </w:pPr>
    <w:r>
      <w:t>IČO: 45017417</w:t>
    </w:r>
    <w:r>
      <w:tab/>
      <w:t>Cesta pomo</w:t>
    </w:r>
    <w:r w:rsidR="004D26D5">
      <w:t>ci – Way to Help, o.z.</w:t>
    </w:r>
    <w:r w:rsidR="004D26D5">
      <w:tab/>
    </w:r>
    <w:r w:rsidR="004D26D5">
      <w:tab/>
      <w:t>ROK:2024</w:t>
    </w:r>
  </w:p>
  <w:p w:rsidR="006B2D70" w:rsidRDefault="006B2D70" w:rsidP="006B2D70">
    <w:pPr>
      <w:pStyle w:val="Hlavika"/>
      <w:jc w:val="center"/>
    </w:pPr>
  </w:p>
  <w:p w:rsidR="006B2D70" w:rsidRDefault="006B2D70" w:rsidP="006B2D70">
    <w:pPr>
      <w:pStyle w:val="Hlavika"/>
      <w:jc w:val="center"/>
    </w:pPr>
    <w:r>
      <w:t>POZNÁMKY</w:t>
    </w:r>
    <w:r w:rsidR="004D26D5">
      <w:t xml:space="preserve"> K ÚČTOVNEJ ZÁVIERKE ZA ROK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4D6439"/>
    <w:multiLevelType w:val="hybridMultilevel"/>
    <w:tmpl w:val="3DA65614"/>
    <w:lvl w:ilvl="0" w:tplc="1032B3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92FC7B9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23422F"/>
    <w:multiLevelType w:val="hybridMultilevel"/>
    <w:tmpl w:val="8616722E"/>
    <w:lvl w:ilvl="0" w:tplc="041B000F">
      <w:start w:val="1"/>
      <w:numFmt w:val="decimal"/>
      <w:lvlText w:val="%1.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" w15:restartNumberingAfterBreak="0">
    <w:nsid w:val="635F0457"/>
    <w:multiLevelType w:val="hybridMultilevel"/>
    <w:tmpl w:val="D1AA27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E51EE7"/>
    <w:multiLevelType w:val="multilevel"/>
    <w:tmpl w:val="AD0640A0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  <w:sz w:val="24"/>
        <w:szCs w:val="24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  <w:sz w:val="24"/>
        <w:szCs w:val="24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  <w:sz w:val="24"/>
        <w:szCs w:val="24"/>
      </w:rPr>
    </w:lvl>
  </w:abstractNum>
  <w:abstractNum w:abstractNumId="4" w15:restartNumberingAfterBreak="0">
    <w:nsid w:val="704736C7"/>
    <w:multiLevelType w:val="hybridMultilevel"/>
    <w:tmpl w:val="7804A8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0A7F"/>
    <w:rsid w:val="000C08ED"/>
    <w:rsid w:val="0018292F"/>
    <w:rsid w:val="003A34D4"/>
    <w:rsid w:val="003B264A"/>
    <w:rsid w:val="004B0A7F"/>
    <w:rsid w:val="004D26D5"/>
    <w:rsid w:val="004F38F9"/>
    <w:rsid w:val="005E1674"/>
    <w:rsid w:val="005F4429"/>
    <w:rsid w:val="00601FC7"/>
    <w:rsid w:val="006B2D70"/>
    <w:rsid w:val="00B4124E"/>
    <w:rsid w:val="00BD708E"/>
    <w:rsid w:val="00C24DC9"/>
    <w:rsid w:val="00F05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7F1263"/>
  <w15:chartTrackingRefBased/>
  <w15:docId w15:val="{B687D5D7-92E2-4091-8F79-4AD6E8C2B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4B0A7F"/>
    <w:pPr>
      <w:tabs>
        <w:tab w:val="left" w:pos="1440"/>
      </w:tabs>
      <w:autoSpaceDE w:val="0"/>
      <w:autoSpaceDN w:val="0"/>
      <w:adjustRightInd w:val="0"/>
      <w:spacing w:before="120" w:after="120" w:line="240" w:lineRule="auto"/>
      <w:ind w:left="1440" w:hanging="360"/>
      <w:jc w:val="both"/>
    </w:pPr>
    <w:rPr>
      <w:rFonts w:ascii="Arial Narrow" w:hAnsi="Arial Narrow" w:cs="Arial Narrow"/>
      <w:lang w:val="x-none"/>
    </w:rPr>
  </w:style>
  <w:style w:type="paragraph" w:customStyle="1" w:styleId="TopHeader">
    <w:name w:val="Top Header"/>
    <w:basedOn w:val="Normlny"/>
    <w:uiPriority w:val="99"/>
    <w:rsid w:val="004B0A7F"/>
    <w:pPr>
      <w:autoSpaceDE w:val="0"/>
      <w:autoSpaceDN w:val="0"/>
      <w:adjustRightInd w:val="0"/>
      <w:spacing w:after="0" w:line="240" w:lineRule="auto"/>
      <w:jc w:val="center"/>
    </w:pPr>
    <w:rPr>
      <w:rFonts w:ascii="Calibri" w:hAnsi="Calibri" w:cs="Calibri"/>
      <w:b/>
      <w:bCs/>
      <w:lang w:val="x-none"/>
    </w:rPr>
  </w:style>
  <w:style w:type="paragraph" w:styleId="Odsekzoznamu">
    <w:name w:val="List Paragraph"/>
    <w:basedOn w:val="Normlny"/>
    <w:uiPriority w:val="34"/>
    <w:qFormat/>
    <w:rsid w:val="004B0A7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6B2D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B2D70"/>
  </w:style>
  <w:style w:type="paragraph" w:styleId="Pta">
    <w:name w:val="footer"/>
    <w:basedOn w:val="Normlny"/>
    <w:link w:val="PtaChar"/>
    <w:uiPriority w:val="99"/>
    <w:unhideWhenUsed/>
    <w:rsid w:val="006B2D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B2D70"/>
  </w:style>
  <w:style w:type="paragraph" w:styleId="Textbubliny">
    <w:name w:val="Balloon Text"/>
    <w:basedOn w:val="Normlny"/>
    <w:link w:val="TextbublinyChar"/>
    <w:uiPriority w:val="99"/>
    <w:semiHidden/>
    <w:unhideWhenUsed/>
    <w:rsid w:val="001829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292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8</Pages>
  <Words>2192</Words>
  <Characters>12496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1.účtovníčka, s. r. o.</Company>
  <LinksUpToDate>false</LinksUpToDate>
  <CharactersWithSpaces>14659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Repáňová M.</dc:creator>
  <cp:keywords/>
  <dc:description/>
  <cp:lastModifiedBy>Roguľová Beáta</cp:lastModifiedBy>
  <cp:revision>7</cp:revision>
  <cp:lastPrinted>2023-06-26T13:34:00Z</cp:lastPrinted>
  <dcterms:created xsi:type="dcterms:W3CDTF">2023-06-26T10:51:00Z</dcterms:created>
  <dcterms:modified xsi:type="dcterms:W3CDTF">2025-05-13T10:03:00Z</dcterms:modified>
</cp:coreProperties>
</file>