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>I.1</w:t>
        <w:tab/>
        <w:t>Názov právnickej osoby : MUDr. Katarína Petranska, s.r.o.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rPr/>
        <w:t>Hviezdoslavova 4241/42, 018 41  Dubnica nad Váhom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sz w:val="20"/>
          <w:szCs w:val="20"/>
        </w:rPr>
        <w:t>ÚJ nemá náplň pre túto položku. </w:t>
      </w:r>
      <w:r>
        <w:rPr>
          <w:rFonts w:cs="Arial" w:ascii="Cambria" w:hAnsi="Cambria"/>
          <w:b/>
          <w:sz w:val="20"/>
          <w:szCs w:val="20"/>
        </w:rPr>
        <w:t xml:space="preserve">    </w:t>
      </w:r>
      <w:r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 xml:space="preserve"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rPr/>
        <w:instrText xml:space="preserve"> FORMTEXT </w:instrText>
      </w:r>
      <w:r>
        <w:rPr/>
      </w:r>
      <w:r>
        <w:rPr/>
        <w:fldChar w:fldCharType="separate"/>
      </w:r>
      <w:r>
        <w:rPr/>
      </w:r>
      <w:r>
        <w:rPr/>
      </w:r>
      <w:r>
        <w:rPr/>
        <w:fldChar w:fldCharType="end"/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A.je 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sdt>
        <w:sdtPr>
          <w:alias w:val=""/>
          <w:dropDownList w:lastValue="2">
            <w:listItem w:value="vyberte" w:displayText="vyberte"/>
            <w:listItem w:value="áno" w:displayText="áno"/>
            <w:listItem w:value="nie" w:displayText="nie"/>
          </w:dropDownList>
        </w:sdtPr>
        <w:sdtContent>
          <w:r>
            <w:rPr/>
          </w:r>
          <w:r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20"/>
          <w:szCs w:val="20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bookmarkStart w:id="0" w:name="__DdeLink__1325_1810541364"/>
      <w:bookmarkEnd w:id="0"/>
      <w:r>
        <w:rPr>
          <w:rFonts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asciiTheme="majorHAnsi" w:hAnsiTheme="majorHAnsi"/>
          <w:sz w:val="20"/>
          <w:szCs w:val="20"/>
        </w:rPr>
      </w:pPr>
      <w:r>
        <w:rPr>
          <w:rFonts w:asciiTheme="majorHAnsi" w:hAnsiTheme="majorHAnsi" w:ascii="Cambria" w:hAnsi="Cambria"/>
          <w:sz w:val="20"/>
          <w:szCs w:val="20"/>
        </w:rPr>
      </w:r>
      <w:bookmarkStart w:id="1" w:name="__DdeLink__1325_18105413641"/>
      <w:bookmarkStart w:id="2" w:name="__DdeLink__1325_18105413641"/>
      <w:bookmarkEnd w:id="2"/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Mriekatabuky"/>
        <w:tblW w:w="9015" w:type="dxa"/>
        <w:jc w:val="left"/>
        <w:tblInd w:w="88" w:type="dxa"/>
        <w:tblLayout w:type="fixed"/>
        <w:tblCellMar>
          <w:top w:w="0" w:type="dxa"/>
          <w:left w:w="88" w:type="dxa"/>
          <w:bottom w:w="0" w:type="dxa"/>
          <w:right w:w="108" w:type="dxa"/>
        </w:tblCellMar>
        <w:tblLook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Názov položky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Bežné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účtovné obdobie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Bezprostredne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predchádzajúce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34" w:hanging="1"/>
              <w:jc w:val="left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  <w:lang w:val="sk-SK" w:eastAsia="en-US" w:bidi="ar-SA"/>
              </w:rPr>
              <w:t>Priemerný prepočítaný počet zamestnancov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both"/>
              <w:rPr>
                <w:kern w:val="0"/>
                <w:lang w:val="sk-SK" w:eastAsia="en-US" w:bidi="ar-SA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  <w:lang w:val="sk-SK" w:eastAsia="en-US" w:bidi="ar-SA"/>
              </w:rPr>
              <w:t>3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sdt>
        <w:sdtPr>
          <w:alias w:val=""/>
          <w:dropDownList w:lastValue="1">
            <w:listItem w:value="vyberte" w:displayText="vyberte"/>
            <w:listItem w:value="áno" w:displayText="áno"/>
            <w:listItem w:value="nie" w:displayText="nie"/>
          </w:dropDownList>
        </w:sdtPr>
        <w:sdtContent>
          <w:r>
            <w:rPr/>
          </w:r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jc w:val="left"/>
        <w:tblInd w:w="88" w:type="dxa"/>
        <w:tblLayout w:type="fixed"/>
        <w:tblCellMar>
          <w:top w:w="0" w:type="dxa"/>
          <w:left w:w="88" w:type="dxa"/>
          <w:bottom w:w="0" w:type="dxa"/>
          <w:right w:w="108" w:type="dxa"/>
        </w:tblCellMar>
        <w:tblLook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Druh majetku/záväzkov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Spôsob ocenenia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Náklady spojené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Dlhodobý nehmotný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Dlhodobý hmotný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kern w:val="0"/>
                <w:lang w:val="sk-SK" w:eastAsia="en-US" w:bidi="ar-SA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 xml:space="preserve">ÚJ </w:t>
            </w:r>
            <w:r>
              <w:rPr>
                <w:rFonts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ne</w:t>
            </w:r>
            <w:r>
              <w:rPr>
                <w:rFonts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Dlhodobý  finančný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Zásoby obstarané kúpou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Menovitá hodnota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Zásoby vytvorené vlastnou činnosťou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Pohľadávky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Menovitá hodnota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Krátkodobý finančný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Derivátové operácie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jc w:val="left"/>
        <w:tblInd w:w="88" w:type="dxa"/>
        <w:tblLayout w:type="fixed"/>
        <w:tblCellMar>
          <w:top w:w="0" w:type="dxa"/>
          <w:left w:w="88" w:type="dxa"/>
          <w:bottom w:w="0" w:type="dxa"/>
          <w:right w:w="108" w:type="dxa"/>
        </w:tblCellMar>
        <w:tblLook w:val="04a0"/>
      </w:tblPr>
      <w:tblGrid>
        <w:gridCol w:w="2157"/>
        <w:gridCol w:w="2274"/>
        <w:gridCol w:w="2260"/>
        <w:gridCol w:w="2262"/>
      </w:tblGrid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Druh majetku</w:t>
            </w:r>
          </w:p>
        </w:tc>
        <w:tc>
          <w:tcPr>
            <w:tcW w:w="227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Doba odpisovania</w:t>
            </w:r>
          </w:p>
        </w:tc>
        <w:tc>
          <w:tcPr>
            <w:tcW w:w="2260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Sadzba odpisov</w:t>
            </w:r>
          </w:p>
        </w:tc>
        <w:tc>
          <w:tcPr>
            <w:tcW w:w="2262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  <w:lang w:val="sk-SK" w:eastAsia="en-US" w:bidi="ar-SA"/>
              </w:rPr>
              <w:t>-</w:t>
            </w:r>
          </w:p>
        </w:tc>
        <w:tc>
          <w:tcPr>
            <w:tcW w:w="2274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  <w:lang w:val="sk-SK" w:eastAsia="en-US" w:bidi="ar-SA"/>
              </w:rPr>
              <w:t>4 roky</w:t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2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  <w:lang w:val="sk-SK" w:eastAsia="en-US" w:bidi="ar-SA"/>
              </w:rPr>
              <w:t>rovnomerne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-</w:t>
            </w:r>
          </w:p>
        </w:tc>
        <w:tc>
          <w:tcPr>
            <w:tcW w:w="2274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6 rokov</w:t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2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74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2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74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2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74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2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:id w:val="228178291"/>
        </w:sdtPr>
        <w:sdtContent>
          <w:r>
            <w:rPr/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</w:t>
      </w:r>
      <w:bookmarkStart w:id="3" w:name="__DdeLink__765_1075456598"/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</w:t>
      </w:r>
      <w:bookmarkEnd w:id="3"/>
      <w:r>
        <w:rPr>
          <w:rFonts w:eastAsia="MS Gothic" w:cs="Arial" w:ascii="Cambria" w:hAnsi="Cambria" w:asciiTheme="majorHAnsi" w:hAnsiTheme="majorHAnsi"/>
          <w:sz w:val="20"/>
          <w:szCs w:val="20"/>
        </w:rPr>
        <w:t>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:id w:val="1682456269"/>
        </w:sdtPr>
        <w:sdtContent>
          <w:r>
            <w:rPr/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sa rovnajú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. Ročný účtovný odpis sa môže odlišovať od daňového podľa počtu mesiacov od zaradenia majetku do konca roka.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ÚO = DO – podľa počtu mesiacov nadobudnutia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jc w:val="left"/>
        <w:tblInd w:w="88" w:type="dxa"/>
        <w:tblLayout w:type="fixed"/>
        <w:tblCellMar>
          <w:top w:w="0" w:type="dxa"/>
          <w:left w:w="88" w:type="dxa"/>
          <w:bottom w:w="0" w:type="dxa"/>
          <w:right w:w="108" w:type="dxa"/>
        </w:tblCellMar>
        <w:tblLook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Druh zmeny zásady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alebo metódy</w:t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Dôvod zmeny</w:t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4"/>
                <w:szCs w:val="24"/>
              </w:rPr>
            </w:pPr>
            <w:r>
              <w:rPr>
                <w:rFonts w:cs="Arial" w:ascii="Cambria" w:hAnsi="Cambria"/>
                <w:kern w:val="0"/>
                <w:sz w:val="24"/>
                <w:szCs w:val="24"/>
                <w:lang w:val="sk-SK" w:eastAsia="en-US" w:bidi="ar-SA"/>
              </w:rPr>
              <w:t>Bezo zmeny</w:t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sz w:val="20"/>
          <w:szCs w:val="20"/>
        </w:rPr>
      </w:pPr>
      <w:r>
        <w:rPr>
          <w:rFonts w:asciiTheme="majorHAnsi" w:hAnsiTheme="majorHAnsi" w:ascii="Cambria" w:hAnsi="Cambria"/>
          <w:sz w:val="20"/>
          <w:szCs w:val="20"/>
        </w:rPr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6 Oprava významných a nevýznamných chýb minulých účtovných období vykonaných v bežnom účtovnom období: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tbl>
      <w:tblPr>
        <w:tblStyle w:val="Mriekatabuky"/>
        <w:tblW w:w="8954" w:type="dxa"/>
        <w:jc w:val="left"/>
        <w:tblInd w:w="88" w:type="dxa"/>
        <w:tblLayout w:type="fixed"/>
        <w:tblCellMar>
          <w:top w:w="0" w:type="dxa"/>
          <w:left w:w="88" w:type="dxa"/>
          <w:bottom w:w="0" w:type="dxa"/>
          <w:right w:w="108" w:type="dxa"/>
        </w:tblCellMar>
        <w:tblLook w:val="04a0"/>
      </w:tblPr>
      <w:tblGrid>
        <w:gridCol w:w="2925"/>
        <w:gridCol w:w="3007"/>
        <w:gridCol w:w="3022"/>
      </w:tblGrid>
      <w:tr>
        <w:trPr>
          <w:trHeight w:val="397" w:hRule="atLeast"/>
        </w:trPr>
        <w:tc>
          <w:tcPr>
            <w:tcW w:w="292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Druh opravy</w:t>
            </w:r>
          </w:p>
        </w:tc>
        <w:tc>
          <w:tcPr>
            <w:tcW w:w="300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Suma</w:t>
            </w:r>
          </w:p>
        </w:tc>
        <w:tc>
          <w:tcPr>
            <w:tcW w:w="3022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významných</w:t>
            </w: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022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nevýznamných</w:t>
            </w: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022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</w:rPr>
      </w:pPr>
      <w:r>
        <w:rPr>
          <w:rFonts w:eastAsia="MS Gothic" w:cs="Times New Roman" w:ascii="Cambria" w:hAnsi="Cambria" w:asciiTheme="majorHAnsi" w:hAnsiTheme="majorHAnsi"/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</w:rPr>
        <w:t>nevytvorila</w:t>
      </w:r>
      <w:r>
        <w:rPr>
          <w:rFonts w:eastAsia="MS Gothic" w:cs="Times New Roman" w:ascii="Cambria" w:hAnsi="Cambria" w:asciiTheme="majorHAnsi" w:hAnsiTheme="majorHAnsi"/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/>
          <w:b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sz w:val="20"/>
          <w:szCs w:val="20"/>
        </w:rPr>
      </w:pPr>
      <w:r>
        <w:rPr>
          <w:rFonts w:asciiTheme="majorHAnsi" w:hAnsiTheme="majorHAnsi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</w:rPr>
      </w:pPr>
      <w:r>
        <w:rPr>
          <w:rFonts w:eastAsia="MS Gothic"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8" w:top="1417" w:footer="708" w:bottom="1417"/>
      <w:pgNumType w:fmt="decimal"/>
      <w:formProt w:val="false"/>
      <w:textDirection w:val="lrTb"/>
      <w:docGrid w:type="default" w:linePitch="360" w:charSpace="429496483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350410328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4</w:t>
        </w:r>
        <w:r>
          <w:rPr/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jc w:val="right"/>
      <w:rPr>
        <w:color w:val="365F91" w:themeColor="accent1" w:themeShade="bf"/>
        <w:sz w:val="36"/>
        <w:szCs w:val="36"/>
      </w:rPr>
    </w:pP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Mriekatabuky"/>
      <w:tblW w:w="7212" w:type="dxa"/>
      <w:jc w:val="right"/>
      <w:tblInd w:w="0" w:type="dxa"/>
      <w:tblLayout w:type="fixed"/>
      <w:tblCellMar>
        <w:top w:w="0" w:type="dxa"/>
        <w:left w:w="88" w:type="dxa"/>
        <w:bottom w:w="0" w:type="dxa"/>
        <w:right w:w="108" w:type="dxa"/>
      </w:tblCellMar>
      <w:tblLook w:val="04a0"/>
    </w:tblPr>
    <w:tblGrid>
      <w:gridCol w:w="587"/>
      <w:gridCol w:w="308"/>
      <w:gridCol w:w="308"/>
      <w:gridCol w:w="309"/>
      <w:gridCol w:w="308"/>
      <w:gridCol w:w="308"/>
      <w:gridCol w:w="306"/>
      <w:gridCol w:w="307"/>
      <w:gridCol w:w="308"/>
      <w:gridCol w:w="502"/>
      <w:gridCol w:w="588"/>
      <w:gridCol w:w="308"/>
      <w:gridCol w:w="307"/>
      <w:gridCol w:w="306"/>
      <w:gridCol w:w="309"/>
      <w:gridCol w:w="308"/>
      <w:gridCol w:w="308"/>
      <w:gridCol w:w="308"/>
      <w:gridCol w:w="306"/>
      <w:gridCol w:w="307"/>
      <w:gridCol w:w="304"/>
    </w:tblGrid>
    <w:tr>
      <w:trPr>
        <w:trHeight w:val="340" w:hRule="atLeast"/>
      </w:trPr>
      <w:tc>
        <w:tcPr>
          <w:tcW w:w="587" w:type="dxa"/>
          <w:tcBorders/>
          <w:shd w:color="auto" w:fill="auto" w:val="clear"/>
          <w:vAlign w:val="center"/>
        </w:tcPr>
        <w:p>
          <w:pPr>
            <w:pStyle w:val="Zhlavie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IČO: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uppressAutoHyphens w:val="true"/>
            <w:spacing w:before="0" w:after="0"/>
            <w:jc w:val="center"/>
            <w:rPr>
              <w:rFonts w:cs=""/>
              <w:kern w:val="0"/>
              <w:lang w:val="sk-SK" w:eastAsia="en-US" w:bidi="ar-SA"/>
            </w:rPr>
          </w:pPr>
          <w:r>
            <w:rPr>
              <w:rFonts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4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uppressAutoHyphens w:val="true"/>
            <w:spacing w:before="0" w:after="0"/>
            <w:jc w:val="center"/>
            <w:rPr>
              <w:rFonts w:cs=""/>
              <w:kern w:val="0"/>
              <w:szCs w:val="22"/>
              <w:lang w:val="sk-SK" w:eastAsia="en-US" w:bidi="ar-SA"/>
            </w:rPr>
          </w:pPr>
          <w:r>
            <w:rPr>
              <w:rFonts w:cs=""/>
              <w:kern w:val="0"/>
              <w:szCs w:val="22"/>
              <w:lang w:val="sk-SK" w:eastAsia="en-US" w:bidi="ar-SA"/>
            </w:rPr>
            <w:t>4</w:t>
          </w:r>
        </w:p>
      </w:tc>
      <w:tc>
        <w:tcPr>
          <w:tcW w:w="309" w:type="dxa"/>
          <w:tcBorders/>
          <w:shd w:color="auto" w:fill="auto" w:val="clear"/>
          <w:vAlign w:val="center"/>
        </w:tcPr>
        <w:p>
          <w:pPr>
            <w:pStyle w:val="Zhlavie"/>
            <w:widowControl/>
            <w:suppressAutoHyphens w:val="true"/>
            <w:spacing w:before="0" w:after="0"/>
            <w:jc w:val="center"/>
            <w:rPr>
              <w:rFonts w:cs=""/>
              <w:kern w:val="0"/>
              <w:szCs w:val="22"/>
              <w:lang w:val="sk-SK" w:eastAsia="en-US" w:bidi="ar-SA"/>
            </w:rPr>
          </w:pPr>
          <w:r>
            <w:rPr>
              <w:rFonts w:cs=""/>
              <w:kern w:val="0"/>
              <w:szCs w:val="22"/>
              <w:lang w:val="sk-SK" w:eastAsia="en-US" w:bidi="ar-SA"/>
            </w:rPr>
            <w:t>7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uppressAutoHyphens w:val="true"/>
            <w:spacing w:before="0" w:after="0"/>
            <w:jc w:val="center"/>
            <w:rPr>
              <w:rFonts w:cs=""/>
              <w:kern w:val="0"/>
              <w:szCs w:val="22"/>
              <w:lang w:val="sk-SK" w:eastAsia="en-US" w:bidi="ar-SA"/>
            </w:rPr>
          </w:pPr>
          <w:r>
            <w:rPr>
              <w:rFonts w:cs=""/>
              <w:kern w:val="0"/>
              <w:szCs w:val="22"/>
              <w:lang w:val="sk-SK" w:eastAsia="en-US" w:bidi="ar-SA"/>
            </w:rPr>
            <w:t>1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uppressAutoHyphens w:val="true"/>
            <w:spacing w:before="0" w:after="0"/>
            <w:jc w:val="center"/>
            <w:rPr>
              <w:rFonts w:cs=""/>
              <w:kern w:val="0"/>
              <w:szCs w:val="22"/>
              <w:lang w:val="sk-SK" w:eastAsia="en-US" w:bidi="ar-SA"/>
            </w:rPr>
          </w:pPr>
          <w:r>
            <w:rPr>
              <w:rFonts w:cs=""/>
              <w:kern w:val="0"/>
              <w:szCs w:val="22"/>
              <w:lang w:val="sk-SK" w:eastAsia="en-US" w:bidi="ar-SA"/>
            </w:rPr>
            <w:t>0</w:t>
          </w:r>
        </w:p>
      </w:tc>
      <w:tc>
        <w:tcPr>
          <w:tcW w:w="306" w:type="dxa"/>
          <w:tcBorders/>
          <w:shd w:color="auto" w:fill="auto" w:val="clear"/>
          <w:vAlign w:val="center"/>
        </w:tcPr>
        <w:p>
          <w:pPr>
            <w:pStyle w:val="Zhlavie"/>
            <w:widowControl/>
            <w:suppressAutoHyphens w:val="true"/>
            <w:spacing w:before="0" w:after="0"/>
            <w:jc w:val="center"/>
            <w:rPr>
              <w:rFonts w:cs=""/>
              <w:kern w:val="0"/>
              <w:lang w:val="sk-SK" w:eastAsia="en-US" w:bidi="ar-SA"/>
            </w:rPr>
          </w:pPr>
          <w:r>
            <w:rPr>
              <w:rFonts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07" w:type="dxa"/>
          <w:tcBorders/>
          <w:shd w:color="auto" w:fill="auto" w:val="clear"/>
          <w:vAlign w:val="center"/>
        </w:tcPr>
        <w:p>
          <w:pPr>
            <w:pStyle w:val="Zhlavie"/>
            <w:widowControl/>
            <w:suppressAutoHyphens w:val="true"/>
            <w:spacing w:before="0" w:after="0"/>
            <w:jc w:val="center"/>
            <w:rPr>
              <w:rFonts w:cs=""/>
              <w:kern w:val="0"/>
              <w:lang w:val="sk-SK" w:eastAsia="en-US" w:bidi="ar-SA"/>
            </w:rPr>
          </w:pPr>
          <w:r>
            <w:rPr>
              <w:rFonts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9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uppressAutoHyphens w:val="true"/>
            <w:spacing w:before="0" w:after="0"/>
            <w:jc w:val="center"/>
            <w:rPr>
              <w:rFonts w:cs=""/>
              <w:kern w:val="0"/>
              <w:lang w:val="sk-SK" w:eastAsia="en-US" w:bidi="ar-SA"/>
            </w:rPr>
          </w:pPr>
          <w:r>
            <w:rPr>
              <w:rFonts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1</w:t>
          </w:r>
        </w:p>
      </w:tc>
      <w:tc>
        <w:tcPr>
          <w:tcW w:w="502" w:type="dxa"/>
          <w:tcBorders>
            <w:top w:val="nil"/>
            <w:bottom w:val="nil"/>
          </w:tcBorders>
          <w:shd w:color="auto" w:fill="auto" w:val="clear"/>
          <w:vAlign w:val="center"/>
        </w:tcPr>
        <w:p>
          <w:pPr>
            <w:pStyle w:val="Zhlavie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cs="" w:ascii="Cambria" w:hAnsi="Cambria"/>
              <w:kern w:val="0"/>
              <w:sz w:val="20"/>
              <w:szCs w:val="22"/>
              <w:lang w:val="sk-SK" w:eastAsia="en-US" w:bidi="ar-SA"/>
            </w:rPr>
          </w:r>
        </w:p>
      </w:tc>
      <w:tc>
        <w:tcPr>
          <w:tcW w:w="588" w:type="dxa"/>
          <w:tcBorders/>
          <w:shd w:color="auto" w:fill="auto" w:val="clear"/>
          <w:vAlign w:val="center"/>
        </w:tcPr>
        <w:p>
          <w:pPr>
            <w:pStyle w:val="Zhlavie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DIČ: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07" w:type="dxa"/>
          <w:tcBorders/>
          <w:shd w:color="auto" w:fill="auto" w:val="clear"/>
          <w:vAlign w:val="center"/>
        </w:tcPr>
        <w:p>
          <w:pPr>
            <w:pStyle w:val="Zhlavie"/>
            <w:widowControl/>
            <w:suppressAutoHyphens w:val="true"/>
            <w:spacing w:before="0" w:after="0"/>
            <w:jc w:val="center"/>
            <w:rPr>
              <w:rFonts w:cs=""/>
              <w:kern w:val="0"/>
              <w:lang w:val="sk-SK" w:eastAsia="en-US" w:bidi="ar-SA"/>
            </w:rPr>
          </w:pPr>
          <w:r>
            <w:rPr>
              <w:rFonts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0</w:t>
          </w:r>
        </w:p>
      </w:tc>
      <w:tc>
        <w:tcPr>
          <w:tcW w:w="306" w:type="dxa"/>
          <w:tcBorders/>
          <w:shd w:color="auto" w:fill="auto" w:val="clear"/>
          <w:vAlign w:val="center"/>
        </w:tcPr>
        <w:p>
          <w:pPr>
            <w:pStyle w:val="Zhlavie"/>
            <w:widowControl/>
            <w:suppressAutoHyphens w:val="true"/>
            <w:spacing w:before="0" w:after="0"/>
            <w:jc w:val="center"/>
            <w:rPr>
              <w:rFonts w:cs=""/>
              <w:kern w:val="0"/>
              <w:lang w:val="sk-SK" w:eastAsia="en-US" w:bidi="ar-SA"/>
            </w:rPr>
          </w:pPr>
          <w:r>
            <w:rPr>
              <w:rFonts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09" w:type="dxa"/>
          <w:tcBorders/>
          <w:shd w:color="auto" w:fill="auto" w:val="clear"/>
          <w:vAlign w:val="center"/>
        </w:tcPr>
        <w:p>
          <w:pPr>
            <w:pStyle w:val="Zhlavie"/>
            <w:widowControl/>
            <w:suppressAutoHyphens w:val="true"/>
            <w:spacing w:before="0" w:after="0"/>
            <w:jc w:val="center"/>
            <w:rPr>
              <w:rFonts w:cs=""/>
              <w:kern w:val="0"/>
              <w:szCs w:val="22"/>
              <w:lang w:val="sk-SK" w:eastAsia="en-US" w:bidi="ar-SA"/>
            </w:rPr>
          </w:pPr>
          <w:r>
            <w:rPr>
              <w:rFonts w:cs=""/>
              <w:kern w:val="0"/>
              <w:szCs w:val="22"/>
              <w:lang w:val="sk-SK" w:eastAsia="en-US" w:bidi="ar-SA"/>
            </w:rPr>
            <w:t>2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uppressAutoHyphens w:val="true"/>
            <w:spacing w:before="0" w:after="0"/>
            <w:jc w:val="center"/>
            <w:rPr>
              <w:rFonts w:cs=""/>
              <w:kern w:val="0"/>
              <w:szCs w:val="22"/>
              <w:lang w:val="sk-SK" w:eastAsia="en-US" w:bidi="ar-SA"/>
            </w:rPr>
          </w:pPr>
          <w:r>
            <w:rPr>
              <w:rFonts w:cs=""/>
              <w:kern w:val="0"/>
              <w:szCs w:val="22"/>
              <w:lang w:val="sk-SK" w:eastAsia="en-US" w:bidi="ar-SA"/>
            </w:rPr>
            <w:t>8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uppressAutoHyphens w:val="true"/>
            <w:spacing w:before="0" w:after="0"/>
            <w:jc w:val="center"/>
            <w:rPr>
              <w:rFonts w:cs=""/>
              <w:kern w:val="0"/>
              <w:szCs w:val="22"/>
              <w:lang w:val="sk-SK" w:eastAsia="en-US" w:bidi="ar-SA"/>
            </w:rPr>
          </w:pPr>
          <w:r>
            <w:rPr>
              <w:rFonts w:cs=""/>
              <w:kern w:val="0"/>
              <w:szCs w:val="22"/>
              <w:lang w:val="sk-SK" w:eastAsia="en-US" w:bidi="ar-SA"/>
            </w:rPr>
            <w:t>0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uppressAutoHyphens w:val="true"/>
            <w:spacing w:before="0" w:after="0"/>
            <w:jc w:val="center"/>
            <w:rPr>
              <w:rFonts w:cs=""/>
              <w:kern w:val="0"/>
              <w:lang w:val="sk-SK" w:eastAsia="en-US" w:bidi="ar-SA"/>
            </w:rPr>
          </w:pPr>
          <w:r>
            <w:rPr>
              <w:rFonts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3</w:t>
          </w:r>
        </w:p>
      </w:tc>
      <w:tc>
        <w:tcPr>
          <w:tcW w:w="306" w:type="dxa"/>
          <w:tcBorders/>
          <w:shd w:color="auto" w:fill="auto" w:val="clear"/>
          <w:vAlign w:val="center"/>
        </w:tcPr>
        <w:p>
          <w:pPr>
            <w:pStyle w:val="Zhlavie"/>
            <w:widowControl/>
            <w:suppressAutoHyphens w:val="true"/>
            <w:spacing w:before="0" w:after="0"/>
            <w:jc w:val="center"/>
            <w:rPr>
              <w:rFonts w:cs=""/>
              <w:kern w:val="0"/>
              <w:lang w:val="sk-SK" w:eastAsia="en-US" w:bidi="ar-SA"/>
            </w:rPr>
          </w:pPr>
          <w:r>
            <w:rPr>
              <w:rFonts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1</w:t>
          </w:r>
        </w:p>
      </w:tc>
      <w:tc>
        <w:tcPr>
          <w:tcW w:w="307" w:type="dxa"/>
          <w:tcBorders/>
          <w:shd w:color="auto" w:fill="auto" w:val="clear"/>
          <w:vAlign w:val="center"/>
        </w:tcPr>
        <w:p>
          <w:pPr>
            <w:pStyle w:val="Zhlavie"/>
            <w:widowControl/>
            <w:suppressAutoHyphens w:val="true"/>
            <w:spacing w:before="0" w:after="0"/>
            <w:jc w:val="center"/>
            <w:rPr>
              <w:rFonts w:cs=""/>
              <w:kern w:val="0"/>
              <w:lang w:val="sk-SK" w:eastAsia="en-US" w:bidi="ar-SA"/>
            </w:rPr>
          </w:pPr>
          <w:r>
            <w:rPr>
              <w:rFonts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4</w:t>
          </w:r>
        </w:p>
      </w:tc>
      <w:tc>
        <w:tcPr>
          <w:tcW w:w="304" w:type="dxa"/>
          <w:tcBorders/>
          <w:shd w:color="auto" w:fill="auto" w:val="clear"/>
          <w:vAlign w:val="center"/>
        </w:tcPr>
        <w:p>
          <w:pPr>
            <w:pStyle w:val="Zhlavie"/>
            <w:widowControl/>
            <w:suppressAutoHyphens w:val="true"/>
            <w:spacing w:before="0" w:after="0"/>
            <w:jc w:val="center"/>
            <w:rPr>
              <w:rFonts w:cs=""/>
              <w:kern w:val="0"/>
              <w:lang w:val="sk-SK" w:eastAsia="en-US" w:bidi="ar-SA"/>
            </w:rPr>
          </w:pPr>
          <w:r>
            <w:rPr>
              <w:rFonts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5</w:t>
          </w:r>
        </w:p>
      </w:tc>
    </w:tr>
  </w:tbl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  <w:rPr/>
    </w:lvl>
  </w:abstractNum>
  <w:abstractNum w:abstractNumId="2">
    <w:lvl w:ilvl="0">
      <w:start w:val="2"/>
      <w:numFmt w:val="upperLetter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4205b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/>
      <w:color w:val="00000A"/>
      <w:kern w:val="0"/>
      <w:sz w:val="22"/>
      <w:szCs w:val="22"/>
      <w:lang w:val="sk-SK" w:eastAsia="en-US" w:bidi="ar-SA"/>
    </w:rPr>
  </w:style>
  <w:style w:type="paragraph" w:styleId="Nadpis1" w:customStyle="1">
    <w:name w:val="Heading 1"/>
    <w:basedOn w:val="Normal"/>
    <w:next w:val="Normal"/>
    <w:link w:val="Heading1Char"/>
    <w:uiPriority w:val="9"/>
    <w:qFormat/>
    <w:rsid w:val="00cc0c09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 w:customStyle="1">
    <w:name w:val="Heading 2"/>
    <w:basedOn w:val="Normal"/>
    <w:next w:val="Normal"/>
    <w:link w:val="Heading2Char"/>
    <w:uiPriority w:val="9"/>
    <w:unhideWhenUsed/>
    <w:qFormat/>
    <w:rsid w:val="00567bed"/>
    <w:pPr>
      <w:keepNext w:val="true"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uiPriority w:val="99"/>
    <w:qFormat/>
    <w:rsid w:val="00f0301d"/>
    <w:rPr/>
  </w:style>
  <w:style w:type="character" w:styleId="FooterChar" w:customStyle="1">
    <w:name w:val="Footer Char"/>
    <w:basedOn w:val="DefaultParagraphFont"/>
    <w:uiPriority w:val="99"/>
    <w:qFormat/>
    <w:rsid w:val="00f0301d"/>
    <w:rPr/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TextkomentraChar" w:customStyle="1">
    <w:name w:val="Text komentára Char"/>
    <w:basedOn w:val="DefaultParagraphFont"/>
    <w:link w:val="Annotationtext"/>
    <w:uiPriority w:val="99"/>
    <w:semiHidden/>
    <w:qFormat/>
    <w:rsid w:val="00c93dc7"/>
    <w:rPr>
      <w:sz w:val="20"/>
      <w:szCs w:val="20"/>
    </w:rPr>
  </w:style>
  <w:style w:type="character" w:styleId="PredmetkomentraChar" w:customStyle="1">
    <w:name w:val="Predmet komentára Char"/>
    <w:basedOn w:val="TextkomentraChar"/>
    <w:link w:val="Annotationsubject"/>
    <w:uiPriority w:val="99"/>
    <w:semiHidden/>
    <w:qFormat/>
    <w:rsid w:val="00c93dc7"/>
    <w:rPr>
      <w:b/>
      <w:bCs/>
      <w:sz w:val="20"/>
      <w:szCs w:val="20"/>
    </w:rPr>
  </w:style>
  <w:style w:type="character" w:styleId="CitciaChar" w:customStyle="1">
    <w:name w:val="Citácia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HlavikaChar" w:customStyle="1">
    <w:name w:val="Hlavička Char"/>
    <w:basedOn w:val="DefaultParagraphFont"/>
    <w:uiPriority w:val="99"/>
    <w:semiHidden/>
    <w:qFormat/>
    <w:rsid w:val="003f55e4"/>
    <w:rPr>
      <w:color w:val="00000A"/>
      <w:sz w:val="22"/>
    </w:rPr>
  </w:style>
  <w:style w:type="character" w:styleId="PtaChar" w:customStyle="1">
    <w:name w:val="Päta Char"/>
    <w:basedOn w:val="DefaultParagraphFont"/>
    <w:uiPriority w:val="99"/>
    <w:semiHidden/>
    <w:qFormat/>
    <w:rsid w:val="003f55e4"/>
    <w:rPr>
      <w:color w:val="00000A"/>
      <w:sz w:val="22"/>
    </w:rPr>
  </w:style>
  <w:style w:type="paragraph" w:styleId="Nadpis" w:customStyle="1">
    <w:name w:val="Nadpis"/>
    <w:basedOn w:val="Normal"/>
    <w:next w:val="Telotextu"/>
    <w:qFormat/>
    <w:rsid w:val="005b1426"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rsid w:val="005b1426"/>
    <w:pPr>
      <w:spacing w:lineRule="auto" w:line="288" w:before="0" w:after="140"/>
    </w:pPr>
    <w:rPr/>
  </w:style>
  <w:style w:type="paragraph" w:styleId="Zoznam">
    <w:name w:val="List"/>
    <w:basedOn w:val="Telotextu"/>
    <w:rsid w:val="005b1426"/>
    <w:pPr/>
    <w:rPr>
      <w:rFonts w:cs="Arial"/>
    </w:rPr>
  </w:style>
  <w:style w:type="paragraph" w:styleId="Popis" w:customStyle="1">
    <w:name w:val="Caption"/>
    <w:basedOn w:val="Normal"/>
    <w:qFormat/>
    <w:rsid w:val="005b142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rsid w:val="005b1426"/>
    <w:pPr>
      <w:suppressLineNumbers/>
    </w:pPr>
    <w:rPr>
      <w:rFonts w:cs="Arial"/>
    </w:rPr>
  </w:style>
  <w:style w:type="paragraph" w:styleId="Hlavikaapta" w:customStyle="1">
    <w:name w:val="Hlavička a päta"/>
    <w:basedOn w:val="Normal"/>
    <w:qFormat/>
    <w:rsid w:val="00673f51"/>
    <w:pPr/>
    <w:rPr/>
  </w:style>
  <w:style w:type="paragraph" w:styleId="Zhlavie" w:customStyle="1">
    <w:name w:val="Header"/>
    <w:basedOn w:val="Normal"/>
    <w:link w:val="HlavikaChar"/>
    <w:uiPriority w:val="99"/>
    <w:semiHidden/>
    <w:unhideWhenUsed/>
    <w:rsid w:val="003f55e4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 w:customStyle="1">
    <w:name w:val="Footer"/>
    <w:basedOn w:val="Normal"/>
    <w:link w:val="PtaChar"/>
    <w:uiPriority w:val="99"/>
    <w:semiHidden/>
    <w:unhideWhenUsed/>
    <w:rsid w:val="003f55e4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"/>
      <w:color w:val="00000A"/>
      <w:kern w:val="0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Textkomentra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Predmetkomentra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Citcia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c7517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A4E0C-F126-4E8E-BF64-62F439B8EE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Application>LibreOffice/7.3.5.2$Windows_X86_64 LibreOffice_project/184fe81b8c8c30d8b5082578aee2fed2ea847c01</Application>
  <AppVersion>15.0000</AppVersion>
  <Pages>4</Pages>
  <Words>596</Words>
  <Characters>3578</Characters>
  <CharactersWithSpaces>4110</CharactersWithSpaces>
  <Paragraphs>109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2025-05-26T09:46:05Z</cp:lastPrinted>
  <dcterms:modified xsi:type="dcterms:W3CDTF">2025-05-26T09:46:11Z</dcterms:modified>
  <cp:revision>19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