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keepNext w:val="true"/>
        <w:numPr>
          <w:ilvl w:val="0"/>
          <w:numId w:val="0"/>
        </w:numPr>
        <w:tabs>
          <w:tab w:val="clear" w:pos="408"/>
          <w:tab w:val="left" w:pos="2635" w:leader="none"/>
          <w:tab w:val="center" w:pos="4734" w:leader="none"/>
        </w:tabs>
        <w:spacing w:lineRule="auto" w:line="240" w:before="0" w:after="0"/>
        <w:outlineLvl w:val="1"/>
        <w:rPr>
          <w:rFonts w:cs="Arial"/>
          <w:b/>
          <w:b/>
          <w:bCs/>
          <w:color w:val="FF0000"/>
          <w:sz w:val="24"/>
          <w:szCs w:val="24"/>
          <w:u w:val="single"/>
          <w:lang w:eastAsia="sk-SK"/>
        </w:rPr>
      </w:pPr>
      <w:r>
        <w:rPr>
          <w:rFonts w:cs="Arial"/>
          <w:b/>
          <w:bCs/>
          <w:color w:val="FF0000"/>
          <w:sz w:val="24"/>
          <w:szCs w:val="24"/>
          <w:u w:val="single"/>
          <w:lang w:eastAsia="sk-SK"/>
        </w:rPr>
      </w:r>
    </w:p>
    <w:p>
      <w:pPr>
        <w:pStyle w:val="Normal"/>
        <w:keepNext w:val="true"/>
        <w:numPr>
          <w:ilvl w:val="0"/>
          <w:numId w:val="0"/>
        </w:numPr>
        <w:tabs>
          <w:tab w:val="clear" w:pos="408"/>
          <w:tab w:val="left" w:pos="2635" w:leader="none"/>
          <w:tab w:val="center" w:pos="4734" w:leader="none"/>
        </w:tabs>
        <w:spacing w:lineRule="auto" w:line="240" w:before="0" w:after="0"/>
        <w:outlineLvl w:val="1"/>
        <w:rPr>
          <w:rFonts w:cs="Arial"/>
          <w:b/>
          <w:b/>
          <w:bCs/>
          <w:i/>
          <w:i/>
          <w:sz w:val="24"/>
          <w:szCs w:val="24"/>
          <w:u w:val="single"/>
          <w:lang w:eastAsia="sk-SK"/>
        </w:rPr>
      </w:pPr>
      <w:r>
        <w:rPr>
          <w:rFonts w:cs="Arial"/>
          <w:b/>
          <w:bCs/>
          <w:i/>
          <w:sz w:val="24"/>
          <w:szCs w:val="24"/>
          <w:u w:val="single"/>
          <w:lang w:eastAsia="sk-SK"/>
        </w:rPr>
        <w:t>Všeobecné informácie o účtovnej jednotke</w:t>
      </w:r>
    </w:p>
    <w:p>
      <w:pPr>
        <w:pStyle w:val="Normal"/>
        <w:keepNext w:val="true"/>
        <w:numPr>
          <w:ilvl w:val="0"/>
          <w:numId w:val="0"/>
        </w:numPr>
        <w:tabs>
          <w:tab w:val="clear" w:pos="408"/>
          <w:tab w:val="left" w:pos="2635" w:leader="none"/>
          <w:tab w:val="center" w:pos="4734" w:leader="none"/>
        </w:tabs>
        <w:spacing w:lineRule="auto" w:line="240" w:before="0" w:after="0"/>
        <w:outlineLvl w:val="1"/>
        <w:rPr>
          <w:rFonts w:cs="Arial"/>
          <w:b/>
          <w:b/>
          <w:bCs/>
          <w:sz w:val="20"/>
          <w:szCs w:val="24"/>
          <w:u w:val="single"/>
          <w:lang w:eastAsia="sk-SK"/>
        </w:rPr>
      </w:pPr>
      <w:r>
        <w:rPr>
          <w:rFonts w:cs="Arial"/>
          <w:b/>
          <w:bCs/>
          <w:sz w:val="20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2"/>
        </w:numPr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Názov právnickej osoby a jej sídlo alebo meno a priezvisko fyzickej osoby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1988"/>
        <w:gridCol w:w="7083"/>
      </w:tblGrid>
      <w:tr>
        <w:trPr>
          <w:trHeight w:val="110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</w:r>
          </w:p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Obchodné meno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/>
                <w:sz w:val="20"/>
                <w:szCs w:val="22"/>
                <w:lang w:eastAsia="sk-SK"/>
              </w:rPr>
              <w:t> </w:t>
            </w:r>
            <w:r>
              <w:rPr>
                <w:rFonts w:cs="Arial"/>
                <w:sz w:val="20"/>
                <w:szCs w:val="22"/>
                <w:lang w:eastAsia="sk-SK"/>
              </w:rPr>
              <w:t>Kancelária SK s.r.o.</w:t>
            </w:r>
          </w:p>
        </w:tc>
      </w:tr>
      <w:tr>
        <w:trPr>
          <w:trHeight w:val="39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Sídlo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sz w:val="20"/>
                <w:szCs w:val="22"/>
                <w:lang w:eastAsia="sk-SK"/>
              </w:rPr>
              <w:t>Kubačova 1/A   Bratislava – Rača  831 06</w:t>
            </w:r>
          </w:p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</w:r>
          </w:p>
        </w:tc>
      </w:tr>
      <w:tr>
        <w:trPr>
          <w:trHeight w:val="39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Právna forma: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sz w:val="20"/>
                <w:szCs w:val="22"/>
                <w:lang w:eastAsia="sk-SK"/>
              </w:rPr>
              <w:t>Spoločnosť s ručením obmedzeným</w:t>
            </w:r>
          </w:p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</w:r>
          </w:p>
        </w:tc>
      </w:tr>
      <w:tr>
        <w:trPr>
          <w:trHeight w:val="39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Dátum vzniku: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sz w:val="20"/>
                <w:szCs w:val="22"/>
                <w:lang w:eastAsia="sk-SK"/>
              </w:rPr>
              <w:t>Zápisom do obchodného registra : 1.6.2016</w:t>
            </w:r>
          </w:p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</w:r>
          </w:p>
        </w:tc>
      </w:tr>
      <w:tr>
        <w:trPr>
          <w:trHeight w:val="39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Hlavný predmet podnikania: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sz w:val="20"/>
                <w:szCs w:val="22"/>
                <w:lang w:eastAsia="sk-SK"/>
              </w:rPr>
              <w:t>Kúpa tovaru na účely jeho predaja konečnému spotrebiteľovi (maloobchod) alebo iným prevádzkovateľom živnosti (veľkoobchod)</w:t>
            </w:r>
          </w:p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</w:r>
          </w:p>
        </w:tc>
      </w:tr>
      <w:tr>
        <w:trPr>
          <w:trHeight w:val="390" w:hRule="atLeast"/>
        </w:trPr>
        <w:tc>
          <w:tcPr>
            <w:tcW w:w="19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Účtovné obdobie:</w:t>
            </w:r>
          </w:p>
        </w:tc>
        <w:tc>
          <w:tcPr>
            <w:tcW w:w="70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/>
            </w:pPr>
            <w:r>
              <w:rPr>
                <w:rFonts w:cs="Arial"/>
                <w:sz w:val="20"/>
                <w:szCs w:val="22"/>
                <w:lang w:eastAsia="sk-SK"/>
              </w:rPr>
              <w:t>Kalendárny rok (od 1.1.20</w:t>
            </w:r>
            <w:r>
              <w:rPr>
                <w:rFonts w:eastAsia="Times New Roman" w:cs="Arial"/>
                <w:color w:val="auto"/>
                <w:kern w:val="0"/>
                <w:sz w:val="20"/>
                <w:szCs w:val="22"/>
                <w:lang w:val="sk-SK" w:eastAsia="sk-SK" w:bidi="ar-SA"/>
              </w:rPr>
              <w:t>2</w:t>
            </w:r>
            <w:r>
              <w:rPr>
                <w:rFonts w:eastAsia="Times New Roman" w:cs="Arial"/>
                <w:color w:val="auto"/>
                <w:kern w:val="0"/>
                <w:sz w:val="20"/>
                <w:szCs w:val="22"/>
                <w:lang w:val="sk-SK" w:eastAsia="sk-SK" w:bidi="ar-SA"/>
              </w:rPr>
              <w:t>4</w:t>
            </w:r>
            <w:r>
              <w:rPr>
                <w:rFonts w:cs="Arial"/>
                <w:sz w:val="20"/>
                <w:szCs w:val="22"/>
                <w:lang w:eastAsia="sk-SK"/>
              </w:rPr>
              <w:t xml:space="preserve"> do 31.12.202</w:t>
            </w:r>
            <w:r>
              <w:rPr>
                <w:rFonts w:cs="Arial"/>
                <w:sz w:val="20"/>
                <w:szCs w:val="22"/>
                <w:lang w:eastAsia="sk-SK"/>
              </w:rPr>
              <w:t>4</w:t>
            </w:r>
            <w:r>
              <w:rPr>
                <w:rFonts w:cs="Arial"/>
                <w:sz w:val="20"/>
                <w:szCs w:val="22"/>
                <w:lang w:eastAsia="sk-SK"/>
              </w:rPr>
              <w:t>)</w:t>
            </w:r>
          </w:p>
          <w:p>
            <w:pPr>
              <w:pStyle w:val="Normal"/>
              <w:spacing w:lineRule="auto" w:line="240" w:before="0" w:after="0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2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Dátum schválenia účtovnej závierky za bezprostredne predchádzajúce účtovné obdobie</w:t>
      </w:r>
    </w:p>
    <w:p>
      <w:pPr>
        <w:pStyle w:val="Normal"/>
        <w:spacing w:lineRule="auto" w:line="240" w:before="0" w:after="0"/>
        <w:ind w:left="774" w:hanging="0"/>
        <w:jc w:val="both"/>
        <w:rPr/>
      </w:pPr>
      <w:r>
        <w:rPr>
          <w:rFonts w:cs="Arial"/>
          <w:color w:val="000000" w:themeColor="text1"/>
          <w:sz w:val="20"/>
          <w:szCs w:val="24"/>
          <w:lang w:eastAsia="sk-SK"/>
        </w:rPr>
        <w:t xml:space="preserve">Dátum vzniku spoločnosti: </w:t>
      </w:r>
      <w:r>
        <w:rPr>
          <w:rFonts w:eastAsia="Times New Roman" w:cs="Arial"/>
          <w:color w:val="000000" w:themeColor="text1"/>
          <w:sz w:val="20"/>
          <w:szCs w:val="24"/>
          <w:lang w:eastAsia="sk-SK"/>
        </w:rPr>
        <w:t>1.6.2016</w:t>
      </w:r>
    </w:p>
    <w:p>
      <w:pPr>
        <w:pStyle w:val="Normal"/>
        <w:spacing w:lineRule="auto" w:line="240" w:before="0" w:after="0"/>
        <w:ind w:left="77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2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Právny dôvod zostavenia účtovnej závierky</w:t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993"/>
        <w:gridCol w:w="3402"/>
        <w:gridCol w:w="2809"/>
        <w:gridCol w:w="1549"/>
        <w:gridCol w:w="318"/>
      </w:tblGrid>
      <w:tr>
        <w:trPr>
          <w:trHeight w:val="340" w:hRule="exact"/>
        </w:trPr>
        <w:tc>
          <w:tcPr>
            <w:tcW w:w="99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keepNext w:val="true"/>
              <w:numPr>
                <w:ilvl w:val="0"/>
                <w:numId w:val="1"/>
              </w:numPr>
              <w:spacing w:lineRule="auto" w:line="240" w:before="0" w:after="0"/>
              <w:ind w:left="357" w:hanging="357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211" w:type="dxa"/>
            <w:gridSpan w:val="2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211" w:type="dxa"/>
            <w:gridSpan w:val="2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Mimoriadna</w:t>
            </w:r>
          </w:p>
        </w:tc>
        <w:tc>
          <w:tcPr>
            <w:tcW w:w="3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exact"/>
        </w:trPr>
        <w:tc>
          <w:tcPr>
            <w:tcW w:w="99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Dôvod mimoriadnej účtovnej závierky</w:t>
            </w:r>
          </w:p>
        </w:tc>
        <w:tc>
          <w:tcPr>
            <w:tcW w:w="467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ListParagraph"/>
        <w:rPr>
          <w:rFonts w:cs="Arial"/>
          <w:color w:val="C00000"/>
          <w:sz w:val="20"/>
          <w:szCs w:val="24"/>
          <w:u w:val="single"/>
          <w:lang w:eastAsia="sk-SK"/>
        </w:rPr>
      </w:pPr>
      <w:r>
        <w:rPr>
          <w:rFonts w:cs="Arial"/>
          <w:color w:val="C00000"/>
          <w:sz w:val="20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2"/>
        </w:numPr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Informácie o konsolidovanom celku,</w:t>
      </w:r>
      <w:r>
        <w:rPr>
          <w:rFonts w:cs="Arial"/>
          <w:sz w:val="20"/>
          <w:szCs w:val="24"/>
          <w:lang w:eastAsia="sk-SK"/>
        </w:rPr>
        <w:t xml:space="preserve"> 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113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Účtovná jednotka nie je súčasťou konsolidovaného celku a účtovná jednotka nie je materskou účtovnou jednotkou (uvedené sa uvádza, ak obchodnú spoločnosť vlastnia len fyzické osoby a sama účtovná jednotka nevlastní akcie alebo obchodné podiely (účet 061,062,063)).</w:t>
      </w:r>
    </w:p>
    <w:p>
      <w:pPr>
        <w:pStyle w:val="Normal"/>
        <w:spacing w:lineRule="auto" w:line="240" w:before="0" w:after="0"/>
        <w:ind w:left="1494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numPr>
          <w:ilvl w:val="0"/>
          <w:numId w:val="2"/>
        </w:numPr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  <w:t>Priemerný prepočítaný počet zamestnancov</w:t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tbl>
      <w:tblPr>
        <w:tblW w:w="4700" w:type="pct"/>
        <w:jc w:val="center"/>
        <w:tblInd w:w="0" w:type="dxa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775"/>
        <w:gridCol w:w="6475"/>
        <w:gridCol w:w="1277"/>
      </w:tblGrid>
      <w:tr>
        <w:trPr>
          <w:trHeight w:val="340" w:hRule="atLeast"/>
        </w:trPr>
        <w:tc>
          <w:tcPr>
            <w:tcW w:w="77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keepNext w:val="true"/>
              <w:numPr>
                <w:ilvl w:val="0"/>
                <w:numId w:val="0"/>
              </w:numPr>
              <w:spacing w:lineRule="auto" w:line="240" w:before="0" w:after="0"/>
              <w:ind w:left="357" w:hanging="0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keepNext w:val="tru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bežné účtovné obdobie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spacing w:lineRule="auto" w:line="240" w:before="0" w:after="0"/>
              <w:contextualSpacing/>
              <w:rPr/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11</w:t>
            </w:r>
          </w:p>
          <w:p>
            <w:pPr>
              <w:pStyle w:val="ListParagraph"/>
              <w:spacing w:lineRule="auto" w:line="240" w:before="0" w:after="0"/>
              <w:contextualSpacing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775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keepNext w:val="true"/>
              <w:numPr>
                <w:ilvl w:val="0"/>
                <w:numId w:val="0"/>
              </w:numPr>
              <w:spacing w:lineRule="auto" w:line="240" w:before="0" w:after="0"/>
              <w:ind w:left="357" w:hanging="0"/>
              <w:contextualSpacing/>
              <w:jc w:val="both"/>
              <w:outlineLvl w:val="1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keepNext w:val="true"/>
              <w:numPr>
                <w:ilvl w:val="0"/>
                <w:numId w:val="0"/>
              </w:numPr>
              <w:spacing w:lineRule="auto" w:line="240" w:before="0" w:after="0"/>
              <w:ind w:left="0" w:hanging="0"/>
              <w:contextualSpacing/>
              <w:outlineLvl w:val="1"/>
              <w:rPr>
                <w:szCs w:val="22"/>
              </w:rPr>
            </w:pPr>
            <w:r>
              <w:rPr>
                <w:szCs w:val="22"/>
              </w:rPr>
              <w:t>Priemerný prepočítaný počet zamestnancov  bezprostredne predchádzajúce ÚO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spacing w:lineRule="auto" w:line="240" w:before="0" w:after="0"/>
              <w:contextualSpacing/>
              <w:rPr>
                <w:rFonts w:ascii="Arial Narrow" w:hAnsi="Arial Narrow"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</w:pPr>
            <w:r>
              <w:rPr>
                <w:rFonts w:eastAsia="Times New Roman" w:cs="Times New Roman"/>
                <w:color w:val="auto"/>
                <w:kern w:val="0"/>
                <w:sz w:val="22"/>
                <w:szCs w:val="22"/>
                <w:lang w:val="sk-SK" w:eastAsia="en-US" w:bidi="ar-SA"/>
              </w:rPr>
              <w:t>11</w:t>
            </w:r>
          </w:p>
          <w:p>
            <w:pPr>
              <w:pStyle w:val="ListParagraph"/>
              <w:spacing w:lineRule="auto" w:line="240" w:before="0" w:after="0"/>
              <w:contextualSpacing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u w:val="single"/>
          <w:lang w:eastAsia="sk-SK"/>
        </w:rPr>
      </w:pPr>
      <w:r>
        <w:rPr>
          <w:rFonts w:cs="Arial"/>
          <w:sz w:val="20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ind w:left="1481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</w:p>
    <w:p>
      <w:pPr>
        <w:pStyle w:val="Normal"/>
        <w:tabs>
          <w:tab w:val="clear" w:pos="408"/>
          <w:tab w:val="left" w:pos="851" w:leader="none"/>
        </w:tabs>
        <w:spacing w:lineRule="auto" w:line="240" w:before="0" w:after="0"/>
        <w:jc w:val="both"/>
        <w:rPr>
          <w:rFonts w:cs="Arial"/>
          <w:b/>
          <w:b/>
          <w:i/>
          <w:i/>
          <w:sz w:val="24"/>
          <w:szCs w:val="24"/>
          <w:u w:val="single"/>
          <w:lang w:eastAsia="sk-SK"/>
        </w:rPr>
      </w:pPr>
      <w:r>
        <w:rPr>
          <w:rFonts w:cs="Arial"/>
          <w:b/>
          <w:i/>
          <w:sz w:val="24"/>
          <w:szCs w:val="24"/>
          <w:u w:val="single"/>
          <w:lang w:eastAsia="sk-SK"/>
        </w:rPr>
        <w:t>Informácie o prijatých postupoch</w:t>
      </w:r>
    </w:p>
    <w:p>
      <w:pPr>
        <w:pStyle w:val="Normal"/>
        <w:tabs>
          <w:tab w:val="clear" w:pos="408"/>
          <w:tab w:val="left" w:pos="851" w:leader="none"/>
        </w:tabs>
        <w:spacing w:lineRule="auto" w:line="240" w:before="0" w:after="0"/>
        <w:jc w:val="both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</w:r>
    </w:p>
    <w:p>
      <w:pPr>
        <w:pStyle w:val="Normal"/>
        <w:numPr>
          <w:ilvl w:val="0"/>
          <w:numId w:val="3"/>
        </w:numPr>
        <w:tabs>
          <w:tab w:val="clear" w:pos="4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Účtovná závierka bola zostavená za predpokladu, že účtovná jednotka bude nepretržite pokračovať vo svojej činnosti </w:t>
      </w:r>
    </w:p>
    <w:p>
      <w:pPr>
        <w:pStyle w:val="Normal"/>
        <w:numPr>
          <w:ilvl w:val="0"/>
          <w:numId w:val="3"/>
        </w:numPr>
        <w:tabs>
          <w:tab w:val="clear" w:pos="408"/>
          <w:tab w:val="left" w:pos="851" w:leader="none"/>
        </w:tabs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Popis oceňovania  jednotlivých položiek majetku a záväzkov, o ktorých konkrétna účtovná jednotka účtuje. Popisujú sa ocenenie konkrétneho majetku a záväzkov účtovnej jednotky.</w:t>
      </w:r>
    </w:p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</w:rPr>
      </w:pPr>
      <w:r>
        <w:rPr>
          <w:rFonts w:cs="Arial"/>
          <w:sz w:val="20"/>
          <w:szCs w:val="24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b/>
          <w:b/>
          <w:i/>
          <w:i/>
          <w:sz w:val="20"/>
          <w:szCs w:val="24"/>
        </w:rPr>
      </w:pPr>
      <w:r>
        <w:rPr>
          <w:rFonts w:cs="Arial"/>
          <w:b/>
          <w:i/>
          <w:sz w:val="20"/>
          <w:szCs w:val="24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b/>
          <w:b/>
          <w:i/>
          <w:i/>
          <w:sz w:val="20"/>
          <w:szCs w:val="24"/>
        </w:rPr>
      </w:pPr>
      <w:r>
        <w:rPr>
          <w:rFonts w:cs="Arial"/>
          <w:b/>
          <w:i/>
          <w:sz w:val="20"/>
          <w:szCs w:val="24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b/>
          <w:b/>
          <w:i/>
          <w:i/>
          <w:sz w:val="20"/>
          <w:szCs w:val="24"/>
        </w:rPr>
      </w:pPr>
      <w:r>
        <w:rPr>
          <w:rFonts w:cs="Arial"/>
          <w:b/>
          <w:i/>
          <w:sz w:val="20"/>
          <w:szCs w:val="24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b/>
          <w:b/>
          <w:i/>
          <w:i/>
          <w:sz w:val="20"/>
          <w:szCs w:val="24"/>
        </w:rPr>
      </w:pPr>
      <w:r>
        <w:rPr>
          <w:rFonts w:cs="Arial"/>
          <w:b/>
          <w:i/>
          <w:sz w:val="20"/>
          <w:szCs w:val="24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b/>
          <w:b/>
          <w:i/>
          <w:i/>
          <w:sz w:val="20"/>
          <w:szCs w:val="24"/>
        </w:rPr>
      </w:pPr>
      <w:r>
        <w:rPr>
          <w:rFonts w:cs="Arial"/>
          <w:b/>
          <w:i/>
          <w:sz w:val="20"/>
          <w:szCs w:val="24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b/>
          <w:b/>
          <w:i/>
          <w:i/>
          <w:sz w:val="20"/>
          <w:szCs w:val="24"/>
        </w:rPr>
      </w:pPr>
      <w:r>
        <w:rPr>
          <w:rFonts w:cs="Arial"/>
          <w:b/>
          <w:i/>
          <w:sz w:val="20"/>
          <w:szCs w:val="24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b/>
          <w:b/>
          <w:i/>
          <w:i/>
          <w:sz w:val="20"/>
          <w:szCs w:val="24"/>
        </w:rPr>
      </w:pPr>
      <w:r>
        <w:rPr>
          <w:rFonts w:cs="Arial"/>
          <w:b/>
          <w:i/>
          <w:sz w:val="20"/>
          <w:szCs w:val="24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b/>
          <w:b/>
          <w:i/>
          <w:i/>
          <w:sz w:val="20"/>
          <w:szCs w:val="24"/>
        </w:rPr>
      </w:pPr>
      <w:r>
        <w:rPr>
          <w:rFonts w:cs="Arial"/>
          <w:b/>
          <w:i/>
          <w:sz w:val="20"/>
          <w:szCs w:val="24"/>
        </w:rPr>
        <w:t>Spôsob a určenie ocenenia majetku a záväzkov</w:t>
      </w:r>
    </w:p>
    <w:p>
      <w:pPr>
        <w:pStyle w:val="Normal"/>
        <w:tabs>
          <w:tab w:val="clear" w:pos="408"/>
          <w:tab w:val="left" w:pos="851" w:leader="none"/>
        </w:tabs>
        <w:spacing w:lineRule="auto" w:line="240" w:before="0" w:after="0"/>
        <w:ind w:left="720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Obstarávacou cenou – </w:t>
            </w:r>
            <w:r>
              <w:rPr>
                <w:rFonts w:cs="Arial"/>
                <w:b/>
                <w:bCs/>
                <w:sz w:val="20"/>
                <w:szCs w:val="24"/>
                <w:lang w:eastAsia="sk-SK"/>
              </w:rPr>
              <w:t xml:space="preserve"> zložky nákladov súvisiacich s obstaraním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3. podiely na ZI obchodných spoločností,  cenné papiere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6. záväzky pri ich prevzatí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Menovitou hodnotou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1. peňažné prostriedky a ceniny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2. pohľadávky pri ich vzniku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jc w:val="both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3. záväzky pri ich vzniku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788"/>
        <w:gridCol w:w="283"/>
      </w:tblGrid>
      <w:tr>
        <w:trPr/>
        <w:tc>
          <w:tcPr>
            <w:tcW w:w="907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Úbytok zásob rovnakého druhu sa účtuje v ocenení: 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Cenou zistenou váženým aritmetickým priemerom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Metódou FIFO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Obstarávacia cena zásob sa rozdeľuje na cenu za ktoré sa zásoby obstarali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a náklady súvisiace s obstaraním(VON).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8788"/>
        <w:gridCol w:w="283"/>
      </w:tblGrid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 xml:space="preserve">Výdavky budúcich období a príjmy budúcich období  sa vykazujú vo výške, ktorá je potrebná 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na dodržanie zásady vecnej a časovej súvislosti s účtovným obdobím.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Rezervy sú záväzky s neurčitým časovým vymedzením alebo výškou; tvoria sa na krytie známych</w:t>
            </w:r>
          </w:p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4"/>
                <w:lang w:eastAsia="sk-SK"/>
              </w:rPr>
              <w:t>rizík alebo strát z podnikania. Oceňujú sa v očakávanej výške záväzku.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Prenajatý  majetok a majetok obstaraný na základe  zmluvy o kúpe prenajatej veci - v ocenení</w:t>
            </w:r>
          </w:p>
          <w:p>
            <w:pPr>
              <w:pStyle w:val="Normal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rovnajúcom istine a náklady súvisiace s obstaraním 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Daň z príjmov splatná – daň sa  určuje z účtovného zisku pred zdanením, po úpravách na daňové účely podľa zákona o daniach z príjmov pri sadzbe 21 %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Náklady a výnosy časovo rozlišujú. Časovo sa  nerozlišujú náklady a výnosy, ak ide o nevýznamný </w:t>
            </w:r>
          </w:p>
          <w:p>
            <w:pPr>
              <w:pStyle w:val="Normal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a stále sa opakujúci účtovný prípad týkajúci sa časového rozlíšenia nákladov alebo výnosov</w:t>
            </w:r>
          </w:p>
          <w:p>
            <w:pPr>
              <w:pStyle w:val="Normal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 xml:space="preserve"> </w:t>
            </w:r>
            <w:r>
              <w:rPr>
                <w:rFonts w:cs="Arial"/>
                <w:bCs/>
                <w:sz w:val="20"/>
                <w:szCs w:val="22"/>
                <w:lang w:eastAsia="sk-SK"/>
              </w:rPr>
              <w:t>posledného a prvého mesiaca účtovného obdobia.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</w:r>
          </w:p>
        </w:tc>
      </w:tr>
      <w:tr>
        <w:trPr/>
        <w:tc>
          <w:tcPr>
            <w:tcW w:w="87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Autospacing="1" w:after="0"/>
              <w:rPr>
                <w:rFonts w:cs="Arial"/>
                <w:bCs/>
                <w:sz w:val="20"/>
                <w:szCs w:val="22"/>
                <w:lang w:eastAsia="sk-SK"/>
              </w:rPr>
            </w:pPr>
            <w:r>
              <w:rPr>
                <w:rFonts w:cs="Arial"/>
                <w:bCs/>
                <w:sz w:val="20"/>
                <w:szCs w:val="22"/>
                <w:lang w:eastAsia="sk-SK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2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ind w:right="-468" w:hanging="0"/>
              <w:rPr>
                <w:rFonts w:cs="Arial"/>
                <w:bCs/>
                <w:sz w:val="20"/>
                <w:szCs w:val="24"/>
                <w:lang w:eastAsia="sk-SK"/>
              </w:rPr>
            </w:pPr>
            <w:r>
              <w:rPr>
                <w:rFonts w:cs="Arial"/>
                <w:bCs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  <w:t>Trvalé zníženie hodnoty majetku nebolo účtované. Prechodné zníženie hodnoty majetku nebolo účtované.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2"/>
          <w:lang w:eastAsia="sk-SK"/>
        </w:rPr>
      </w:pPr>
      <w:r>
        <w:rPr>
          <w:rFonts w:cs="Arial"/>
          <w:sz w:val="20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i/>
          <w:i/>
          <w:color w:val="000000" w:themeColor="text1"/>
          <w:sz w:val="20"/>
          <w:szCs w:val="24"/>
          <w:lang w:eastAsia="sk-SK"/>
        </w:rPr>
      </w:pPr>
      <w:r>
        <w:rPr>
          <w:rFonts w:cs="Arial"/>
          <w:b/>
          <w:i/>
          <w:color w:val="000000" w:themeColor="text1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i/>
          <w:i/>
          <w:color w:val="000000" w:themeColor="text1"/>
          <w:sz w:val="20"/>
          <w:szCs w:val="24"/>
          <w:lang w:eastAsia="sk-SK"/>
        </w:rPr>
      </w:pPr>
      <w:r>
        <w:rPr>
          <w:rFonts w:cs="Arial"/>
          <w:b/>
          <w:i/>
          <w:color w:val="000000" w:themeColor="text1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i/>
          <w:i/>
          <w:color w:val="000000" w:themeColor="text1"/>
          <w:sz w:val="20"/>
          <w:szCs w:val="24"/>
          <w:lang w:eastAsia="sk-SK"/>
        </w:rPr>
      </w:pPr>
      <w:r>
        <w:rPr>
          <w:rFonts w:cs="Arial"/>
          <w:b/>
          <w:i/>
          <w:color w:val="000000" w:themeColor="text1"/>
          <w:sz w:val="20"/>
          <w:szCs w:val="24"/>
          <w:lang w:eastAsia="sk-SK"/>
        </w:rPr>
        <w:t>Spôsob zostavenia odpisového plánu pre jednotlivé druhy dlhodobého hmotného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i/>
          <w:i/>
          <w:color w:val="000000" w:themeColor="text1"/>
          <w:sz w:val="20"/>
          <w:szCs w:val="24"/>
          <w:lang w:eastAsia="sk-SK"/>
        </w:rPr>
      </w:pPr>
      <w:r>
        <w:rPr>
          <w:rFonts w:cs="Arial"/>
          <w:b/>
          <w:i/>
          <w:color w:val="000000" w:themeColor="text1"/>
          <w:sz w:val="20"/>
          <w:szCs w:val="24"/>
          <w:lang w:eastAsia="sk-SK"/>
        </w:rPr>
        <w:t xml:space="preserve">majetku  a dlhodobého nehmotného majetku,doba odpisovania, použité sadzby 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i/>
          <w:i/>
          <w:color w:val="000000" w:themeColor="text1"/>
          <w:sz w:val="20"/>
          <w:szCs w:val="24"/>
          <w:lang w:eastAsia="sk-SK"/>
        </w:rPr>
      </w:pPr>
      <w:r>
        <w:rPr>
          <w:rFonts w:cs="Arial"/>
          <w:b/>
          <w:i/>
          <w:color w:val="000000" w:themeColor="text1"/>
          <w:sz w:val="20"/>
          <w:szCs w:val="24"/>
          <w:lang w:eastAsia="sk-SK"/>
        </w:rPr>
        <w:t xml:space="preserve">odpisov a odpisové metódy pri určení odpisov 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b/>
          <w:b/>
          <w:color w:val="FF0000"/>
          <w:sz w:val="20"/>
          <w:szCs w:val="24"/>
          <w:lang w:eastAsia="sk-SK"/>
        </w:rPr>
      </w:pPr>
      <w:r>
        <w:rPr>
          <w:rFonts w:cs="Arial"/>
          <w:b/>
          <w:color w:val="FF0000"/>
          <w:sz w:val="20"/>
          <w:szCs w:val="24"/>
          <w:lang w:eastAsia="sk-SK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7067"/>
        <w:gridCol w:w="1668"/>
        <w:gridCol w:w="337"/>
      </w:tblGrid>
      <w:tr>
        <w:trPr/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  <w:p>
            <w:pPr>
              <w:pStyle w:val="Normal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  <w:p>
            <w:pPr>
              <w:pStyle w:val="Normal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963" w:hRule="atLeast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/>
                <w:b/>
                <w:sz w:val="20"/>
                <w:szCs w:val="22"/>
                <w:lang w:eastAsia="sk-SK"/>
              </w:rPr>
              <w:t>rovnajú.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1018" w:hRule="atLeast"/>
        </w:trPr>
        <w:tc>
          <w:tcPr>
            <w:tcW w:w="873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cs="Arial"/>
                <w:b/>
                <w:sz w:val="20"/>
                <w:szCs w:val="22"/>
                <w:lang w:eastAsia="sk-SK"/>
              </w:rPr>
              <w:t>nerovnajú.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ascii="Arial Narrow" w:hAnsi="Arial Narrow" w:eastAsia="Times New Roman" w:cs="Arial"/>
                <w:color w:val="auto"/>
                <w:kern w:val="0"/>
                <w:sz w:val="18"/>
                <w:szCs w:val="24"/>
                <w:lang w:val="sk-SK" w:eastAsia="sk-SK" w:bidi="ar-SA"/>
              </w:rPr>
            </w:pPr>
            <w:r>
              <w:rPr>
                <w:rFonts w:eastAsia="Times New Roman" w:cs="Arial"/>
                <w:color w:val="auto"/>
                <w:kern w:val="0"/>
                <w:sz w:val="18"/>
                <w:szCs w:val="24"/>
                <w:lang w:val="sk-SK" w:eastAsia="sk-SK" w:bidi="ar-SA"/>
              </w:rPr>
            </w:r>
          </w:p>
        </w:tc>
      </w:tr>
      <w:tr>
        <w:trPr>
          <w:trHeight w:val="64" w:hRule="atLeast"/>
        </w:trPr>
        <w:tc>
          <w:tcPr>
            <w:tcW w:w="7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Dlhodobý nehmotný majetok =doba použiteľnosti viac ako rok a vstupná cena je  viac ako :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2400,-eur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1700,-eur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  <w:tr>
        <w:trPr>
          <w:trHeight w:val="64" w:hRule="atLeast"/>
        </w:trPr>
        <w:tc>
          <w:tcPr>
            <w:tcW w:w="70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>
                <w:rFonts w:cs="Arial"/>
                <w:sz w:val="20"/>
                <w:szCs w:val="22"/>
                <w:lang w:eastAsia="sk-SK"/>
              </w:rPr>
            </w:pPr>
            <w:r>
              <w:rPr>
                <w:rFonts w:cs="Arial"/>
                <w:sz w:val="20"/>
                <w:szCs w:val="22"/>
                <w:lang w:eastAsia="sk-SK"/>
              </w:rPr>
              <w:t>Samostatné hnuteľné veci sú drobným hmotným majetkom ak doba použiteľnosti je viac ako rok a vstupná cena viac ako:</w:t>
            </w:r>
          </w:p>
        </w:tc>
        <w:tc>
          <w:tcPr>
            <w:tcW w:w="16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widowControl w:val="false"/>
              <w:spacing w:lineRule="auto" w:line="240" w:before="0" w:after="0"/>
              <w:jc w:val="both"/>
              <w:rPr/>
            </w:pPr>
            <w:r>
              <w:rPr>
                <w:rFonts w:eastAsia="Times New Roman" w:cs="Arial"/>
                <w:sz w:val="20"/>
                <w:szCs w:val="22"/>
                <w:lang w:eastAsia="sk-SK"/>
              </w:rPr>
              <w:t>130</w:t>
            </w:r>
            <w:r>
              <w:rPr>
                <w:rFonts w:cs="Arial"/>
                <w:sz w:val="20"/>
                <w:szCs w:val="22"/>
                <w:lang w:eastAsia="sk-SK"/>
              </w:rPr>
              <w:t>-eur</w:t>
            </w:r>
          </w:p>
        </w:tc>
        <w:tc>
          <w:tcPr>
            <w:tcW w:w="3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rFonts w:cs="Arial"/>
          <w:sz w:val="18"/>
          <w:szCs w:val="24"/>
          <w:lang w:eastAsia="sk-SK"/>
        </w:rPr>
      </w:pPr>
      <w:r>
        <w:rPr>
          <w:rFonts w:cs="Arial"/>
          <w:sz w:val="18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b/>
          <w:b/>
          <w:i/>
          <w:i/>
          <w:sz w:val="18"/>
          <w:szCs w:val="24"/>
          <w:lang w:eastAsia="sk-SK"/>
        </w:rPr>
      </w:pPr>
      <w:r>
        <w:rPr>
          <w:rFonts w:cs="Arial"/>
          <w:b/>
          <w:i/>
          <w:sz w:val="18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b/>
          <w:b/>
          <w:i/>
          <w:i/>
          <w:sz w:val="18"/>
          <w:szCs w:val="24"/>
          <w:lang w:eastAsia="sk-SK"/>
        </w:rPr>
      </w:pPr>
      <w:r>
        <w:rPr>
          <w:rFonts w:cs="Arial"/>
          <w:b/>
          <w:i/>
          <w:sz w:val="18"/>
          <w:szCs w:val="24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cs="Arial"/>
          <w:b/>
          <w:b/>
          <w:i/>
          <w:i/>
          <w:sz w:val="18"/>
          <w:szCs w:val="24"/>
          <w:lang w:eastAsia="sk-SK"/>
        </w:rPr>
      </w:pPr>
      <w:r>
        <w:rPr>
          <w:rFonts w:cs="Arial"/>
          <w:b/>
          <w:i/>
          <w:sz w:val="18"/>
          <w:szCs w:val="24"/>
          <w:lang w:eastAsia="sk-SK"/>
        </w:rPr>
        <w:t>Doba odpisovania, použité sadzby odpisov, odpisové metódy</w:t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10"/>
        <w:gridCol w:w="977"/>
        <w:gridCol w:w="1164"/>
        <w:gridCol w:w="1181"/>
        <w:gridCol w:w="979"/>
        <w:gridCol w:w="1660"/>
      </w:tblGrid>
      <w:tr>
        <w:trPr/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Majetok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 xml:space="preserve">Odpisová skupina 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Doba odpisovania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Lineárne odpisy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Zrýchlené odpisy</w:t>
            </w: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Software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013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       </w:t>
            </w:r>
            <w:r>
              <w:rPr>
                <w:rFonts w:cs="Arial"/>
                <w:sz w:val="18"/>
                <w:szCs w:val="24"/>
                <w:lang w:eastAsia="sk-SK"/>
              </w:rPr>
              <w:t>4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       </w:t>
            </w:r>
            <w:r>
              <w:rPr>
                <w:rFonts w:cs="Arial"/>
                <w:sz w:val="18"/>
                <w:szCs w:val="24"/>
                <w:lang w:eastAsia="sk-SK"/>
              </w:rPr>
              <w:t>25 %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Budovy,stavby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021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      </w:t>
            </w:r>
            <w:r>
              <w:rPr>
                <w:rFonts w:cs="Arial"/>
                <w:sz w:val="18"/>
                <w:szCs w:val="24"/>
                <w:lang w:eastAsia="sk-SK"/>
              </w:rPr>
              <w:t>20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         </w:t>
            </w:r>
            <w:r>
              <w:rPr>
                <w:rFonts w:cs="Arial"/>
                <w:sz w:val="18"/>
                <w:szCs w:val="24"/>
                <w:lang w:eastAsia="sk-SK"/>
              </w:rPr>
              <w:t>5%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Dopravné prostriedky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022 3xx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/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       </w:t>
            </w:r>
            <w:r>
              <w:rPr>
                <w:rFonts w:eastAsia="Times New Roman" w:cs="Arial"/>
                <w:sz w:val="18"/>
                <w:szCs w:val="24"/>
                <w:lang w:eastAsia="sk-SK"/>
              </w:rPr>
              <w:t>4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/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       </w:t>
            </w:r>
            <w:r>
              <w:rPr>
                <w:rFonts w:eastAsia="Times New Roman" w:cs="Arial"/>
                <w:sz w:val="18"/>
                <w:szCs w:val="24"/>
                <w:lang w:eastAsia="sk-SK"/>
              </w:rPr>
              <w:t>25</w:t>
            </w:r>
            <w:r>
              <w:rPr>
                <w:rFonts w:cs="Arial"/>
                <w:sz w:val="18"/>
                <w:szCs w:val="24"/>
                <w:lang w:eastAsia="sk-SK"/>
              </w:rPr>
              <w:t>%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Ostatný hmotný majetok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022 1xx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/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    </w:t>
            </w:r>
            <w:r>
              <w:rPr>
                <w:rFonts w:cs="Arial"/>
                <w:sz w:val="18"/>
                <w:szCs w:val="24"/>
                <w:lang w:eastAsia="sk-SK"/>
              </w:rPr>
              <w:t>6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/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     </w:t>
            </w:r>
            <w:r>
              <w:rPr>
                <w:rFonts w:cs="Arial"/>
                <w:sz w:val="18"/>
                <w:szCs w:val="24"/>
                <w:lang w:eastAsia="sk-SK"/>
              </w:rPr>
              <w:t>16,667%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  <w:tr>
        <w:trPr>
          <w:trHeight w:val="340" w:hRule="atLeast"/>
        </w:trPr>
        <w:tc>
          <w:tcPr>
            <w:tcW w:w="31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Drobný hmotný odpisovaný</w:t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>022 2xx</w:t>
            </w:r>
          </w:p>
        </w:tc>
        <w:tc>
          <w:tcPr>
            <w:tcW w:w="116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  <w:t xml:space="preserve">     </w:t>
            </w:r>
            <w:r>
              <w:rPr>
                <w:rFonts w:cs="Arial"/>
                <w:sz w:val="18"/>
                <w:szCs w:val="24"/>
                <w:lang w:eastAsia="sk-SK"/>
              </w:rPr>
              <w:t>4; 6</w:t>
            </w:r>
          </w:p>
        </w:tc>
        <w:tc>
          <w:tcPr>
            <w:tcW w:w="1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/>
            </w:pPr>
            <w:r>
              <w:rPr>
                <w:rFonts w:cs="Arial"/>
                <w:sz w:val="18"/>
                <w:szCs w:val="24"/>
                <w:lang w:eastAsia="sk-SK"/>
              </w:rPr>
              <w:t>25%;16,667%</w:t>
            </w:r>
          </w:p>
        </w:tc>
        <w:tc>
          <w:tcPr>
            <w:tcW w:w="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  <w:tc>
          <w:tcPr>
            <w:tcW w:w="16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120"/>
              <w:jc w:val="both"/>
              <w:rPr>
                <w:rFonts w:cs="Arial"/>
                <w:sz w:val="18"/>
                <w:szCs w:val="24"/>
                <w:lang w:eastAsia="sk-SK"/>
              </w:rPr>
            </w:pPr>
            <w:r>
              <w:rPr>
                <w:rFonts w:cs="Arial"/>
                <w:sz w:val="18"/>
                <w:szCs w:val="24"/>
                <w:lang w:eastAsia="sk-SK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Komentár k odpisovému plánu: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ListParagraph"/>
        <w:numPr>
          <w:ilvl w:val="0"/>
          <w:numId w:val="4"/>
        </w:numPr>
        <w:spacing w:lineRule="auto" w:line="240" w:before="0" w:after="0"/>
        <w:contextualSpacing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Dlhodobý nehmotný majetok – účtovné odpisy sa rovnajú daňovým odpisom.</w:t>
      </w:r>
    </w:p>
    <w:p>
      <w:pPr>
        <w:pStyle w:val="ListParagraph"/>
        <w:numPr>
          <w:ilvl w:val="0"/>
          <w:numId w:val="4"/>
        </w:numPr>
        <w:spacing w:lineRule="auto" w:line="240" w:before="0" w:after="0"/>
        <w:contextualSpacing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Dlhodobý hmotný majetok – účtovné odpisy sa nerovnajú daňovým odpisom .</w:t>
      </w:r>
    </w:p>
    <w:p>
      <w:pPr>
        <w:pStyle w:val="ListParagraph"/>
        <w:numPr>
          <w:ilvl w:val="0"/>
          <w:numId w:val="4"/>
        </w:numPr>
        <w:spacing w:lineRule="auto" w:line="240" w:before="0" w:after="0"/>
        <w:contextualSpacing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Drobný hmotný majetok odpisovaný – účtovné odpisy sa rovnajú daňovým odpisom.</w:t>
      </w:r>
    </w:p>
    <w:p>
      <w:pPr>
        <w:pStyle w:val="ListParagraph"/>
        <w:numPr>
          <w:ilvl w:val="0"/>
          <w:numId w:val="4"/>
        </w:numPr>
        <w:spacing w:lineRule="auto" w:line="240" w:before="0" w:after="0"/>
        <w:contextualSpacing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Majetok sa začína odpisovať v mesiaci kedy bol zaradený do užívania.</w:t>
      </w:r>
    </w:p>
    <w:p>
      <w:pPr>
        <w:pStyle w:val="ListParagraph"/>
        <w:numPr>
          <w:ilvl w:val="0"/>
          <w:numId w:val="4"/>
        </w:numPr>
        <w:spacing w:lineRule="auto" w:line="240" w:before="0" w:after="0"/>
        <w:contextualSpacing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Účtovné odpisy vychádzajú z predpokladanej doby používania majetku.</w:t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89" w:type="dxa"/>
        <w:jc w:val="left"/>
        <w:tblInd w:w="70" w:type="dxa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2973"/>
        <w:gridCol w:w="5816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spacing w:lineRule="auto" w:line="240" w:before="0" w:after="0"/>
              <w:ind w:left="641" w:hanging="0"/>
              <w:contextualSpacing/>
              <w:rPr>
                <w:szCs w:val="22"/>
              </w:rPr>
            </w:pPr>
            <w:r>
              <w:rPr>
                <w:szCs w:val="22"/>
              </w:rPr>
              <w:t>Určenie odhadu zníženia hodnoty majetku a tvorba opravnej položky k  majetku</w:t>
            </w:r>
          </w:p>
        </w:tc>
      </w:tr>
      <w:tr>
        <w:trPr>
          <w:trHeight w:val="350" w:hRule="atLeast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spacing w:lineRule="auto" w:line="240" w:before="0" w:after="0"/>
              <w:ind w:left="641" w:hanging="0"/>
              <w:contextualSpacing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297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pohľadávkam</w:t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>Podľa kritérií  definovaných v zákone o daniach z príjmov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297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 xml:space="preserve">Odborným odhadom podľa opodstatneného predpokladu zníženia 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materiálu</w:t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continue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  <w:t>Opravná položka k tovaru</w:t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973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81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89" w:type="dxa"/>
        <w:jc w:val="left"/>
        <w:tblInd w:w="70" w:type="dxa"/>
        <w:tblCellMar>
          <w:top w:w="0" w:type="dxa"/>
          <w:left w:w="70" w:type="dxa"/>
          <w:bottom w:w="0" w:type="dxa"/>
          <w:right w:w="70" w:type="dxa"/>
        </w:tblCellMar>
        <w:tblLook w:val="0000"/>
      </w:tblPr>
      <w:tblGrid>
        <w:gridCol w:w="3279"/>
        <w:gridCol w:w="5510"/>
        <w:gridCol w:w="300"/>
      </w:tblGrid>
      <w:tr>
        <w:trPr>
          <w:trHeight w:val="340" w:hRule="atLeast"/>
        </w:trPr>
        <w:tc>
          <w:tcPr>
            <w:tcW w:w="908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spacing w:lineRule="auto" w:line="240" w:before="0" w:after="0"/>
              <w:ind w:left="641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Určenie ocenenia záväzkov, stanovenie odhadu ocenenia rezerv</w:t>
            </w:r>
          </w:p>
        </w:tc>
      </w:tr>
      <w:tr>
        <w:trPr>
          <w:trHeight w:val="340" w:hRule="atLeast"/>
        </w:trPr>
        <w:tc>
          <w:tcPr>
            <w:tcW w:w="8789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ListParagraph"/>
              <w:spacing w:lineRule="auto" w:line="240" w:before="0" w:after="0"/>
              <w:ind w:left="641" w:hanging="0"/>
              <w:contextualSpacing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ListParagraph"/>
              <w:spacing w:lineRule="auto" w:line="240" w:before="0" w:after="0"/>
              <w:ind w:left="0" w:hanging="0"/>
              <w:contextualSpacing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na splnenie existujúcej povinnosti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nevyčerpaných dovoleniek</w:t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2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5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Zmeny účtovných zásad a zmeny účtovných metód s uvedením dôvodu týchto zmien 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>a vyčíslením ich vplyvu na finančnú hodnotu majetku, záväzkov, základného imania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 </w:t>
      </w:r>
      <w:r>
        <w:rPr>
          <w:rFonts w:cs="Arial"/>
          <w:sz w:val="20"/>
          <w:szCs w:val="24"/>
          <w:lang w:eastAsia="sk-SK"/>
        </w:rPr>
        <w:t>a výsledku hospodárenia ÚJ</w:t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tbl>
      <w:tblPr>
        <w:tblW w:w="9072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7087"/>
        <w:gridCol w:w="819"/>
        <w:gridCol w:w="295"/>
        <w:gridCol w:w="577"/>
        <w:gridCol w:w="294"/>
      </w:tblGrid>
      <w:tr>
        <w:trPr>
          <w:trHeight w:val="340" w:hRule="exact"/>
        </w:trPr>
        <w:tc>
          <w:tcPr>
            <w:tcW w:w="70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 xml:space="preserve">Zmeny účtovných zásad a metód + konkrétny popis zmien </w:t>
            </w:r>
          </w:p>
        </w:tc>
        <w:tc>
          <w:tcPr>
            <w:tcW w:w="8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ÁNO</w:t>
            </w:r>
          </w:p>
        </w:tc>
        <w:tc>
          <w:tcPr>
            <w:tcW w:w="2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</w:r>
          </w:p>
        </w:tc>
        <w:tc>
          <w:tcPr>
            <w:tcW w:w="5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NIE</w:t>
            </w:r>
          </w:p>
        </w:tc>
        <w:tc>
          <w:tcPr>
            <w:tcW w:w="2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X</w:t>
            </w:r>
          </w:p>
        </w:tc>
      </w:tr>
    </w:tbl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</w:rPr>
      </w:pPr>
      <w:r>
        <w:rPr>
          <w:rFonts w:cs="Arial"/>
          <w:sz w:val="20"/>
          <w:szCs w:val="24"/>
        </w:rPr>
      </w:r>
    </w:p>
    <w:p>
      <w:pPr>
        <w:pStyle w:val="Normal"/>
        <w:spacing w:lineRule="auto" w:line="240" w:before="0" w:after="0"/>
        <w:ind w:left="708" w:hanging="0"/>
        <w:rPr>
          <w:rFonts w:cs="Arial"/>
          <w:sz w:val="20"/>
          <w:szCs w:val="24"/>
        </w:rPr>
      </w:pPr>
      <w:r>
        <w:rPr>
          <w:rFonts w:cs="Arial"/>
          <w:sz w:val="20"/>
          <w:szCs w:val="24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spacing w:lineRule="auto" w:line="240" w:before="0" w:after="0"/>
        <w:ind w:left="709" w:hanging="0"/>
        <w:jc w:val="both"/>
        <w:rPr>
          <w:rFonts w:cs="Arial"/>
          <w:sz w:val="18"/>
          <w:szCs w:val="22"/>
          <w:lang w:eastAsia="sk-SK"/>
        </w:rPr>
      </w:pPr>
      <w:r>
        <w:rPr>
          <w:rFonts w:cs="Arial"/>
          <w:sz w:val="18"/>
          <w:szCs w:val="22"/>
          <w:lang w:eastAsia="sk-SK"/>
        </w:rPr>
      </w:r>
    </w:p>
    <w:p>
      <w:pPr>
        <w:pStyle w:val="Normal"/>
        <w:tabs>
          <w:tab w:val="clear" w:pos="408"/>
          <w:tab w:val="left" w:pos="851" w:leader="none"/>
        </w:tabs>
        <w:spacing w:lineRule="auto" w:line="240" w:before="0" w:after="0"/>
        <w:jc w:val="both"/>
        <w:rPr>
          <w:rFonts w:cs="Arial"/>
          <w:b/>
          <w:b/>
          <w:sz w:val="20"/>
          <w:szCs w:val="24"/>
          <w:lang w:eastAsia="sk-SK"/>
        </w:rPr>
      </w:pPr>
      <w:r>
        <w:rPr>
          <w:rFonts w:cs="Arial"/>
          <w:b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  <w:t>Informácie, ktoré vysvetľujú a dopĺňajú súvahu a výkaz ziskov a strát</w:t>
      </w:r>
    </w:p>
    <w:p>
      <w:pPr>
        <w:pStyle w:val="Normal"/>
        <w:spacing w:lineRule="auto" w:line="240" w:before="0" w:after="0"/>
        <w:rPr>
          <w:rFonts w:cs="Arial"/>
          <w:b/>
          <w:b/>
          <w:sz w:val="24"/>
          <w:szCs w:val="24"/>
          <w:u w:val="single"/>
          <w:lang w:eastAsia="sk-SK"/>
        </w:rPr>
      </w:pPr>
      <w:r>
        <w:rPr>
          <w:rFonts w:cs="Arial"/>
          <w:b/>
          <w:sz w:val="24"/>
          <w:szCs w:val="24"/>
          <w:u w:val="single"/>
          <w:lang w:eastAsia="sk-SK"/>
        </w:rPr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36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  <w:t xml:space="preserve">Informácia o sume a dôvodoch vzniku jednotlivých položiek </w:t>
      </w:r>
      <w:r>
        <w:rPr>
          <w:rFonts w:cs="Arial"/>
          <w:b/>
          <w:sz w:val="20"/>
          <w:szCs w:val="24"/>
          <w:lang w:eastAsia="sk-SK"/>
        </w:rPr>
        <w:t>nákladov alebo výnosov, ktoré majú výnimočný rozsah alebo výskyt</w:t>
      </w:r>
    </w:p>
    <w:p>
      <w:pPr>
        <w:pStyle w:val="Normal"/>
        <w:spacing w:lineRule="auto" w:line="240" w:before="0" w:after="0"/>
        <w:jc w:val="both"/>
        <w:rPr>
          <w:rFonts w:cs="Arial"/>
          <w:sz w:val="20"/>
          <w:szCs w:val="20"/>
          <w:lang w:eastAsia="sk-SK"/>
        </w:rPr>
      </w:pPr>
      <w:r>
        <w:rPr>
          <w:rFonts w:cs="Arial"/>
          <w:sz w:val="20"/>
          <w:szCs w:val="20"/>
          <w:lang w:eastAsia="sk-SK"/>
        </w:rPr>
      </w:r>
    </w:p>
    <w:p>
      <w:pPr>
        <w:pStyle w:val="Normal"/>
        <w:spacing w:lineRule="auto" w:line="240" w:before="0" w:after="0"/>
        <w:jc w:val="both"/>
        <w:rPr>
          <w:rFonts w:eastAsia="Calibri" w:cs="Arial"/>
          <w:bCs/>
          <w:sz w:val="20"/>
          <w:szCs w:val="20"/>
          <w:lang w:eastAsia="cs-CZ"/>
        </w:rPr>
      </w:pPr>
      <w:r>
        <w:rPr>
          <w:rFonts w:cs="Arial"/>
          <w:sz w:val="20"/>
          <w:szCs w:val="20"/>
          <w:lang w:eastAsia="sk-SK"/>
        </w:rPr>
        <w:t>Hlavným predmetom spoločnosti je kúpa a predaj kancelárskych potrieb.</w:t>
      </w:r>
      <w:r>
        <w:rPr>
          <w:rFonts w:eastAsia="Calibri" w:cs="Arial" w:ascii="Arial" w:hAnsi="Arial"/>
          <w:bCs/>
          <w:sz w:val="20"/>
          <w:szCs w:val="20"/>
          <w:lang w:eastAsia="cs-CZ"/>
        </w:rPr>
        <w:t xml:space="preserve"> </w:t>
      </w:r>
      <w:r>
        <w:rPr>
          <w:rFonts w:eastAsia="Calibri" w:cs="Arial"/>
          <w:bCs/>
          <w:sz w:val="20"/>
          <w:szCs w:val="20"/>
          <w:lang w:eastAsia="cs-CZ"/>
        </w:rPr>
        <w:t xml:space="preserve">Tržby za vlastné výkony a tovar neobsahujú daň z pridanej hodnoty a sú  znížené o zľavy a zrážky (rabaty, bonusy, skontá, dobropisy a pod.) </w:t>
      </w:r>
    </w:p>
    <w:p>
      <w:pPr>
        <w:pStyle w:val="Normal"/>
        <w:spacing w:lineRule="auto" w:line="240" w:before="0" w:after="0"/>
        <w:jc w:val="both"/>
        <w:rPr>
          <w:rFonts w:ascii="Arial" w:hAnsi="Arial" w:eastAsia="Calibri" w:cs="Arial"/>
          <w:bCs/>
          <w:sz w:val="20"/>
          <w:szCs w:val="20"/>
          <w:lang w:eastAsia="cs-CZ"/>
        </w:rPr>
      </w:pPr>
      <w:r>
        <w:rPr>
          <w:rFonts w:eastAsia="Calibri" w:cs="Arial" w:ascii="Arial" w:hAnsi="Arial"/>
          <w:bCs/>
          <w:sz w:val="20"/>
          <w:szCs w:val="20"/>
          <w:lang w:eastAsia="cs-CZ"/>
        </w:rPr>
      </w:r>
    </w:p>
    <w:tbl>
      <w:tblPr>
        <w:tblW w:w="8080" w:type="dxa"/>
        <w:jc w:val="left"/>
        <w:tblInd w:w="108" w:type="dxa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98"/>
        <w:gridCol w:w="4181"/>
      </w:tblGrid>
      <w:tr>
        <w:trPr>
          <w:trHeight w:val="340" w:hRule="atLeast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 xml:space="preserve">Popis nákladov ,výnosov </w:t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Výnimočného  rozsahu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Bežné účtovné obdobie</w:t>
            </w:r>
          </w:p>
        </w:tc>
      </w:tr>
      <w:tr>
        <w:trPr>
          <w:trHeight w:val="340" w:hRule="atLeast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Tržby za tovar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Arial"/>
                <w:sz w:val="20"/>
                <w:szCs w:val="24"/>
                <w:lang w:eastAsia="sk-SK"/>
              </w:rPr>
              <w:t xml:space="preserve">         </w:t>
            </w:r>
            <w:r>
              <w:rPr>
                <w:rFonts w:eastAsia="Times New Roman" w:cs="Arial" w:ascii="Liberation Sans" w:hAnsi="Liberation Sans"/>
                <w:b w:val="false"/>
                <w:i w:val="false"/>
                <w:strike w:val="false"/>
                <w:dstrike w:val="false"/>
                <w:outline w:val="false"/>
                <w:shadow w:val="false"/>
                <w:color w:val="auto"/>
                <w:kern w:val="0"/>
                <w:sz w:val="20"/>
                <w:szCs w:val="24"/>
                <w:u w:val="none"/>
                <w:em w:val="none"/>
                <w:lang w:val="sk-SK" w:eastAsia="sk-SK" w:bidi="ar-SA"/>
              </w:rPr>
              <w:t>804 381,54</w:t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eastAsia="Times New Roman" w:cs="Arial"/>
                <w:color w:val="auto"/>
                <w:kern w:val="0"/>
                <w:sz w:val="20"/>
                <w:szCs w:val="24"/>
                <w:lang w:val="sk-SK" w:eastAsia="sk-SK" w:bidi="ar-SA"/>
              </w:rPr>
            </w:pPr>
            <w:r>
              <w:rPr/>
            </w:r>
          </w:p>
        </w:tc>
      </w:tr>
      <w:tr>
        <w:trPr>
          <w:trHeight w:val="340" w:hRule="atLeast"/>
        </w:trPr>
        <w:tc>
          <w:tcPr>
            <w:tcW w:w="38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>
                <w:rFonts w:cs="Arial"/>
                <w:sz w:val="20"/>
                <w:szCs w:val="24"/>
                <w:lang w:eastAsia="sk-SK"/>
              </w:rPr>
            </w:pPr>
            <w:r>
              <w:rPr>
                <w:rFonts w:cs="Arial"/>
                <w:sz w:val="20"/>
                <w:szCs w:val="24"/>
                <w:lang w:eastAsia="sk-SK"/>
              </w:rPr>
              <w:t>Predaný tovar</w:t>
            </w:r>
          </w:p>
        </w:tc>
        <w:tc>
          <w:tcPr>
            <w:tcW w:w="41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fill="auto" w:val="clear"/>
          </w:tcPr>
          <w:p>
            <w:pPr>
              <w:pStyle w:val="Normal"/>
              <w:spacing w:lineRule="auto" w:line="240" w:before="0" w:after="0"/>
              <w:jc w:val="both"/>
              <w:rPr/>
            </w:pPr>
            <w:r>
              <w:rPr>
                <w:rFonts w:cs="Arial"/>
                <w:sz w:val="20"/>
                <w:szCs w:val="24"/>
                <w:lang w:eastAsia="sk-SK"/>
              </w:rPr>
              <w:t xml:space="preserve">          </w:t>
            </w:r>
            <w:r>
              <w:rPr>
                <w:rFonts w:eastAsia="Times New Roman" w:cs="Arial" w:ascii="Liberation Sans" w:hAnsi="Liberation Sans"/>
                <w:b w:val="false"/>
                <w:i w:val="false"/>
                <w:strike w:val="false"/>
                <w:dstrike w:val="false"/>
                <w:outline w:val="false"/>
                <w:shadow w:val="false"/>
                <w:color w:val="auto"/>
                <w:kern w:val="0"/>
                <w:sz w:val="20"/>
                <w:szCs w:val="24"/>
                <w:u w:val="none"/>
                <w:em w:val="none"/>
                <w:lang w:val="sk-SK" w:eastAsia="sk-SK" w:bidi="ar-SA"/>
              </w:rPr>
              <w:t>515 369,36</w:t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Arial Narrow" w:hAnsi="Arial Narrow" w:eastAsia="Times New Roman" w:cs="Arial"/>
                <w:color w:val="auto"/>
                <w:kern w:val="0"/>
                <w:sz w:val="20"/>
                <w:szCs w:val="24"/>
                <w:lang w:val="sk-SK" w:eastAsia="sk-SK" w:bidi="ar-SA"/>
              </w:rPr>
            </w:pPr>
            <w:r>
              <w:rPr>
                <w:rFonts w:eastAsia="Times New Roman" w:cs="Arial"/>
                <w:color w:val="auto"/>
                <w:kern w:val="0"/>
                <w:sz w:val="20"/>
                <w:szCs w:val="24"/>
                <w:lang w:val="sk-SK" w:eastAsia="sk-SK" w:bidi="ar-SA"/>
              </w:rPr>
            </w:r>
          </w:p>
          <w:p>
            <w:pPr>
              <w:pStyle w:val="Normal"/>
              <w:spacing w:lineRule="auto" w:line="240" w:before="0" w:after="0"/>
              <w:jc w:val="both"/>
              <w:rPr>
                <w:rFonts w:ascii="Arial Narrow" w:hAnsi="Arial Narrow" w:eastAsia="Times New Roman" w:cs="Arial"/>
                <w:color w:val="auto"/>
                <w:kern w:val="0"/>
                <w:sz w:val="20"/>
                <w:szCs w:val="24"/>
                <w:lang w:val="sk-SK" w:eastAsia="sk-SK" w:bidi="ar-SA"/>
              </w:rPr>
            </w:pPr>
            <w:r>
              <w:rPr>
                <w:rFonts w:eastAsia="Times New Roman" w:cs="Arial"/>
                <w:color w:val="auto"/>
                <w:kern w:val="0"/>
                <w:sz w:val="20"/>
                <w:szCs w:val="24"/>
                <w:lang w:val="sk-SK" w:eastAsia="sk-SK" w:bidi="ar-SA"/>
              </w:rPr>
            </w:r>
          </w:p>
        </w:tc>
      </w:tr>
    </w:tbl>
    <w:p>
      <w:pPr>
        <w:pStyle w:val="Normal"/>
        <w:spacing w:lineRule="auto" w:line="240" w:before="0" w:after="0"/>
        <w:ind w:left="1481" w:hanging="0"/>
        <w:jc w:val="both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20" w:hanging="0"/>
        <w:rPr>
          <w:rFonts w:cs="Arial"/>
          <w:b/>
          <w:b/>
          <w:sz w:val="20"/>
          <w:szCs w:val="24"/>
          <w:lang w:eastAsia="sk-SK"/>
        </w:rPr>
      </w:pPr>
      <w:r>
        <w:rPr>
          <w:rFonts w:cs="Arial"/>
          <w:b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20" w:hanging="0"/>
        <w:rPr>
          <w:rFonts w:cs="Arial"/>
          <w:b/>
          <w:b/>
          <w:sz w:val="20"/>
          <w:szCs w:val="24"/>
          <w:lang w:eastAsia="sk-SK"/>
        </w:rPr>
      </w:pPr>
      <w:r>
        <w:rPr>
          <w:rFonts w:cs="Arial"/>
          <w:b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20" w:hanging="0"/>
        <w:rPr>
          <w:rFonts w:cs="Arial"/>
          <w:b/>
          <w:b/>
          <w:sz w:val="20"/>
          <w:szCs w:val="24"/>
          <w:lang w:eastAsia="sk-SK"/>
        </w:rPr>
      </w:pPr>
      <w:r>
        <w:rPr>
          <w:rFonts w:cs="Arial"/>
          <w:b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ind w:left="720" w:hanging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rFonts w:cs="Arial"/>
          <w:sz w:val="20"/>
          <w:szCs w:val="24"/>
          <w:lang w:eastAsia="sk-SK"/>
        </w:rPr>
      </w:pPr>
      <w:r>
        <w:rPr>
          <w:rFonts w:cs="Arial"/>
          <w:sz w:val="20"/>
          <w:szCs w:val="24"/>
          <w:lang w:eastAsia="sk-SK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rFonts w:eastAsia="Calibri"/>
          <w:b/>
          <w:b/>
          <w:szCs w:val="22"/>
        </w:rPr>
      </w:pPr>
      <w:r>
        <w:rPr>
          <w:rFonts w:eastAsia="Calibri"/>
          <w:b/>
          <w:szCs w:val="22"/>
        </w:rPr>
      </w:r>
    </w:p>
    <w:p>
      <w:pPr>
        <w:pStyle w:val="Normal"/>
        <w:spacing w:lineRule="auto" w:line="240" w:before="0" w:after="0"/>
        <w:jc w:val="both"/>
        <w:rPr>
          <w:rFonts w:eastAsia="Calibri"/>
          <w:szCs w:val="22"/>
        </w:rPr>
      </w:pPr>
      <w:r>
        <w:rPr>
          <w:rFonts w:eastAsia="Calibri"/>
          <w:szCs w:val="22"/>
        </w:rPr>
      </w:r>
    </w:p>
    <w:p>
      <w:pPr>
        <w:pStyle w:val="Normal"/>
        <w:spacing w:before="0" w:after="200"/>
        <w:ind w:left="1080" w:hanging="0"/>
        <w:contextualSpacing/>
        <w:rPr>
          <w:rFonts w:ascii="Arial" w:hAnsi="Arial" w:eastAsia="Calibri" w:cs="Arial"/>
          <w:b/>
          <w:b/>
          <w:sz w:val="20"/>
          <w:szCs w:val="20"/>
        </w:rPr>
      </w:pPr>
      <w:r>
        <w:rPr>
          <w:rFonts w:eastAsia="Calibri" w:cs="Arial" w:ascii="Arial" w:hAnsi="Arial"/>
          <w:b/>
          <w:sz w:val="20"/>
          <w:szCs w:val="20"/>
        </w:rPr>
      </w:r>
    </w:p>
    <w:p>
      <w:pPr>
        <w:pStyle w:val="Normal"/>
        <w:spacing w:lineRule="auto" w:line="240" w:before="0" w:after="0"/>
        <w:ind w:left="708" w:hanging="0"/>
        <w:jc w:val="both"/>
        <w:rPr>
          <w:rFonts w:ascii="Arial" w:hAnsi="Arial" w:eastAsia="Calibri" w:cs="Arial"/>
          <w:bCs/>
          <w:sz w:val="20"/>
          <w:szCs w:val="20"/>
          <w:lang w:eastAsia="cs-CZ"/>
        </w:rPr>
      </w:pPr>
      <w:r>
        <w:rPr>
          <w:rFonts w:eastAsia="Calibri" w:cs="Arial" w:ascii="Arial" w:hAnsi="Arial"/>
          <w:bCs/>
          <w:sz w:val="20"/>
          <w:szCs w:val="20"/>
          <w:lang w:eastAsia="cs-CZ"/>
        </w:rPr>
        <w:t xml:space="preserve">. </w:t>
      </w:r>
    </w:p>
    <w:p>
      <w:pPr>
        <w:pStyle w:val="Normal"/>
        <w:spacing w:lineRule="auto" w:line="240" w:before="0" w:after="0"/>
        <w:jc w:val="both"/>
        <w:rPr>
          <w:rFonts w:ascii="Arial" w:hAnsi="Arial" w:eastAsia="Calibri" w:cs="Arial"/>
          <w:bCs/>
          <w:sz w:val="20"/>
          <w:szCs w:val="20"/>
          <w:lang w:eastAsia="cs-CZ"/>
        </w:rPr>
      </w:pPr>
      <w:r>
        <w:rPr>
          <w:rFonts w:eastAsia="Calibri" w:cs="Arial" w:ascii="Arial" w:hAnsi="Arial"/>
          <w:bCs/>
          <w:sz w:val="20"/>
          <w:szCs w:val="20"/>
          <w:lang w:eastAsia="cs-CZ"/>
        </w:rPr>
      </w:r>
    </w:p>
    <w:p>
      <w:pPr>
        <w:pStyle w:val="Normal"/>
        <w:spacing w:lineRule="auto" w:line="240" w:before="0" w:after="0"/>
        <w:jc w:val="center"/>
        <w:rPr>
          <w:rFonts w:ascii="Arial" w:hAnsi="Arial" w:eastAsia="Calibri" w:cs="Arial"/>
          <w:b/>
          <w:b/>
          <w:bCs/>
          <w:sz w:val="20"/>
          <w:szCs w:val="20"/>
          <w:lang w:eastAsia="cs-CZ"/>
        </w:rPr>
      </w:pPr>
      <w:r>
        <w:rPr>
          <w:rFonts w:eastAsia="Calibri" w:cs="Arial" w:ascii="Arial" w:hAnsi="Arial"/>
          <w:b/>
          <w:bCs/>
          <w:sz w:val="20"/>
          <w:szCs w:val="20"/>
          <w:lang w:eastAsia="cs-CZ"/>
        </w:rPr>
      </w:r>
    </w:p>
    <w:p>
      <w:pPr>
        <w:pStyle w:val="Normal"/>
        <w:spacing w:lineRule="auto" w:line="240" w:before="0" w:after="0"/>
        <w:ind w:left="426" w:hanging="0"/>
        <w:jc w:val="both"/>
        <w:rPr>
          <w:rFonts w:ascii="Arial" w:hAnsi="Arial" w:eastAsia="Calibri" w:cs="Arial"/>
          <w:sz w:val="20"/>
          <w:szCs w:val="20"/>
        </w:rPr>
      </w:pPr>
      <w:r>
        <w:rPr>
          <w:rFonts w:eastAsia="Calibri" w:cs="Arial" w:ascii="Arial" w:hAnsi="Arial"/>
          <w:sz w:val="20"/>
          <w:szCs w:val="20"/>
        </w:rPr>
        <w:t>.</w:t>
      </w:r>
    </w:p>
    <w:p>
      <w:pPr>
        <w:pStyle w:val="Normal"/>
        <w:spacing w:lineRule="auto" w:line="240" w:before="0" w:after="0"/>
        <w:jc w:val="both"/>
        <w:rPr>
          <w:rFonts w:ascii="Arial" w:hAnsi="Arial" w:eastAsia="Calibri" w:cs="Arial"/>
          <w:bCs/>
          <w:sz w:val="20"/>
          <w:szCs w:val="20"/>
          <w:lang w:eastAsia="cs-CZ"/>
        </w:rPr>
      </w:pPr>
      <w:r>
        <w:rPr>
          <w:rFonts w:eastAsia="Calibri" w:cs="Arial" w:ascii="Arial" w:hAnsi="Arial"/>
          <w:bCs/>
          <w:sz w:val="20"/>
          <w:szCs w:val="20"/>
          <w:lang w:eastAsia="cs-CZ"/>
        </w:rPr>
      </w:r>
    </w:p>
    <w:p>
      <w:pPr>
        <w:pStyle w:val="Normal"/>
        <w:spacing w:lineRule="auto" w:line="240" w:before="0" w:after="0"/>
        <w:jc w:val="center"/>
        <w:rPr>
          <w:rFonts w:ascii="Arial" w:hAnsi="Arial" w:eastAsia="Calibri" w:cs="Arial"/>
          <w:b/>
          <w:b/>
          <w:bCs/>
          <w:sz w:val="20"/>
          <w:szCs w:val="20"/>
          <w:lang w:eastAsia="cs-CZ"/>
        </w:rPr>
      </w:pPr>
      <w:r>
        <w:rPr>
          <w:rFonts w:eastAsia="Calibri" w:cs="Arial" w:ascii="Arial" w:hAnsi="Arial"/>
          <w:b/>
          <w:bCs/>
          <w:sz w:val="20"/>
          <w:szCs w:val="20"/>
          <w:lang w:eastAsia="cs-CZ"/>
        </w:rPr>
      </w:r>
    </w:p>
    <w:p>
      <w:pPr>
        <w:pStyle w:val="Normal"/>
        <w:spacing w:lineRule="auto" w:line="240" w:before="0" w:after="0"/>
        <w:rPr>
          <w:rFonts w:ascii="Calibri" w:hAnsi="Calibri" w:eastAsia="Calibri"/>
          <w:szCs w:val="22"/>
        </w:rPr>
      </w:pPr>
      <w:r>
        <w:rPr>
          <w:rFonts w:eastAsia="Calibri" w:ascii="Calibri" w:hAnsi="Calibri"/>
          <w:szCs w:val="22"/>
        </w:rPr>
      </w:r>
    </w:p>
    <w:p>
      <w:pPr>
        <w:pStyle w:val="Normal"/>
        <w:spacing w:lineRule="auto" w:line="240" w:before="0" w:after="0"/>
        <w:contextualSpacing/>
        <w:jc w:val="both"/>
        <w:rPr>
          <w:rFonts w:ascii="Times New Roman" w:hAnsi="Times New Roman"/>
          <w:sz w:val="20"/>
          <w:szCs w:val="20"/>
          <w:lang w:eastAsia="sk-SK"/>
        </w:rPr>
      </w:pPr>
      <w:r>
        <w:rPr>
          <w:rFonts w:ascii="Times New Roman" w:hAnsi="Times New Roman"/>
          <w:sz w:val="20"/>
          <w:szCs w:val="20"/>
          <w:lang w:eastAsia="sk-SK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widowControl/>
        <w:bidi w:val="0"/>
        <w:spacing w:lineRule="auto" w:line="276" w:before="0" w:after="200"/>
        <w:jc w:val="left"/>
        <w:rPr/>
      </w:pPr>
      <w:r>
        <w:rPr/>
      </w:r>
    </w:p>
    <w:sectPr>
      <w:headerReference w:type="default" r:id="rId2"/>
      <w:footerReference w:type="default" r:id="rId3"/>
      <w:type w:val="nextPage"/>
      <w:pgSz w:w="11906" w:h="16838"/>
      <w:pgMar w:left="1417" w:right="1417" w:header="709" w:top="1417" w:footer="709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Calibri"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imes New Roman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EUAlbertina">
    <w:charset w:val="ee"/>
    <w:family w:val="roman"/>
    <w:pitch w:val="variable"/>
  </w:font>
  <w:font w:name="Arial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Pta"/>
      <w:jc w:val="center"/>
      <w:rPr/>
    </w:pPr>
    <w:r>
      <w:rPr/>
      <w:fldChar w:fldCharType="begin"/>
    </w:r>
    <w:r>
      <w:rPr/>
      <w:instrText> PAGE </w:instrText>
    </w:r>
    <w:r>
      <w:rPr/>
      <w:fldChar w:fldCharType="separate"/>
    </w:r>
    <w:r>
      <w:rPr/>
      <w:t>2</w:t>
    </w:r>
    <w:r>
      <w:rPr/>
      <w:fldChar w:fldCharType="end"/>
    </w:r>
  </w:p>
  <w:p>
    <w:pPr>
      <w:pStyle w:val="Pta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lavika"/>
      <w:rPr/>
    </w:pPr>
    <w:r>
      <w:rPr/>
    </w:r>
  </w:p>
  <w:tbl>
    <w:tblPr>
      <w:tblW w:w="8957" w:type="dxa"/>
      <w:jc w:val="left"/>
      <w:tblInd w:w="93" w:type="dxa"/>
      <w:tblCellMar>
        <w:top w:w="0" w:type="dxa"/>
        <w:left w:w="70" w:type="dxa"/>
        <w:bottom w:w="0" w:type="dxa"/>
        <w:right w:w="70" w:type="dxa"/>
      </w:tblCellMar>
      <w:tblLook w:val="0000"/>
    </w:tblPr>
    <w:tblGrid>
      <w:gridCol w:w="2241"/>
      <w:gridCol w:w="1700"/>
      <w:gridCol w:w="2412"/>
      <w:gridCol w:w="447"/>
      <w:gridCol w:w="2157"/>
    </w:tblGrid>
    <w:tr>
      <w:trPr>
        <w:trHeight w:val="326" w:hRule="atLeast"/>
      </w:trPr>
      <w:tc>
        <w:tcPr>
          <w:tcW w:w="2241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fill="auto" w:val="clear"/>
        </w:tcPr>
        <w:p>
          <w:pPr>
            <w:pStyle w:val="Hlavika"/>
            <w:rPr/>
          </w:pPr>
          <w:r>
            <w:rPr/>
            <w:t xml:space="preserve">Poznámky  </w:t>
          </w:r>
          <w:r>
            <w:rPr>
              <w:rFonts w:eastAsia="Times New Roman" w:cs="Times New Roman"/>
              <w:color w:val="auto"/>
              <w:kern w:val="0"/>
              <w:sz w:val="22"/>
              <w:szCs w:val="36"/>
              <w:lang w:val="sk-SK" w:eastAsia="en-US" w:bidi="ar-SA"/>
            </w:rPr>
            <w:t>MÚJ</w:t>
          </w:r>
          <w:r>
            <w:rPr/>
            <w:t xml:space="preserve"> 3-01</w:t>
          </w:r>
        </w:p>
      </w:tc>
      <w:tc>
        <w:tcPr>
          <w:tcW w:w="1700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spacing w:lineRule="auto" w:line="240" w:before="0" w:after="0"/>
            <w:rPr/>
          </w:pPr>
          <w:r>
            <w:rPr/>
            <w:t xml:space="preserve">                                  </w:t>
          </w:r>
        </w:p>
      </w:tc>
      <w:tc>
        <w:tcPr>
          <w:tcW w:w="2412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spacing w:lineRule="auto" w:line="240" w:before="0" w:after="0"/>
            <w:rPr/>
          </w:pPr>
          <w:r>
            <w:rPr/>
            <w:t xml:space="preserve">IČO: </w:t>
          </w:r>
          <w:r>
            <w:rPr>
              <w:rFonts w:eastAsia="Times New Roman" w:cs="Times New Roman"/>
              <w:szCs w:val="36"/>
            </w:rPr>
            <w:t>50345460</w:t>
          </w:r>
        </w:p>
      </w:tc>
      <w:tc>
        <w:tcPr>
          <w:tcW w:w="447" w:type="dxa"/>
          <w:tcBorders>
            <w:left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spacing w:lineRule="auto" w:line="240" w:before="0" w:after="0"/>
            <w:rPr/>
          </w:pPr>
          <w:r>
            <w:rPr/>
          </w:r>
        </w:p>
      </w:tc>
      <w:tc>
        <w:tcPr>
          <w:tcW w:w="2157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shd w:color="auto" w:fill="auto" w:val="clear"/>
        </w:tcPr>
        <w:p>
          <w:pPr>
            <w:pStyle w:val="Normal"/>
            <w:spacing w:lineRule="auto" w:line="240" w:before="0" w:after="0"/>
            <w:rPr/>
          </w:pPr>
          <w:r>
            <w:rPr/>
            <w:t>DIČ: 2120</w:t>
          </w:r>
          <w:r>
            <w:rPr>
              <w:rFonts w:eastAsia="Times New Roman" w:cs="Times New Roman"/>
              <w:szCs w:val="36"/>
            </w:rPr>
            <w:t>289127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(%1)"/>
      <w:lvlJc w:val="left"/>
      <w:pPr>
        <w:ind w:left="360" w:hanging="360"/>
      </w:pPr>
      <w:rPr>
        <w:sz w:val="20"/>
        <w:b w:val="false"/>
        <w:szCs w:val="20"/>
      </w:r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lvl w:ilvl="0">
      <w:start w:val="1"/>
      <w:numFmt w:val="lowerLetter"/>
      <w:lvlText w:val="%1)"/>
      <w:lvlJc w:val="left"/>
      <w:pPr>
        <w:ind w:left="774" w:hanging="360"/>
      </w:pPr>
    </w:lvl>
    <w:lvl w:ilvl="1">
      <w:start w:val="1"/>
      <w:numFmt w:val="lowerLetter"/>
      <w:lvlText w:val="%2."/>
      <w:lvlJc w:val="left"/>
      <w:pPr>
        <w:ind w:left="1494" w:hanging="360"/>
      </w:pPr>
    </w:lvl>
    <w:lvl w:ilvl="2">
      <w:start w:val="1"/>
      <w:numFmt w:val="lowerRoman"/>
      <w:lvlText w:val="%3."/>
      <w:lvlJc w:val="right"/>
      <w:pPr>
        <w:ind w:left="2214" w:hanging="180"/>
      </w:pPr>
    </w:lvl>
    <w:lvl w:ilvl="3">
      <w:start w:val="1"/>
      <w:numFmt w:val="decimal"/>
      <w:lvlText w:val="%4."/>
      <w:lvlJc w:val="left"/>
      <w:pPr>
        <w:ind w:left="2934" w:hanging="360"/>
      </w:pPr>
    </w:lvl>
    <w:lvl w:ilvl="4">
      <w:start w:val="1"/>
      <w:numFmt w:val="lowerLetter"/>
      <w:lvlText w:val="%5."/>
      <w:lvlJc w:val="left"/>
      <w:pPr>
        <w:ind w:left="3654" w:hanging="360"/>
      </w:pPr>
    </w:lvl>
    <w:lvl w:ilvl="5">
      <w:start w:val="1"/>
      <w:numFmt w:val="lowerRoman"/>
      <w:lvlText w:val="%6."/>
      <w:lvlJc w:val="right"/>
      <w:pPr>
        <w:ind w:left="4374" w:hanging="180"/>
      </w:pPr>
    </w:lvl>
    <w:lvl w:ilvl="6">
      <w:start w:val="1"/>
      <w:numFmt w:val="decimal"/>
      <w:lvlText w:val="%7."/>
      <w:lvlJc w:val="left"/>
      <w:pPr>
        <w:ind w:left="5094" w:hanging="360"/>
      </w:pPr>
    </w:lvl>
    <w:lvl w:ilvl="7">
      <w:start w:val="1"/>
      <w:numFmt w:val="lowerLetter"/>
      <w:lvlText w:val="%8."/>
      <w:lvlJc w:val="left"/>
      <w:pPr>
        <w:ind w:left="5814" w:hanging="360"/>
      </w:pPr>
    </w:lvl>
    <w:lvl w:ilvl="8">
      <w:start w:val="1"/>
      <w:numFmt w:val="lowerRoman"/>
      <w:lvlText w:val="%9."/>
      <w:lvlJc w:val="right"/>
      <w:pPr>
        <w:ind w:left="6534" w:hanging="180"/>
      </w:pPr>
    </w:lvl>
  </w:abstractNum>
  <w:abstractNum w:abstractNumId="3">
    <w:lvl w:ilvl="0">
      <w:start w:val="1"/>
      <w:numFmt w:val="lowerLetter"/>
      <w:lvlText w:val="%1)"/>
      <w:lvlJc w:val="left"/>
      <w:pPr>
        <w:ind w:left="720" w:hanging="360"/>
      </w:pPr>
      <w:rPr>
        <w:sz w:val="20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lvl w:ilvl="0">
      <w:start w:val="1"/>
      <w:numFmt w:val="lowerLetter"/>
      <w:lvlText w:val="%1-"/>
      <w:lvlJc w:val="left"/>
      <w:pPr>
        <w:ind w:left="1069" w:hanging="360"/>
      </w:pPr>
    </w:lvl>
    <w:lvl w:ilvl="1">
      <w:start w:val="1"/>
      <w:numFmt w:val="lowerLetter"/>
      <w:lvlText w:val="%2."/>
      <w:lvlJc w:val="left"/>
      <w:pPr>
        <w:ind w:left="1789" w:hanging="360"/>
      </w:pPr>
    </w:lvl>
    <w:lvl w:ilvl="2">
      <w:start w:val="1"/>
      <w:numFmt w:val="lowerRoman"/>
      <w:lvlText w:val="%3."/>
      <w:lvlJc w:val="right"/>
      <w:pPr>
        <w:ind w:left="2509" w:hanging="180"/>
      </w:pPr>
    </w:lvl>
    <w:lvl w:ilvl="3">
      <w:start w:val="1"/>
      <w:numFmt w:val="decimal"/>
      <w:lvlText w:val="%4."/>
      <w:lvlJc w:val="left"/>
      <w:pPr>
        <w:ind w:left="3229" w:hanging="360"/>
      </w:pPr>
    </w:lvl>
    <w:lvl w:ilvl="4">
      <w:start w:val="1"/>
      <w:numFmt w:val="lowerLetter"/>
      <w:lvlText w:val="%5."/>
      <w:lvlJc w:val="left"/>
      <w:pPr>
        <w:ind w:left="3949" w:hanging="360"/>
      </w:pPr>
    </w:lvl>
    <w:lvl w:ilvl="5">
      <w:start w:val="1"/>
      <w:numFmt w:val="lowerRoman"/>
      <w:lvlText w:val="%6."/>
      <w:lvlJc w:val="right"/>
      <w:pPr>
        <w:ind w:left="4669" w:hanging="180"/>
      </w:pPr>
    </w:lvl>
    <w:lvl w:ilvl="6">
      <w:start w:val="1"/>
      <w:numFmt w:val="decimal"/>
      <w:lvlText w:val="%7."/>
      <w:lvlJc w:val="left"/>
      <w:pPr>
        <w:ind w:left="5389" w:hanging="360"/>
      </w:pPr>
    </w:lvl>
    <w:lvl w:ilvl="7">
      <w:start w:val="1"/>
      <w:numFmt w:val="lowerLetter"/>
      <w:lvlText w:val="%8."/>
      <w:lvlJc w:val="left"/>
      <w:pPr>
        <w:ind w:left="6109" w:hanging="360"/>
      </w:pPr>
    </w:lvl>
    <w:lvl w:ilvl="8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w="http://schemas.openxmlformats.org/wordprocessingml/2006/main">
  <w:zoom w:percent="100"/>
  <w:defaultTabStop w:val="408"/>
  <w:compat/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0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caption" w:uiPriority="35" w:qFormat="1"/>
    <w:lsdException w:name="Title" w:semiHidden="0" w:unhideWhenUsed="0" w:qFormat="1"/>
    <w:lsdException w:name="Default Paragraph Font" w:uiPriority="1"/>
    <w:lsdException w:name="Subtitle" w:uiPriority="11" w:semiHidden="0" w:unhideWhenUsed="0" w:qFormat="1"/>
    <w:lsdException w:name="Body Text Indent 2" w:uiPriority="0"/>
    <w:lsdException w:name="FollowedHyperlink" w:uiPriority="0"/>
    <w:lsdException w:name="Strong" w:uiPriority="22" w:semiHidden="0" w:unhideWhenUsed="0" w:qFormat="1"/>
    <w:lsdException w:name="Emphasis" w:uiPriority="20" w:semiHidden="0" w:unhideWhenUsed="0" w:qFormat="1"/>
    <w:lsdException w:name="Balloon Text" w:uiPriority="0"/>
    <w:lsdException w:name="Table Grid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5301be"/>
    <w:pPr>
      <w:widowControl/>
      <w:bidi w:val="0"/>
      <w:spacing w:lineRule="auto" w:line="276" w:before="0" w:after="200"/>
      <w:jc w:val="left"/>
    </w:pPr>
    <w:rPr>
      <w:rFonts w:ascii="Arial Narrow" w:hAnsi="Arial Narrow" w:eastAsia="Times New Roman" w:cs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"/>
    <w:qFormat/>
    <w:rsid w:val="005301be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nhideWhenUsed/>
    <w:qFormat/>
    <w:rsid w:val="005301be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"/>
    <w:unhideWhenUsed/>
    <w:qFormat/>
    <w:rsid w:val="005301be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"/>
    <w:unhideWhenUsed/>
    <w:qFormat/>
    <w:rsid w:val="005301be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"/>
    <w:unhideWhenUsed/>
    <w:qFormat/>
    <w:rsid w:val="005301be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"/>
    <w:unhideWhenUsed/>
    <w:qFormat/>
    <w:rsid w:val="005301be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nhideWhenUsed/>
    <w:qFormat/>
    <w:rsid w:val="005301be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nhideWhenUsed/>
    <w:qFormat/>
    <w:rsid w:val="005301be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nhideWhenUsed/>
    <w:qFormat/>
    <w:rsid w:val="005301be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qFormat/>
    <w:rsid w:val="005301be"/>
    <w:rPr>
      <w:rFonts w:ascii="Cambria" w:hAnsi="Cambria" w:eastAsia="Times New Roman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"/>
    <w:qFormat/>
    <w:rsid w:val="005301be"/>
    <w:rPr>
      <w:rFonts w:ascii="Cambria" w:hAnsi="Cambria" w:eastAsia="Times New Roman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"/>
    <w:qFormat/>
    <w:rsid w:val="005301be"/>
    <w:rPr>
      <w:rFonts w:ascii="Arial Narrow" w:hAnsi="Arial Narrow"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"/>
    <w:qFormat/>
    <w:rsid w:val="005301be"/>
    <w:rPr>
      <w:rFonts w:ascii="Arial Narrow" w:hAnsi="Arial Narrow"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"/>
    <w:qFormat/>
    <w:rsid w:val="005301be"/>
    <w:rPr>
      <w:rFonts w:ascii="Arial Narrow" w:hAnsi="Arial Narrow" w:eastAsia="Times New Roman" w:cs="Times New Roman"/>
      <w:b/>
      <w:bCs/>
    </w:rPr>
  </w:style>
  <w:style w:type="character" w:styleId="Nadpis7Char" w:customStyle="1">
    <w:name w:val="Nadpis 7 Char"/>
    <w:basedOn w:val="DefaultParagraphFont"/>
    <w:link w:val="Nadpis7"/>
    <w:qFormat/>
    <w:rsid w:val="005301be"/>
    <w:rPr>
      <w:rFonts w:ascii="Arial Narrow" w:hAnsi="Arial Narrow" w:eastAsia="Times New Roman" w:cs="Times New Roman"/>
      <w:szCs w:val="24"/>
    </w:rPr>
  </w:style>
  <w:style w:type="character" w:styleId="Nadpis8Char" w:customStyle="1">
    <w:name w:val="Nadpis 8 Char"/>
    <w:basedOn w:val="DefaultParagraphFont"/>
    <w:link w:val="Nadpis8"/>
    <w:qFormat/>
    <w:rsid w:val="005301be"/>
    <w:rPr>
      <w:rFonts w:ascii="Arial Narrow" w:hAnsi="Arial Narrow" w:eastAsia="Times New Roman" w:cs="Times New Roman"/>
      <w:i/>
      <w:iCs/>
      <w:szCs w:val="24"/>
    </w:rPr>
  </w:style>
  <w:style w:type="character" w:styleId="Nadpis9Char" w:customStyle="1">
    <w:name w:val="Nadpis 9 Char"/>
    <w:basedOn w:val="DefaultParagraphFont"/>
    <w:link w:val="Nadpis9"/>
    <w:qFormat/>
    <w:rsid w:val="005301be"/>
    <w:rPr>
      <w:rFonts w:ascii="Cambria" w:hAnsi="Cambria" w:eastAsia="Times New Roman" w:cs="Times New Roman"/>
    </w:rPr>
  </w:style>
  <w:style w:type="character" w:styleId="HlavikaChar" w:customStyle="1">
    <w:name w:val="Hlavička Char"/>
    <w:basedOn w:val="DefaultParagraphFont"/>
    <w:link w:val="Hlavika"/>
    <w:uiPriority w:val="99"/>
    <w:qFormat/>
    <w:rsid w:val="005301be"/>
    <w:rPr>
      <w:rFonts w:ascii="Arial Narrow" w:hAnsi="Arial Narrow" w:eastAsia="Times New Roman" w:cs="Times New Roman"/>
      <w:szCs w:val="36"/>
    </w:rPr>
  </w:style>
  <w:style w:type="character" w:styleId="PtaChar" w:customStyle="1">
    <w:name w:val="Päta Char"/>
    <w:basedOn w:val="DefaultParagraphFont"/>
    <w:link w:val="Pta"/>
    <w:uiPriority w:val="99"/>
    <w:qFormat/>
    <w:rsid w:val="005301be"/>
    <w:rPr>
      <w:rFonts w:ascii="Arial Narrow" w:hAnsi="Arial Narrow" w:eastAsia="Times New Roman" w:cs="Times New Roman"/>
      <w:szCs w:val="36"/>
    </w:rPr>
  </w:style>
  <w:style w:type="character" w:styleId="TextpoznmkypodiarouChar128" w:customStyle="1">
    <w:name w:val="Text poznámky pod čiarou Char128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" w:customStyle="1">
    <w:name w:val="Text poznámky pod čiarou Char"/>
    <w:basedOn w:val="DefaultParagraphFont"/>
    <w:link w:val="Textpoznmkypodiarou"/>
    <w:uiPriority w:val="99"/>
    <w:semiHidden/>
    <w:qFormat/>
    <w:rsid w:val="005301be"/>
    <w:rPr>
      <w:rFonts w:ascii="Times New Roman" w:hAnsi="Times New Roman" w:eastAsia="Times New Roman" w:cs="Times New Roman"/>
      <w:sz w:val="20"/>
      <w:szCs w:val="20"/>
      <w:lang w:eastAsia="cs-CZ"/>
    </w:rPr>
  </w:style>
  <w:style w:type="character" w:styleId="TextpoznmkypodiarouChar127" w:customStyle="1">
    <w:name w:val="Text poznámky pod čiarou Char127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uiPriority w:val="99"/>
    <w:semiHidden/>
    <w:qFormat/>
    <w:rsid w:val="005301be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uiPriority w:val="99"/>
    <w:semiHidden/>
    <w:qFormat/>
    <w:rsid w:val="005301be"/>
    <w:rPr>
      <w:rFonts w:cs="Times New Roman"/>
      <w:sz w:val="20"/>
      <w:szCs w:val="20"/>
    </w:rPr>
  </w:style>
  <w:style w:type="character" w:styleId="NzovChar128" w:customStyle="1">
    <w:name w:val="Názov Char128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" w:customStyle="1">
    <w:name w:val="Názov Char"/>
    <w:basedOn w:val="DefaultParagraphFont"/>
    <w:link w:val="Nzov"/>
    <w:uiPriority w:val="99"/>
    <w:qFormat/>
    <w:rsid w:val="005301be"/>
    <w:rPr>
      <w:rFonts w:ascii="Arial Narrow" w:hAnsi="Arial Narrow" w:eastAsia="Times New Roman" w:cs="Times New Roman"/>
      <w:b/>
      <w:bCs/>
      <w:kern w:val="2"/>
      <w:szCs w:val="32"/>
    </w:rPr>
  </w:style>
  <w:style w:type="character" w:styleId="NzovChar127" w:customStyle="1">
    <w:name w:val="Názov Char127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6" w:customStyle="1">
    <w:name w:val="Názov Char126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5" w:customStyle="1">
    <w:name w:val="Názov Char125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4" w:customStyle="1">
    <w:name w:val="Názov Char124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3" w:customStyle="1">
    <w:name w:val="Názov Char123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2" w:customStyle="1">
    <w:name w:val="Názov Char122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1" w:customStyle="1">
    <w:name w:val="Názov Char121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0" w:customStyle="1">
    <w:name w:val="Názov Char120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9" w:customStyle="1">
    <w:name w:val="Názov Char119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8" w:customStyle="1">
    <w:name w:val="Názov Char118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7" w:customStyle="1">
    <w:name w:val="Názov Char117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6" w:customStyle="1">
    <w:name w:val="Názov Char116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5" w:customStyle="1">
    <w:name w:val="Názov Char115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4" w:customStyle="1">
    <w:name w:val="Názov Char114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3" w:customStyle="1">
    <w:name w:val="Názov Char113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2" w:customStyle="1">
    <w:name w:val="Názov Char112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1" w:customStyle="1">
    <w:name w:val="Názov Char111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0" w:customStyle="1">
    <w:name w:val="Názov Char110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9" w:customStyle="1">
    <w:name w:val="Názov Char19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8" w:customStyle="1">
    <w:name w:val="Názov Char18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7" w:customStyle="1">
    <w:name w:val="Názov Char17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6" w:customStyle="1">
    <w:name w:val="Názov Char16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5" w:customStyle="1">
    <w:name w:val="Názov Char15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4" w:customStyle="1">
    <w:name w:val="Názov Char14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3" w:customStyle="1">
    <w:name w:val="Názov Char13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2" w:customStyle="1">
    <w:name w:val="Názov Char12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NzovChar11" w:customStyle="1">
    <w:name w:val="Názov Char11"/>
    <w:uiPriority w:val="10"/>
    <w:qFormat/>
    <w:rsid w:val="005301be"/>
    <w:rPr>
      <w:rFonts w:ascii="Cambria" w:hAnsi="Cambria" w:eastAsia="Times New Roman" w:cs="Times New Roman"/>
      <w:b/>
      <w:bCs/>
      <w:kern w:val="2"/>
      <w:sz w:val="32"/>
      <w:szCs w:val="32"/>
    </w:rPr>
  </w:style>
  <w:style w:type="character" w:styleId="ZkladntextChar128" w:customStyle="1">
    <w:name w:val="Základný text Char128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" w:customStyle="1">
    <w:name w:val="Základný text Char"/>
    <w:basedOn w:val="DefaultParagraphFont"/>
    <w:link w:val="Zkladntext"/>
    <w:uiPriority w:val="99"/>
    <w:qFormat/>
    <w:rsid w:val="005301be"/>
    <w:rPr>
      <w:rFonts w:ascii="Times New Roman" w:hAnsi="Times New Roman" w:eastAsia="Times New Roman" w:cs="Times New Roman"/>
      <w:b/>
      <w:bCs/>
      <w:sz w:val="24"/>
      <w:szCs w:val="24"/>
      <w:lang w:eastAsia="cs-CZ"/>
    </w:rPr>
  </w:style>
  <w:style w:type="character" w:styleId="ZkladntextChar127" w:customStyle="1">
    <w:name w:val="Základný text Char127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26" w:customStyle="1">
    <w:name w:val="Základný text Char126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25" w:customStyle="1">
    <w:name w:val="Základný text Char125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24" w:customStyle="1">
    <w:name w:val="Základný text Char124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23" w:customStyle="1">
    <w:name w:val="Základný text Char123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22" w:customStyle="1">
    <w:name w:val="Základný text Char122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21" w:customStyle="1">
    <w:name w:val="Základný text Char121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20" w:customStyle="1">
    <w:name w:val="Základný text Char120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9" w:customStyle="1">
    <w:name w:val="Základný text Char119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8" w:customStyle="1">
    <w:name w:val="Základný text Char118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7" w:customStyle="1">
    <w:name w:val="Základný text Char117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6" w:customStyle="1">
    <w:name w:val="Základný text Char116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5" w:customStyle="1">
    <w:name w:val="Základný text Char115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4" w:customStyle="1">
    <w:name w:val="Základný text Char114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3" w:customStyle="1">
    <w:name w:val="Základný text Char113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2" w:customStyle="1">
    <w:name w:val="Základný text Char112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1" w:customStyle="1">
    <w:name w:val="Základný text Char111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0" w:customStyle="1">
    <w:name w:val="Základný text Char110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9" w:customStyle="1">
    <w:name w:val="Základný text Char19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8" w:customStyle="1">
    <w:name w:val="Základný text Char18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7" w:customStyle="1">
    <w:name w:val="Základný text Char17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6" w:customStyle="1">
    <w:name w:val="Základný text Char16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5" w:customStyle="1">
    <w:name w:val="Základný text Char15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4" w:customStyle="1">
    <w:name w:val="Základný text Char14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3" w:customStyle="1">
    <w:name w:val="Základný text Char13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2" w:customStyle="1">
    <w:name w:val="Základný text Char12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Char11" w:customStyle="1">
    <w:name w:val="Základný text Char11"/>
    <w:uiPriority w:val="99"/>
    <w:semiHidden/>
    <w:qFormat/>
    <w:rsid w:val="005301be"/>
    <w:rPr>
      <w:rFonts w:cs="Times New Roman"/>
      <w:sz w:val="36"/>
      <w:szCs w:val="36"/>
    </w:rPr>
  </w:style>
  <w:style w:type="character" w:styleId="PodtitulChar128" w:customStyle="1">
    <w:name w:val="Podtitul Char128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rsid w:val="005301be"/>
    <w:rPr>
      <w:rFonts w:ascii="Cambria" w:hAnsi="Cambria" w:eastAsia="Times New Roman" w:cs="Times New Roman"/>
      <w:szCs w:val="24"/>
    </w:rPr>
  </w:style>
  <w:style w:type="character" w:styleId="PodtitulChar127" w:customStyle="1">
    <w:name w:val="Podtitul Char127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26" w:customStyle="1">
    <w:name w:val="Podtitul Char126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25" w:customStyle="1">
    <w:name w:val="Podtitul Char125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24" w:customStyle="1">
    <w:name w:val="Podtitul Char124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23" w:customStyle="1">
    <w:name w:val="Podtitul Char123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22" w:customStyle="1">
    <w:name w:val="Podtitul Char122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21" w:customStyle="1">
    <w:name w:val="Podtitul Char121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20" w:customStyle="1">
    <w:name w:val="Podtitul Char120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9" w:customStyle="1">
    <w:name w:val="Podtitul Char119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8" w:customStyle="1">
    <w:name w:val="Podtitul Char118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7" w:customStyle="1">
    <w:name w:val="Podtitul Char117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6" w:customStyle="1">
    <w:name w:val="Podtitul Char116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5" w:customStyle="1">
    <w:name w:val="Podtitul Char115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4" w:customStyle="1">
    <w:name w:val="Podtitul Char114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3" w:customStyle="1">
    <w:name w:val="Podtitul Char113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2" w:customStyle="1">
    <w:name w:val="Podtitul Char112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1" w:customStyle="1">
    <w:name w:val="Podtitul Char111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0" w:customStyle="1">
    <w:name w:val="Podtitul Char110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9" w:customStyle="1">
    <w:name w:val="Podtitul Char19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8" w:customStyle="1">
    <w:name w:val="Podtitul Char18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7" w:customStyle="1">
    <w:name w:val="Podtitul Char17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6" w:customStyle="1">
    <w:name w:val="Podtitul Char16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5" w:customStyle="1">
    <w:name w:val="Podtitul Char15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4" w:customStyle="1">
    <w:name w:val="Podtitul Char14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3" w:customStyle="1">
    <w:name w:val="Podtitul Char13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2" w:customStyle="1">
    <w:name w:val="Podtitul Char12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PodtitulChar11" w:customStyle="1">
    <w:name w:val="Podtitul Char11"/>
    <w:uiPriority w:val="11"/>
    <w:qFormat/>
    <w:rsid w:val="005301be"/>
    <w:rPr>
      <w:rFonts w:ascii="Cambria" w:hAnsi="Cambria" w:eastAsia="Times New Roman" w:cs="Times New Roman"/>
      <w:sz w:val="24"/>
      <w:szCs w:val="24"/>
    </w:rPr>
  </w:style>
  <w:style w:type="character" w:styleId="Zkladntext2Char128" w:customStyle="1">
    <w:name w:val="Základný text 2 Char128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" w:customStyle="1">
    <w:name w:val="Základný text 2 Char"/>
    <w:basedOn w:val="DefaultParagraphFont"/>
    <w:link w:val="Zkladntext2"/>
    <w:uiPriority w:val="99"/>
    <w:qFormat/>
    <w:rsid w:val="005301be"/>
    <w:rPr>
      <w:rFonts w:ascii="Times New Roman" w:hAnsi="Times New Roman" w:eastAsia="Times New Roman" w:cs="Times New Roman"/>
      <w:sz w:val="24"/>
      <w:szCs w:val="24"/>
      <w:lang w:eastAsia="cs-CZ"/>
    </w:rPr>
  </w:style>
  <w:style w:type="character" w:styleId="Zkladntext2Char127" w:customStyle="1">
    <w:name w:val="Základný text 2 Char127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26" w:customStyle="1">
    <w:name w:val="Základný text 2 Char126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25" w:customStyle="1">
    <w:name w:val="Základný text 2 Char125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24" w:customStyle="1">
    <w:name w:val="Základný text 2 Char124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23" w:customStyle="1">
    <w:name w:val="Základný text 2 Char123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22" w:customStyle="1">
    <w:name w:val="Základný text 2 Char122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21" w:customStyle="1">
    <w:name w:val="Základný text 2 Char121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20" w:customStyle="1">
    <w:name w:val="Základný text 2 Char120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9" w:customStyle="1">
    <w:name w:val="Základný text 2 Char119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8" w:customStyle="1">
    <w:name w:val="Základný text 2 Char118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7" w:customStyle="1">
    <w:name w:val="Základný text 2 Char117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6" w:customStyle="1">
    <w:name w:val="Základný text 2 Char116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5" w:customStyle="1">
    <w:name w:val="Základný text 2 Char115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4" w:customStyle="1">
    <w:name w:val="Základný text 2 Char114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3" w:customStyle="1">
    <w:name w:val="Základný text 2 Char113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2" w:customStyle="1">
    <w:name w:val="Základný text 2 Char112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1" w:customStyle="1">
    <w:name w:val="Základný text 2 Char111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0" w:customStyle="1">
    <w:name w:val="Základný text 2 Char110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9" w:customStyle="1">
    <w:name w:val="Základný text 2 Char19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8" w:customStyle="1">
    <w:name w:val="Základný text 2 Char18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7" w:customStyle="1">
    <w:name w:val="Základný text 2 Char17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6" w:customStyle="1">
    <w:name w:val="Základný text 2 Char16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5" w:customStyle="1">
    <w:name w:val="Základný text 2 Char15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4" w:customStyle="1">
    <w:name w:val="Základný text 2 Char14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3" w:customStyle="1">
    <w:name w:val="Základný text 2 Char13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2" w:customStyle="1">
    <w:name w:val="Základný text 2 Char12"/>
    <w:uiPriority w:val="99"/>
    <w:semiHidden/>
    <w:qFormat/>
    <w:rsid w:val="005301be"/>
    <w:rPr>
      <w:rFonts w:cs="Times New Roman"/>
      <w:sz w:val="36"/>
      <w:szCs w:val="36"/>
    </w:rPr>
  </w:style>
  <w:style w:type="character" w:styleId="Zkladntext2Char11" w:customStyle="1">
    <w:name w:val="Základný text 2 Char11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" w:customStyle="1">
    <w:name w:val="Zarážka základného textu 2 Char"/>
    <w:basedOn w:val="DefaultParagraphFont"/>
    <w:link w:val="Zarkazkladnhotextu2"/>
    <w:qFormat/>
    <w:rsid w:val="005301be"/>
    <w:rPr>
      <w:rFonts w:ascii="Times New Roman" w:hAnsi="Times New Roman" w:eastAsia="Times New Roman" w:cs="Times New Roman"/>
      <w:sz w:val="24"/>
      <w:szCs w:val="24"/>
      <w:lang w:eastAsia="cs-CZ"/>
    </w:rPr>
  </w:style>
  <w:style w:type="character" w:styleId="Zarkazkladnhotextu2Char127" w:customStyle="1">
    <w:name w:val="Zarážka základného textu 2 Char127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uiPriority w:val="99"/>
    <w:semiHidden/>
    <w:qFormat/>
    <w:rsid w:val="005301be"/>
    <w:rPr>
      <w:rFonts w:cs="Times New Roman"/>
      <w:sz w:val="36"/>
      <w:szCs w:val="36"/>
    </w:rPr>
  </w:style>
  <w:style w:type="character" w:styleId="Zarkazkladnhotextu3Char128" w:customStyle="1">
    <w:name w:val="Zarážka základného textu 3 Char128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" w:customStyle="1">
    <w:name w:val="Zarážka základného textu 3 Char"/>
    <w:basedOn w:val="DefaultParagraphFont"/>
    <w:link w:val="Zarkazkladnhotextu3"/>
    <w:uiPriority w:val="99"/>
    <w:qFormat/>
    <w:rsid w:val="005301be"/>
    <w:rPr>
      <w:rFonts w:ascii="Times New Roman" w:hAnsi="Times New Roman" w:eastAsia="Times New Roman" w:cs="Times New Roman"/>
      <w:sz w:val="24"/>
      <w:szCs w:val="24"/>
      <w:lang w:eastAsia="cs-CZ"/>
    </w:rPr>
  </w:style>
  <w:style w:type="character" w:styleId="Zarkazkladnhotextu3Char127" w:customStyle="1">
    <w:name w:val="Zarážka základného textu 3 Char127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uiPriority w:val="99"/>
    <w:semiHidden/>
    <w:qFormat/>
    <w:rsid w:val="005301be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uiPriority w:val="99"/>
    <w:semiHidden/>
    <w:qFormat/>
    <w:rsid w:val="005301be"/>
    <w:rPr>
      <w:rFonts w:cs="Times New Roman"/>
      <w:sz w:val="16"/>
      <w:szCs w:val="16"/>
    </w:rPr>
  </w:style>
  <w:style w:type="character" w:styleId="TextbublinyChar128" w:customStyle="1">
    <w:name w:val="Text bubliny Char128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semiHidden/>
    <w:qFormat/>
    <w:rsid w:val="005301be"/>
    <w:rPr>
      <w:rFonts w:ascii="Tahoma" w:hAnsi="Tahoma" w:eastAsia="Times New Roman" w:cs="Tahoma"/>
      <w:sz w:val="16"/>
      <w:szCs w:val="16"/>
      <w:lang w:eastAsia="cs-CZ"/>
    </w:rPr>
  </w:style>
  <w:style w:type="character" w:styleId="TextbublinyChar127" w:customStyle="1">
    <w:name w:val="Text bubliny Char127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uiPriority w:val="99"/>
    <w:semiHidden/>
    <w:qFormat/>
    <w:rsid w:val="005301be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uiPriority w:val="99"/>
    <w:semiHidden/>
    <w:qFormat/>
    <w:rsid w:val="005301be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uiPriority w:val="99"/>
    <w:semiHidden/>
    <w:qFormat/>
    <w:rsid w:val="005301be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uiPriority w:val="99"/>
    <w:semiHidden/>
    <w:qFormat/>
    <w:rsid w:val="005301be"/>
    <w:rPr>
      <w:rFonts w:ascii="Tahoma" w:hAnsi="Tahoma" w:cs="Tahoma"/>
      <w:sz w:val="16"/>
      <w:szCs w:val="16"/>
    </w:rPr>
  </w:style>
  <w:style w:type="character" w:styleId="Ukotveniepoznmkypodiarou">
    <w:name w:val="Ukotvenie poznámky pod čiarou"/>
    <w:rPr>
      <w:vertAlign w:val="superscript"/>
    </w:rPr>
  </w:style>
  <w:style w:type="character" w:styleId="FootnoteCharacters">
    <w:name w:val="Footnote Characters"/>
    <w:uiPriority w:val="99"/>
    <w:qFormat/>
    <w:rsid w:val="005301be"/>
    <w:rPr>
      <w:vertAlign w:val="superscript"/>
    </w:rPr>
  </w:style>
  <w:style w:type="character" w:styleId="OdsekzoznamuChar" w:customStyle="1">
    <w:name w:val="Odsek zoznamu Char"/>
    <w:link w:val="Odsekzoznamu"/>
    <w:uiPriority w:val="34"/>
    <w:qFormat/>
    <w:locked/>
    <w:rsid w:val="005301be"/>
    <w:rPr>
      <w:rFonts w:ascii="Arial Narrow" w:hAnsi="Arial Narrow" w:eastAsia="Times New Roman" w:cs="Times New Roman"/>
      <w:szCs w:val="36"/>
    </w:rPr>
  </w:style>
  <w:style w:type="character" w:styleId="ZarkazkladnhotextuChar" w:customStyle="1">
    <w:name w:val="Zarážka základného textu Char"/>
    <w:basedOn w:val="DefaultParagraphFont"/>
    <w:link w:val="Zarkazkladnhotextu"/>
    <w:uiPriority w:val="99"/>
    <w:qFormat/>
    <w:rsid w:val="005301be"/>
    <w:rPr>
      <w:rFonts w:ascii="Arial Narrow" w:hAnsi="Arial Narrow" w:eastAsia="Times New Roman" w:cs="Times New Roman"/>
      <w:iCs/>
      <w:sz w:val="24"/>
      <w:szCs w:val="28"/>
      <w:lang w:eastAsia="cs-CZ"/>
    </w:rPr>
  </w:style>
  <w:style w:type="character" w:styleId="Pagenumber">
    <w:name w:val="page number"/>
    <w:uiPriority w:val="99"/>
    <w:qFormat/>
    <w:rsid w:val="005301be"/>
    <w:rPr/>
  </w:style>
  <w:style w:type="character" w:styleId="Zkladntext3Char" w:customStyle="1">
    <w:name w:val="Základný text 3 Char"/>
    <w:basedOn w:val="DefaultParagraphFont"/>
    <w:link w:val="Zkladntext3"/>
    <w:uiPriority w:val="99"/>
    <w:qFormat/>
    <w:rsid w:val="005301be"/>
    <w:rPr>
      <w:rFonts w:ascii="Arial Narrow" w:hAnsi="Arial Narrow" w:eastAsia="Times New Roman" w:cs="Times New Roman"/>
      <w:bCs/>
      <w:sz w:val="24"/>
      <w:szCs w:val="24"/>
      <w:lang w:eastAsia="cs-CZ"/>
    </w:rPr>
  </w:style>
  <w:style w:type="character" w:styleId="TextkomentraChar" w:customStyle="1">
    <w:name w:val="Text komentára Char"/>
    <w:basedOn w:val="DefaultParagraphFont"/>
    <w:link w:val="Textkomentra"/>
    <w:uiPriority w:val="99"/>
    <w:qFormat/>
    <w:rsid w:val="005301be"/>
    <w:rPr>
      <w:rFonts w:ascii="Times New Roman" w:hAnsi="Times New Roman" w:eastAsia="Times New Roman" w:cs="Times New Roman"/>
      <w:sz w:val="20"/>
      <w:szCs w:val="20"/>
      <w:lang w:eastAsia="cs-CZ"/>
    </w:rPr>
  </w:style>
  <w:style w:type="character" w:styleId="PredmetkomentraChar" w:customStyle="1">
    <w:name w:val="Predmet komentára Char"/>
    <w:basedOn w:val="TextkomentraChar"/>
    <w:link w:val="Predmetkomentra"/>
    <w:uiPriority w:val="99"/>
    <w:qFormat/>
    <w:rsid w:val="005301be"/>
    <w:rPr>
      <w:b/>
      <w:bCs/>
    </w:rPr>
  </w:style>
  <w:style w:type="character" w:styleId="Internetovodkaz">
    <w:name w:val="Internetový odkaz"/>
    <w:uiPriority w:val="99"/>
    <w:rsid w:val="005301be"/>
    <w:rPr>
      <w:color w:val="0000FF"/>
      <w:u w:val="single"/>
    </w:rPr>
  </w:style>
  <w:style w:type="character" w:styleId="FollowedHyperlink">
    <w:name w:val="FollowedHyperlink"/>
    <w:qFormat/>
    <w:rsid w:val="005301be"/>
    <w:rPr>
      <w:color w:val="800080"/>
      <w:u w:val="single"/>
    </w:rPr>
  </w:style>
  <w:style w:type="character" w:styleId="Ra" w:customStyle="1">
    <w:name w:val="ra"/>
    <w:qFormat/>
    <w:rsid w:val="005301be"/>
    <w:rPr/>
  </w:style>
  <w:style w:type="character" w:styleId="Strong">
    <w:name w:val="Strong"/>
    <w:uiPriority w:val="22"/>
    <w:qFormat/>
    <w:rsid w:val="005301be"/>
    <w:rPr>
      <w:rFonts w:cs="Times New Roman"/>
      <w:b/>
    </w:rPr>
  </w:style>
  <w:style w:type="character" w:styleId="Zdraznenie">
    <w:name w:val="Zdôraznenie"/>
    <w:uiPriority w:val="20"/>
    <w:qFormat/>
    <w:rsid w:val="005301be"/>
    <w:rPr>
      <w:rFonts w:cs="Times New Roman"/>
      <w:i/>
    </w:rPr>
  </w:style>
  <w:style w:type="character" w:styleId="Textzstupnhosymbolu1" w:customStyle="1">
    <w:name w:val="Text zástupného symbolu1"/>
    <w:semiHidden/>
    <w:qFormat/>
    <w:rsid w:val="005301be"/>
    <w:rPr>
      <w:rFonts w:ascii="Times New Roman" w:hAnsi="Times New Roman"/>
      <w:color w:val="808080"/>
    </w:rPr>
  </w:style>
  <w:style w:type="character" w:styleId="CharChar5" w:customStyle="1">
    <w:name w:val="Char Char5"/>
    <w:qFormat/>
    <w:locked/>
    <w:rsid w:val="005301be"/>
    <w:rPr>
      <w:rFonts w:cs="Times New Roman"/>
      <w:b/>
      <w:sz w:val="28"/>
      <w:lang w:val="sk-SK" w:eastAsia="sk-SK" w:bidi="ar-SA"/>
    </w:rPr>
  </w:style>
  <w:style w:type="character" w:styleId="CharChar18" w:customStyle="1">
    <w:name w:val="Char Char18"/>
    <w:qFormat/>
    <w:locked/>
    <w:rsid w:val="005301be"/>
    <w:rPr>
      <w:rFonts w:ascii="Calibri" w:hAnsi="Calibri" w:cs="Times New Roman"/>
      <w:b/>
      <w:bCs/>
      <w:sz w:val="22"/>
      <w:szCs w:val="22"/>
      <w:lang w:val="sk-SK" w:eastAsia="en-US" w:bidi="ar-SA"/>
    </w:rPr>
  </w:style>
  <w:style w:type="character" w:styleId="ObyajntextChar" w:customStyle="1">
    <w:name w:val="Obyčajný text Char"/>
    <w:basedOn w:val="DefaultParagraphFont"/>
    <w:link w:val="Obyajntext"/>
    <w:uiPriority w:val="99"/>
    <w:qFormat/>
    <w:rsid w:val="005301be"/>
    <w:rPr>
      <w:rFonts w:ascii="Arial Narrow" w:hAnsi="Arial Narrow" w:eastAsia="Calibri" w:cs="Times New Roman"/>
      <w:szCs w:val="21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unhideWhenUsed/>
    <w:rsid w:val="005301be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HlavikaChar"/>
    <w:uiPriority w:val="99"/>
    <w:unhideWhenUsed/>
    <w:rsid w:val="005301be"/>
    <w:pPr>
      <w:tabs>
        <w:tab w:val="clear" w:pos="4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PtaChar"/>
    <w:uiPriority w:val="99"/>
    <w:unhideWhenUsed/>
    <w:rsid w:val="005301be"/>
    <w:pPr>
      <w:tabs>
        <w:tab w:val="clear" w:pos="4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mkypodiarouChar"/>
    <w:uiPriority w:val="99"/>
    <w:semiHidden/>
    <w:unhideWhenUsed/>
    <w:rsid w:val="005301be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ovChar"/>
    <w:uiPriority w:val="99"/>
    <w:qFormat/>
    <w:rsid w:val="005301be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5301be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unhideWhenUsed/>
    <w:qFormat/>
    <w:rsid w:val="005301be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arkazkladnhotextu2Char"/>
    <w:unhideWhenUsed/>
    <w:qFormat/>
    <w:rsid w:val="005301be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arkazkladnhotextu3Char"/>
    <w:uiPriority w:val="99"/>
    <w:unhideWhenUsed/>
    <w:qFormat/>
    <w:rsid w:val="005301be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semiHidden/>
    <w:unhideWhenUsed/>
    <w:qFormat/>
    <w:rsid w:val="005301be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link w:val="OdsekzoznamuChar"/>
    <w:uiPriority w:val="34"/>
    <w:qFormat/>
    <w:rsid w:val="005301be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5301be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unhideWhenUsed/>
    <w:qFormat/>
    <w:rsid w:val="005301be"/>
    <w:pPr>
      <w:spacing w:lineRule="auto" w:line="240" w:beforeAutospacing="1" w:afterAutospacing="1"/>
    </w:pPr>
    <w:rPr>
      <w:rFonts w:ascii="Times New Roman" w:hAnsi="Times New Roman"/>
      <w:sz w:val="24"/>
      <w:szCs w:val="24"/>
      <w:lang w:eastAsia="sk-SK"/>
    </w:rPr>
  </w:style>
  <w:style w:type="paragraph" w:styleId="Default" w:customStyle="1">
    <w:name w:val="Default"/>
    <w:qFormat/>
    <w:rsid w:val="005301be"/>
    <w:pPr>
      <w:widowControl/>
      <w:bidi w:val="0"/>
      <w:spacing w:lineRule="auto" w:line="240" w:before="0" w:after="0"/>
      <w:jc w:val="left"/>
    </w:pPr>
    <w:rPr>
      <w:rFonts w:ascii="EUAlbertina" w:hAnsi="EUAlbertina" w:eastAsia="Times New Roman" w:cs="EUAlbertina"/>
      <w:color w:val="000000"/>
      <w:kern w:val="0"/>
      <w:sz w:val="24"/>
      <w:szCs w:val="24"/>
      <w:lang w:val="sk-SK" w:eastAsia="en-US" w:bidi="ar-SA"/>
    </w:rPr>
  </w:style>
  <w:style w:type="paragraph" w:styleId="Pismenka" w:customStyle="1">
    <w:name w:val="Pismenka"/>
    <w:basedOn w:val="Telotextu"/>
    <w:qFormat/>
    <w:rsid w:val="005301be"/>
    <w:pPr/>
    <w:rPr>
      <w:bCs w:val="false"/>
      <w:sz w:val="18"/>
      <w:szCs w:val="20"/>
      <w:lang w:eastAsia="en-US"/>
    </w:rPr>
  </w:style>
  <w:style w:type="paragraph" w:styleId="Odsadenietelatextu">
    <w:name w:val="Body Text Indent"/>
    <w:basedOn w:val="Normal"/>
    <w:link w:val="ZarkazkladnhotextuChar"/>
    <w:uiPriority w:val="99"/>
    <w:rsid w:val="005301be"/>
    <w:pPr>
      <w:spacing w:lineRule="auto" w:line="240" w:before="0" w:after="0"/>
      <w:ind w:left="360" w:hanging="0"/>
    </w:pPr>
    <w:rPr>
      <w:iCs/>
      <w:sz w:val="24"/>
      <w:szCs w:val="28"/>
      <w:lang w:eastAsia="cs-CZ"/>
    </w:rPr>
  </w:style>
  <w:style w:type="paragraph" w:styleId="BodyText3">
    <w:name w:val="Body Text 3"/>
    <w:basedOn w:val="Normal"/>
    <w:link w:val="Zkladntext3Char"/>
    <w:uiPriority w:val="99"/>
    <w:qFormat/>
    <w:rsid w:val="005301be"/>
    <w:pPr>
      <w:spacing w:lineRule="auto" w:line="240" w:before="0" w:after="0"/>
      <w:jc w:val="both"/>
    </w:pPr>
    <w:rPr>
      <w:bCs/>
      <w:sz w:val="24"/>
      <w:szCs w:val="24"/>
      <w:lang w:eastAsia="cs-CZ"/>
    </w:rPr>
  </w:style>
  <w:style w:type="paragraph" w:styleId="Zkladntext" w:customStyle="1">
    <w:name w:val="Základní text"/>
    <w:qFormat/>
    <w:rsid w:val="005301be"/>
    <w:pPr>
      <w:widowControl/>
      <w:bidi w:val="0"/>
      <w:spacing w:lineRule="auto" w:line="240" w:before="144" w:after="144"/>
      <w:ind w:firstLine="709"/>
      <w:jc w:val="both"/>
    </w:pPr>
    <w:rPr>
      <w:rFonts w:ascii="Times New Roman" w:hAnsi="Times New Roman" w:eastAsia="Times New Roman" w:cs="Times New Roman"/>
      <w:color w:val="000000"/>
      <w:kern w:val="0"/>
      <w:sz w:val="24"/>
      <w:szCs w:val="20"/>
      <w:lang w:val="sk-SK" w:eastAsia="sk-SK" w:bidi="ar-SA"/>
    </w:rPr>
  </w:style>
  <w:style w:type="paragraph" w:styleId="Normlnywebov5" w:customStyle="1">
    <w:name w:val="Normálny (webový)5"/>
    <w:basedOn w:val="Normal"/>
    <w:qFormat/>
    <w:rsid w:val="005301be"/>
    <w:pPr>
      <w:spacing w:lineRule="auto" w:line="240" w:before="0" w:after="204"/>
    </w:pPr>
    <w:rPr>
      <w:rFonts w:ascii="Times New Roman" w:hAnsi="Times New Roman"/>
      <w:sz w:val="24"/>
      <w:szCs w:val="24"/>
      <w:lang w:eastAsia="sk-SK"/>
    </w:rPr>
  </w:style>
  <w:style w:type="paragraph" w:styleId="Tabulka" w:customStyle="1">
    <w:name w:val="Tabulka"/>
    <w:basedOn w:val="Normal"/>
    <w:qFormat/>
    <w:rsid w:val="005301be"/>
    <w:pPr>
      <w:spacing w:lineRule="auto" w:line="240" w:before="0" w:after="0"/>
    </w:pPr>
    <w:rPr>
      <w:rFonts w:ascii="Times New Roman" w:hAnsi="Times New Roman"/>
      <w:color w:val="000000"/>
      <w:sz w:val="18"/>
      <w:szCs w:val="20"/>
    </w:rPr>
  </w:style>
  <w:style w:type="paragraph" w:styleId="Annotationtext">
    <w:name w:val="annotation text"/>
    <w:basedOn w:val="Normal"/>
    <w:link w:val="TextkomentraChar"/>
    <w:uiPriority w:val="99"/>
    <w:unhideWhenUsed/>
    <w:qFormat/>
    <w:rsid w:val="005301be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Annotationsubject">
    <w:name w:val="annotation subject"/>
    <w:basedOn w:val="Annotationtext"/>
    <w:next w:val="Annotationtext"/>
    <w:link w:val="PredmetkomentraChar"/>
    <w:uiPriority w:val="99"/>
    <w:unhideWhenUsed/>
    <w:qFormat/>
    <w:rsid w:val="005301be"/>
    <w:pPr/>
    <w:rPr>
      <w:b/>
      <w:bCs/>
    </w:rPr>
  </w:style>
  <w:style w:type="paragraph" w:styleId="Revision">
    <w:name w:val="Revision"/>
    <w:uiPriority w:val="99"/>
    <w:semiHidden/>
    <w:qFormat/>
    <w:rsid w:val="005301be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sk-SK" w:eastAsia="cs-CZ" w:bidi="ar-SA"/>
    </w:rPr>
  </w:style>
  <w:style w:type="paragraph" w:styleId="Uvod" w:customStyle="1">
    <w:name w:val="Uvod"/>
    <w:basedOn w:val="Normal"/>
    <w:qFormat/>
    <w:rsid w:val="005301be"/>
    <w:pPr>
      <w:spacing w:lineRule="auto" w:line="240" w:before="0" w:after="0"/>
      <w:ind w:left="284" w:hanging="284"/>
      <w:jc w:val="both"/>
    </w:pPr>
    <w:rPr>
      <w:rFonts w:ascii="Times New Roman" w:hAnsi="Times New Roman"/>
      <w:szCs w:val="20"/>
    </w:rPr>
  </w:style>
  <w:style w:type="paragraph" w:styleId="Obsah1">
    <w:name w:val="TOC 1"/>
    <w:basedOn w:val="Normal"/>
    <w:next w:val="Normal"/>
    <w:autoRedefine/>
    <w:rsid w:val="005301be"/>
    <w:pPr>
      <w:tabs>
        <w:tab w:val="clear" w:pos="408"/>
        <w:tab w:val="left" w:pos="426" w:leader="none"/>
        <w:tab w:val="right" w:pos="9203" w:leader="none"/>
      </w:tabs>
      <w:spacing w:lineRule="auto" w:line="240" w:before="360" w:after="0"/>
    </w:pPr>
    <w:rPr>
      <w:rFonts w:ascii="Times New Roman" w:hAnsi="Times New Roman"/>
      <w:b/>
      <w:bCs/>
      <w:caps/>
      <w:sz w:val="20"/>
      <w:szCs w:val="18"/>
    </w:rPr>
  </w:style>
  <w:style w:type="paragraph" w:styleId="Obsah2">
    <w:name w:val="TOC 2"/>
    <w:basedOn w:val="Normal"/>
    <w:next w:val="Normal"/>
    <w:autoRedefine/>
    <w:rsid w:val="005301be"/>
    <w:pPr>
      <w:tabs>
        <w:tab w:val="clear" w:pos="408"/>
        <w:tab w:val="left" w:pos="993" w:leader="none"/>
        <w:tab w:val="right" w:pos="9203" w:leader="none"/>
      </w:tabs>
      <w:spacing w:lineRule="auto" w:line="240" w:before="0" w:after="0"/>
      <w:ind w:firstLine="567"/>
    </w:pPr>
    <w:rPr>
      <w:rFonts w:ascii="Times New Roman" w:hAnsi="Times New Roman"/>
      <w:b/>
      <w:bCs/>
      <w:sz w:val="20"/>
      <w:szCs w:val="18"/>
    </w:rPr>
  </w:style>
  <w:style w:type="paragraph" w:styleId="Obsah3">
    <w:name w:val="TOC 3"/>
    <w:basedOn w:val="Normal"/>
    <w:next w:val="Normal"/>
    <w:autoRedefine/>
    <w:rsid w:val="005301be"/>
    <w:pPr>
      <w:spacing w:lineRule="auto" w:line="240" w:before="0" w:after="0"/>
      <w:ind w:left="200" w:hanging="0"/>
    </w:pPr>
    <w:rPr>
      <w:rFonts w:ascii="Times New Roman" w:hAnsi="Times New Roman"/>
      <w:sz w:val="20"/>
      <w:szCs w:val="24"/>
    </w:rPr>
  </w:style>
  <w:style w:type="paragraph" w:styleId="Obsah4">
    <w:name w:val="TOC 4"/>
    <w:basedOn w:val="Normal"/>
    <w:next w:val="Normal"/>
    <w:autoRedefine/>
    <w:rsid w:val="005301be"/>
    <w:pPr>
      <w:spacing w:lineRule="auto" w:line="240" w:before="0" w:after="0"/>
      <w:ind w:left="400" w:hanging="0"/>
    </w:pPr>
    <w:rPr>
      <w:rFonts w:ascii="Times New Roman" w:hAnsi="Times New Roman"/>
      <w:sz w:val="20"/>
      <w:szCs w:val="24"/>
    </w:rPr>
  </w:style>
  <w:style w:type="paragraph" w:styleId="Obsah5">
    <w:name w:val="TOC 5"/>
    <w:basedOn w:val="Normal"/>
    <w:next w:val="Normal"/>
    <w:autoRedefine/>
    <w:rsid w:val="005301be"/>
    <w:pPr>
      <w:spacing w:lineRule="auto" w:line="240" w:before="0" w:after="0"/>
      <w:ind w:left="600" w:hanging="0"/>
    </w:pPr>
    <w:rPr>
      <w:rFonts w:ascii="Times New Roman" w:hAnsi="Times New Roman"/>
      <w:sz w:val="20"/>
      <w:szCs w:val="24"/>
    </w:rPr>
  </w:style>
  <w:style w:type="paragraph" w:styleId="Obsah6">
    <w:name w:val="TOC 6"/>
    <w:basedOn w:val="Normal"/>
    <w:next w:val="Normal"/>
    <w:autoRedefine/>
    <w:rsid w:val="005301be"/>
    <w:pPr>
      <w:spacing w:lineRule="auto" w:line="240" w:before="0" w:after="0"/>
      <w:ind w:left="800" w:hanging="0"/>
    </w:pPr>
    <w:rPr>
      <w:rFonts w:ascii="Times New Roman" w:hAnsi="Times New Roman"/>
      <w:sz w:val="20"/>
      <w:szCs w:val="24"/>
    </w:rPr>
  </w:style>
  <w:style w:type="paragraph" w:styleId="Obsah7">
    <w:name w:val="TOC 7"/>
    <w:basedOn w:val="Normal"/>
    <w:next w:val="Normal"/>
    <w:autoRedefine/>
    <w:rsid w:val="005301be"/>
    <w:pPr>
      <w:spacing w:lineRule="auto" w:line="240" w:before="0" w:after="0"/>
      <w:ind w:left="1000" w:hanging="0"/>
    </w:pPr>
    <w:rPr>
      <w:rFonts w:ascii="Times New Roman" w:hAnsi="Times New Roman"/>
      <w:sz w:val="20"/>
      <w:szCs w:val="24"/>
    </w:rPr>
  </w:style>
  <w:style w:type="paragraph" w:styleId="Obsah8">
    <w:name w:val="TOC 8"/>
    <w:basedOn w:val="Normal"/>
    <w:next w:val="Normal"/>
    <w:autoRedefine/>
    <w:rsid w:val="005301be"/>
    <w:pPr>
      <w:spacing w:lineRule="auto" w:line="240" w:before="0" w:after="0"/>
      <w:ind w:left="1200" w:hanging="0"/>
    </w:pPr>
    <w:rPr>
      <w:rFonts w:ascii="Times New Roman" w:hAnsi="Times New Roman"/>
      <w:sz w:val="20"/>
      <w:szCs w:val="24"/>
    </w:rPr>
  </w:style>
  <w:style w:type="paragraph" w:styleId="Obsah9">
    <w:name w:val="TOC 9"/>
    <w:basedOn w:val="Normal"/>
    <w:next w:val="Normal"/>
    <w:autoRedefine/>
    <w:rsid w:val="005301be"/>
    <w:pPr>
      <w:spacing w:lineRule="auto" w:line="240" w:before="0" w:after="0"/>
      <w:ind w:left="1400" w:hanging="0"/>
    </w:pPr>
    <w:rPr>
      <w:rFonts w:ascii="Times New Roman" w:hAnsi="Times New Roman"/>
      <w:sz w:val="20"/>
      <w:szCs w:val="24"/>
    </w:rPr>
  </w:style>
  <w:style w:type="paragraph" w:styleId="Podnadpis2" w:customStyle="1">
    <w:name w:val="podnadpis2"/>
    <w:basedOn w:val="Normal"/>
    <w:qFormat/>
    <w:rsid w:val="005301be"/>
    <w:pPr>
      <w:spacing w:lineRule="auto" w:line="240" w:beforeAutospacing="1" w:afterAutospacing="1"/>
    </w:pPr>
    <w:rPr>
      <w:rFonts w:ascii="Times New Roman" w:hAnsi="Times New Roman"/>
      <w:sz w:val="24"/>
      <w:szCs w:val="24"/>
      <w:lang w:eastAsia="sk-SK"/>
    </w:rPr>
  </w:style>
  <w:style w:type="paragraph" w:styleId="Nadpis10" w:customStyle="1">
    <w:name w:val="nadpis"/>
    <w:basedOn w:val="Normal"/>
    <w:qFormat/>
    <w:rsid w:val="005301be"/>
    <w:pPr>
      <w:spacing w:lineRule="auto" w:line="240" w:beforeAutospacing="1" w:afterAutospacing="1"/>
    </w:pPr>
    <w:rPr>
      <w:rFonts w:ascii="Times New Roman" w:hAnsi="Times New Roman"/>
      <w:sz w:val="24"/>
      <w:szCs w:val="24"/>
      <w:lang w:eastAsia="sk-SK"/>
    </w:rPr>
  </w:style>
  <w:style w:type="paragraph" w:styleId="Podnadpis1" w:customStyle="1">
    <w:name w:val="podnadpis"/>
    <w:basedOn w:val="Normal"/>
    <w:qFormat/>
    <w:rsid w:val="005301be"/>
    <w:pPr>
      <w:spacing w:lineRule="auto" w:line="240" w:beforeAutospacing="1" w:afterAutospacing="1"/>
    </w:pPr>
    <w:rPr>
      <w:rFonts w:ascii="Times New Roman" w:hAnsi="Times New Roman"/>
      <w:sz w:val="24"/>
      <w:szCs w:val="24"/>
      <w:lang w:eastAsia="sk-SK"/>
    </w:rPr>
  </w:style>
  <w:style w:type="paragraph" w:styleId="Zaklad" w:customStyle="1">
    <w:name w:val="zaklad"/>
    <w:basedOn w:val="Normal"/>
    <w:qFormat/>
    <w:rsid w:val="005301be"/>
    <w:pPr>
      <w:spacing w:lineRule="auto" w:line="240" w:before="240" w:after="0"/>
      <w:jc w:val="both"/>
    </w:pPr>
    <w:rPr>
      <w:rFonts w:ascii="Times New Roman" w:hAnsi="Times New Roman"/>
      <w:sz w:val="24"/>
      <w:szCs w:val="24"/>
      <w:lang w:eastAsia="sk-SK"/>
    </w:rPr>
  </w:style>
  <w:style w:type="paragraph" w:styleId="ZakladB" w:customStyle="1">
    <w:name w:val="zaklad B"/>
    <w:basedOn w:val="Zaklad"/>
    <w:qFormat/>
    <w:rsid w:val="005301be"/>
    <w:pPr>
      <w:spacing w:before="0" w:after="0"/>
    </w:pPr>
    <w:rPr>
      <w:szCs w:val="20"/>
      <w:lang w:eastAsia="cs-CZ"/>
    </w:rPr>
  </w:style>
  <w:style w:type="paragraph" w:styleId="ZakladSB" w:customStyle="1">
    <w:name w:val="zaklad S B"/>
    <w:basedOn w:val="Normal"/>
    <w:qFormat/>
    <w:rsid w:val="005301be"/>
    <w:pPr>
      <w:spacing w:lineRule="auto" w:line="240" w:before="0" w:after="0"/>
      <w:jc w:val="center"/>
    </w:pPr>
    <w:rPr>
      <w:rFonts w:ascii="Times New Roman" w:hAnsi="Times New Roman"/>
      <w:sz w:val="24"/>
      <w:szCs w:val="20"/>
      <w:lang w:eastAsia="cs-CZ"/>
    </w:rPr>
  </w:style>
  <w:style w:type="paragraph" w:styleId="Odsekzoznamu2" w:customStyle="1">
    <w:name w:val="Odsek zoznamu2"/>
    <w:basedOn w:val="Normal"/>
    <w:qFormat/>
    <w:rsid w:val="005301be"/>
    <w:pPr>
      <w:spacing w:lineRule="auto" w:line="240" w:before="0" w:after="0"/>
      <w:ind w:left="708" w:hanging="0"/>
    </w:pPr>
    <w:rPr>
      <w:rFonts w:ascii="Times New Roman" w:hAnsi="Times New Roman"/>
      <w:sz w:val="24"/>
      <w:szCs w:val="24"/>
      <w:lang w:eastAsia="sk-SK"/>
    </w:rPr>
  </w:style>
  <w:style w:type="paragraph" w:styleId="ListParagraph1" w:customStyle="1">
    <w:name w:val="List Paragraph1"/>
    <w:basedOn w:val="Normal"/>
    <w:qFormat/>
    <w:rsid w:val="005301be"/>
    <w:pPr>
      <w:spacing w:lineRule="auto" w:line="240" w:before="0" w:after="0"/>
      <w:ind w:left="720" w:hanging="0"/>
      <w:contextualSpacing/>
    </w:pPr>
    <w:rPr>
      <w:rFonts w:ascii="Times New Roman" w:hAnsi="Times New Roman"/>
      <w:sz w:val="24"/>
      <w:szCs w:val="24"/>
      <w:lang w:eastAsia="sk-SK"/>
    </w:rPr>
  </w:style>
  <w:style w:type="paragraph" w:styleId="Text" w:customStyle="1">
    <w:name w:val="Text"/>
    <w:basedOn w:val="Normal"/>
    <w:qFormat/>
    <w:rsid w:val="005301be"/>
    <w:pPr>
      <w:spacing w:lineRule="auto" w:line="240" w:before="0" w:after="0"/>
      <w:jc w:val="both"/>
    </w:pPr>
    <w:rPr>
      <w:rFonts w:ascii="Times New Roman" w:hAnsi="Times New Roman"/>
      <w:szCs w:val="22"/>
      <w:lang w:eastAsia="cs-CZ"/>
    </w:rPr>
  </w:style>
  <w:style w:type="paragraph" w:styleId="Nadpiscentrovany" w:customStyle="1">
    <w:name w:val="Nadpis - centrovany"/>
    <w:basedOn w:val="Normal"/>
    <w:qFormat/>
    <w:rsid w:val="005301be"/>
    <w:pPr>
      <w:spacing w:lineRule="auto" w:line="240" w:before="0" w:after="0"/>
      <w:jc w:val="center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Podpis" w:customStyle="1">
    <w:name w:val="Podpis_"/>
    <w:basedOn w:val="Normal"/>
    <w:qFormat/>
    <w:rsid w:val="005301be"/>
    <w:pPr>
      <w:spacing w:lineRule="auto" w:line="240" w:before="0" w:after="0"/>
      <w:ind w:left="6237" w:hanging="0"/>
      <w:jc w:val="center"/>
    </w:pPr>
    <w:rPr>
      <w:rFonts w:ascii="Times New Roman" w:hAnsi="Times New Roman"/>
      <w:szCs w:val="22"/>
      <w:lang w:eastAsia="cs-CZ"/>
    </w:rPr>
  </w:style>
  <w:style w:type="paragraph" w:styleId="Odsekzoznamu1" w:customStyle="1">
    <w:name w:val="Odsek zoznamu1"/>
    <w:basedOn w:val="Normal"/>
    <w:qFormat/>
    <w:rsid w:val="005301be"/>
    <w:pPr>
      <w:ind w:left="720" w:hanging="0"/>
    </w:pPr>
    <w:rPr/>
  </w:style>
  <w:style w:type="paragraph" w:styleId="PlainText">
    <w:name w:val="Plain Text"/>
    <w:basedOn w:val="Normal"/>
    <w:link w:val="ObyajntextChar"/>
    <w:uiPriority w:val="99"/>
    <w:unhideWhenUsed/>
    <w:qFormat/>
    <w:rsid w:val="005301be"/>
    <w:pPr>
      <w:spacing w:lineRule="auto" w:line="240" w:before="0" w:after="0"/>
    </w:pPr>
    <w:rPr>
      <w:rFonts w:eastAsia="Calibri"/>
      <w:szCs w:val="21"/>
    </w:rPr>
  </w:style>
  <w:style w:type="numbering" w:styleId="NoList" w:default="1">
    <w:name w:val="No List"/>
    <w:uiPriority w:val="99"/>
    <w:semiHidden/>
    <w:unhideWhenUsed/>
    <w:qFormat/>
  </w:style>
  <w:style w:type="numbering" w:styleId="Bezzoznamu1" w:customStyle="1">
    <w:name w:val="Bez zoznamu1"/>
    <w:uiPriority w:val="99"/>
    <w:semiHidden/>
    <w:unhideWhenUsed/>
    <w:qFormat/>
    <w:rsid w:val="005301be"/>
  </w:style>
  <w:style w:type="numbering" w:styleId="Bezzoznamu11" w:customStyle="1">
    <w:name w:val="Bez zoznamu11"/>
    <w:uiPriority w:val="99"/>
    <w:semiHidden/>
    <w:unhideWhenUsed/>
    <w:qFormat/>
    <w:rsid w:val="005301be"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riekatabuky">
    <w:name w:val="Table Grid"/>
    <w:basedOn w:val="Normlnatabuka"/>
    <w:uiPriority w:val="99"/>
    <w:rsid w:val="005301be"/>
    <w:pPr>
      <w:spacing w:after="0" w:line="240" w:lineRule="auto"/>
    </w:pPr>
    <w:rPr>
      <w:lang w:eastAsia="sk-SK"/>
      <w:sz w:val="20"/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2">
    <w:name w:val="Mriežka tabuľky2"/>
    <w:basedOn w:val="Normlnatabuka"/>
    <w:uiPriority w:val="59"/>
    <w:rsid w:val="005301be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1">
    <w:name w:val="Mriežka tabuľky11"/>
    <w:basedOn w:val="Normlnatabuka"/>
    <w:uiPriority w:val="39"/>
    <w:rsid w:val="005301be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3">
    <w:name w:val="Mriežka tabuľky3"/>
    <w:basedOn w:val="Normlnatabuka"/>
    <w:uiPriority w:val="39"/>
    <w:rsid w:val="005301be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">
    <w:name w:val="Mriežka tabuľky1"/>
    <w:basedOn w:val="Normlnatabuka"/>
    <w:uiPriority w:val="59"/>
    <w:rsid w:val="005301be"/>
    <w:pPr>
      <w:spacing w:after="0" w:line="240" w:lineRule="auto"/>
    </w:pPr>
    <w:rPr>
      <w:lang w:eastAsia="sk-SK"/>
      <w:sz w:val="20"/>
      <w:szCs w:val="20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2">
    <w:name w:val="Mriežka tabuľky12"/>
    <w:basedOn w:val="Normlnatabuka"/>
    <w:uiPriority w:val="39"/>
    <w:rsid w:val="005301be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Mriekatabuky13">
    <w:name w:val="Mriežka tabuľky13"/>
    <w:basedOn w:val="Normlnatabuka"/>
    <w:uiPriority w:val="99"/>
    <w:rsid w:val="005301be"/>
    <w:pPr>
      <w:spacing w:after="0" w:line="240" w:lineRule="auto"/>
    </w:pPr>
    <w:rPr>
      <w:lang w:eastAsia="sk-SK"/>
      <w:sz w:val="20"/>
      <w:szCs w:val="20"/>
    </w:rPr>
    <w:tblPr>
      <w:tblInd w:w="0" w:type="dxa"/>
      <w:tblBorders>
        <w:top w:val="single" w:color="000000" w:sz="4" w:space="0"/>
        <w:left w:val="single" w:color="000000" w:sz="4" w:space="0"/>
        <w:bottom w:val="single" w:color="000000" w:sz="4" w:space="0"/>
        <w:right w:val="single" w:color="000000" w:sz="4" w:space="0"/>
        <w:insideH w:val="single" w:color="000000" w:sz="4" w:space="0"/>
        <w:insideV w:val="single" w:color="000000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Jednoduchtabuka2">
    <w:name w:val="Table Simple 2"/>
    <w:basedOn w:val="Normlnatabuka"/>
    <w:uiPriority w:val="99"/>
    <w:unhideWhenUsed/>
    <w:rsid w:val="005301be"/>
    <w:pPr>
      <w:spacing w:after="0" w:line="240" w:lineRule="auto"/>
    </w:pPr>
    <w:rPr>
      <w:lang w:eastAsia="sk-SK"/>
      <w:sz w:val="20"/>
      <w:szCs w:val="20"/>
    </w:rPr>
    <w:tblPr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bottom w:val="single" w:color="000000" w:sz="12" w:space="0"/>
          <w:tl2br w:val="none" w:color="auto" w:sz="0" w:space="0"/>
          <w:tr2bl w:val="none" w:color="auto" w:sz="0" w:space="0"/>
        </w:tcBorders>
      </w:tcPr>
    </w:tblStylePr>
    <w:tblStylePr w:type="lastRow">
      <w:tblPr/>
      <w:tcPr>
        <w:tcBorders>
          <w:top w:val="single" w:color="000000" w:sz="6" w:space="0"/>
          <w:tl2br w:val="none" w:color="auto" w:sz="0" w:space="0"/>
          <w:tr2bl w:val="none" w:color="auto" w:sz="0" w:space="0"/>
        </w:tcBorders>
      </w:tcPr>
    </w:tblStylePr>
    <w:tblStylePr w:type="firstCol">
      <w:tblPr/>
      <w:tcPr>
        <w:tcBorders>
          <w:right w:val="single" w:color="000000" w:sz="12" w:space="0"/>
          <w:tl2br w:val="none" w:color="auto" w:sz="0" w:space="0"/>
          <w:tr2bl w:val="none" w:color="auto" w:sz="0" w:space="0"/>
        </w:tcBorders>
      </w:tcPr>
    </w:tblStylePr>
    <w:tblStylePr w:type="lastCol">
      <w:tblPr/>
      <w:tcPr>
        <w:tcBorders>
          <w:left w:val="single" w:color="000000" w:sz="6" w:space="0"/>
          <w:tl2br w:val="none" w:color="auto" w:sz="0" w:space="0"/>
          <w:tr2bl w:val="none" w:color="auto" w:sz="0" w:space="0"/>
        </w:tcBorders>
      </w:tcPr>
    </w:tblStylePr>
    <w:tblStylePr w:type="neCell">
      <w:tblPr/>
      <w:tcPr>
        <w:tcBorders>
          <w:left w:val="none" w:color="auto" w:sz="0" w:space="0"/>
          <w:tl2br w:val="none" w:color="auto" w:sz="0" w:space="0"/>
          <w:tr2bl w:val="none" w:color="auto" w:sz="0" w:space="0"/>
        </w:tcBorders>
      </w:tcPr>
    </w:tblStylePr>
    <w:tblStylePr w:type="swCell">
      <w:tblPr/>
      <w:tcPr>
        <w:tcBorders>
          <w:top w:val="none" w:color="auto" w:sz="0" w:space="0"/>
          <w:tl2br w:val="none" w:color="auto" w:sz="0" w:space="0"/>
          <w:tr2bl w:val="none" w:color="auto" w:sz="0" w:space="0"/>
        </w:tcBorders>
      </w:tcPr>
    </w:tblStyle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AFBE6208-1318-4DBD-936C-FD0A54F3A0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90</TotalTime>
  <Application>LibreOffice/6.3.4.2$Windows_X86_64 LibreOffice_project/60da17e045e08f1793c57c00ba83cdfce946d0aa</Application>
  <Pages>5</Pages>
  <Words>1063</Words>
  <Characters>6382</Characters>
  <CharactersWithSpaces>7448</CharactersWithSpaces>
  <Paragraphs>167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2019-03-31T14:07:00Z</dcterms:created>
  <dc:creator>uctovnik</dc:creator>
  <dc:description/>
  <dc:language>sk-SK</dc:language>
  <cp:lastModifiedBy/>
  <cp:lastPrinted>2020-06-19T20:29:31Z</cp:lastPrinted>
  <dcterms:modified xsi:type="dcterms:W3CDTF">2025-06-01T18:04:33Z</dcterms:modified>
  <cp:revision>13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