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94" w:type="dxa"/>
        <w:tblCellSpacing w:w="0" w:type="dxa"/>
        <w:shd w:val="clear" w:color="auto" w:fill="F8F8F8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435"/>
        <w:gridCol w:w="231"/>
        <w:gridCol w:w="231"/>
        <w:gridCol w:w="231"/>
        <w:gridCol w:w="231"/>
        <w:gridCol w:w="231"/>
        <w:gridCol w:w="231"/>
        <w:gridCol w:w="231"/>
        <w:gridCol w:w="231"/>
        <w:gridCol w:w="435"/>
        <w:gridCol w:w="231"/>
        <w:gridCol w:w="231"/>
        <w:gridCol w:w="231"/>
        <w:gridCol w:w="231"/>
        <w:gridCol w:w="231"/>
        <w:gridCol w:w="231"/>
        <w:gridCol w:w="231"/>
        <w:gridCol w:w="231"/>
        <w:gridCol w:w="231"/>
        <w:gridCol w:w="231"/>
      </w:tblGrid>
      <w:tr w:rsidR="008148E3" w:rsidRPr="008148E3" w:rsidTr="00BA5399">
        <w:trPr>
          <w:tblCellSpacing w:w="0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  <w:hideMark/>
          </w:tcPr>
          <w:p w:rsidR="008148E3" w:rsidRPr="008148E3" w:rsidRDefault="008148E3" w:rsidP="008148E3">
            <w:pPr>
              <w:spacing w:before="144" w:after="144" w:line="245" w:lineRule="atLeast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 w:rsidRPr="008148E3"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8148E3"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8148E3"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 xml:space="preserve"> POD V 3–01</w:t>
            </w:r>
          </w:p>
        </w:tc>
        <w:tc>
          <w:tcPr>
            <w:tcW w:w="435" w:type="dxa"/>
            <w:shd w:val="clear" w:color="auto" w:fill="F8F8F8"/>
            <w:vAlign w:val="center"/>
            <w:hideMark/>
          </w:tcPr>
          <w:p w:rsidR="008148E3" w:rsidRPr="008148E3" w:rsidRDefault="008148E3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 w:rsidRPr="008148E3"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IČO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435" w:type="dxa"/>
            <w:shd w:val="clear" w:color="auto" w:fill="F8F8F8"/>
            <w:vAlign w:val="center"/>
          </w:tcPr>
          <w:p w:rsidR="008148E3" w:rsidRPr="008148E3" w:rsidRDefault="008148E3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8F8F8"/>
            <w:vAlign w:val="center"/>
          </w:tcPr>
          <w:p w:rsidR="008148E3" w:rsidRPr="008148E3" w:rsidRDefault="00BA5399" w:rsidP="008148E3">
            <w:pPr>
              <w:spacing w:before="144" w:after="144" w:line="245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  <w:lang w:val="sk-SK" w:eastAsia="sk-SK"/>
              </w:rPr>
              <w:t>2</w:t>
            </w:r>
          </w:p>
        </w:tc>
      </w:tr>
    </w:tbl>
    <w:p w:rsidR="00BA5399" w:rsidRDefault="008148E3" w:rsidP="00BA5399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Poznámky k 31. 12. 201</w:t>
      </w:r>
      <w:r w:rsidR="00D90248">
        <w:rPr>
          <w:rFonts w:ascii="Arial" w:hAnsi="Arial" w:cs="Arial"/>
          <w:b/>
          <w:bCs/>
          <w:color w:val="EE7500"/>
          <w:sz w:val="16"/>
          <w:lang w:val="sk-SK" w:eastAsia="sk-SK"/>
        </w:rPr>
        <w:t>6</w:t>
      </w:r>
    </w:p>
    <w:p w:rsidR="008148E3" w:rsidRPr="00BA5399" w:rsidRDefault="008148E3" w:rsidP="00BA5399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I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Všeobecné informácie</w:t>
      </w:r>
    </w:p>
    <w:p w:rsidR="00BA5399" w:rsidRDefault="008148E3" w:rsidP="00BA5399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(1) Obchodné meno: </w:t>
      </w:r>
    </w:p>
    <w:p w:rsidR="00BA5399" w:rsidRDefault="00BA5399" w:rsidP="00BA5399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Rabi </w:t>
      </w:r>
      <w:proofErr w:type="spellStart"/>
      <w:r>
        <w:rPr>
          <w:rFonts w:ascii="Arial" w:hAnsi="Arial" w:cs="Arial"/>
          <w:color w:val="282828"/>
          <w:sz w:val="18"/>
          <w:szCs w:val="18"/>
          <w:lang w:val="sk-SK" w:eastAsia="sk-SK"/>
        </w:rPr>
        <w:t>Pharma</w:t>
      </w:r>
      <w:proofErr w:type="spellEnd"/>
      <w:r>
        <w:rPr>
          <w:rFonts w:ascii="Arial" w:hAnsi="Arial" w:cs="Arial"/>
          <w:color w:val="282828"/>
          <w:sz w:val="18"/>
          <w:szCs w:val="18"/>
          <w:lang w:val="sk-SK" w:eastAsia="sk-SK"/>
        </w:rPr>
        <w:t>, s.r.o.</w:t>
      </w:r>
    </w:p>
    <w:p w:rsidR="00BA5399" w:rsidRDefault="00BA5399" w:rsidP="00BA5399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proofErr w:type="spellStart"/>
      <w:r>
        <w:rPr>
          <w:rFonts w:ascii="Arial" w:hAnsi="Arial" w:cs="Arial"/>
          <w:color w:val="282828"/>
          <w:sz w:val="18"/>
          <w:szCs w:val="18"/>
          <w:lang w:val="sk-SK" w:eastAsia="sk-SK"/>
        </w:rPr>
        <w:t>Ledererova</w:t>
      </w:r>
      <w:proofErr w:type="spellEnd"/>
      <w:r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 7743/8</w:t>
      </w:r>
    </w:p>
    <w:p w:rsidR="00BA5399" w:rsidRDefault="00BA5399" w:rsidP="00BA5399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>
        <w:rPr>
          <w:rFonts w:ascii="Arial" w:hAnsi="Arial" w:cs="Arial"/>
          <w:color w:val="282828"/>
          <w:sz w:val="18"/>
          <w:szCs w:val="18"/>
          <w:lang w:val="sk-SK" w:eastAsia="sk-SK"/>
        </w:rPr>
        <w:t>811 09  Bratislava</w:t>
      </w:r>
    </w:p>
    <w:p w:rsidR="006850FC" w:rsidRPr="00BA5399" w:rsidRDefault="008148E3" w:rsidP="00BA5399">
      <w:pPr>
        <w:shd w:val="clear" w:color="auto" w:fill="F8F8F8"/>
        <w:spacing w:before="144" w:after="144" w:line="245" w:lineRule="atLeast"/>
        <w:rPr>
          <w:rStyle w:val="ra"/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Opis vykonávanej činnosti spoločnosti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Rabi </w:t>
      </w:r>
      <w:proofErr w:type="spellStart"/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Pharma</w:t>
      </w:r>
      <w:proofErr w:type="spellEnd"/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, s.r.o.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(ďalej len „spoločnosť“):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Nešpecializovaný veľkoobchod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(2) Dátum schválenia účtovnej závierky za bezprostredne predchádzajúce účtovné obdobie príslušným orgánom</w:t>
      </w:r>
      <w:r w:rsidR="006850FC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 spoločnosti: spoločnosť vznikla v roku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2014.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(3) Právny dôvod na zostavenie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účtovnej závierky: k 31. 12. 2024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 je účtovná závierka zostavená ako riadna účtovná záv</w:t>
      </w:r>
      <w:r w:rsidR="006850FC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ierka za účtovné obdobie od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01.01.2024 do 31.12.2024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(4) Údaje o skupine účtovných jednotiek: spoločnosť nie je súčasťou žiadnej skupiny.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(5) Priemerný prepočítaný počet zamestnancov spoločnosti: 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0.</w:t>
      </w:r>
    </w:p>
    <w:p w:rsidR="008148E3" w:rsidRP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II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Informácie o orgánoch spoločnosti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Pre členov štatutárneho orgánu neboli poskytnuté záruky, žiadne zabezpečenia, pôžičky.</w:t>
      </w:r>
    </w:p>
    <w:p w:rsidR="008148E3" w:rsidRP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III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Informácie o prijatých postupoch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(1) 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EURO.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 určitosťou, preto pri výskyte nových udalostí sa skutočné výsledky môžu líšiť od účtovných odhadov. V účtovnej závierke sa použili tieto odhady a predpoklady: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a) určenie doby použitia pri dlhodobom majetku,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b) hodnotenie majetku, či nedošlo k zníženiu jeho hodnoty (tvorba opravných položiek),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c) hodnotenie, či sú zásoby vykázané v realizovateľnej hodnote (tvorba opravných položiek),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d) hodnotenie, či úhrada pohľadávok nie je pochybná (tvorba opravných položiek),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e) odhad rezerv,</w:t>
      </w:r>
    </w:p>
    <w:p w:rsidR="008148E3" w:rsidRPr="008148E3" w:rsidRDefault="008148E3" w:rsidP="00BA5399">
      <w:pPr>
        <w:shd w:val="clear" w:color="auto" w:fill="F8F8F8"/>
        <w:spacing w:before="144" w:after="144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f) zistenie a vykázanie podmienených záväzkov a majetku.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(2) Účtovníctvo je vedené na akruálnom princípe, t. j. o nákladoch a výnosoch sa účtuje v momente, keď sú plnené bez ohľadu na dátum ich úhrady, inkasa alebo deň vyrovnania iným spôsobom. Dodržuje sa pritom zásada časovej a vecnej súvislosti nákladov a výnosov. Pri oceňovaní sa uplatňuje princíp historických cien. 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lastRenderedPageBreak/>
        <w:t>Položky, ktoré sa oceňujú v reálnej hodnote (realizovateľné cenné papiere a deriváty držané na obchodovanie), spoločnosť nevlastní. Hlavné účtovné zásady a metódy použité pri zostavení tejto účtovnej závierky sú uvedené ďalej. Tieto zásady boli uplatnené aj v bezprostredne predchádzajúcom účtovnom období a vychádzajú z platnej legislatívy.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(3) Spôsob ocenenia jednotlivých zložiek majetku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a) Dlhodobý nehmotný a dlhodobý hmotný majetok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Ocenenie pri obstaraní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Dlhodobý nehmotný a hmotný majetok sa vykazuje v obstarávacích cenách znížených o oprávky a straty zo zníženia hodnoty (opravné položky). Obstarávacia cena zahrnuje cenu obstarania a náklady súvisiace s obstaraním (clo, dovoznú prirážku, prepravu, montáž a pod.). Súčasťou obstarávacej ceny nie sú úroky z úverov.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Spoločnosť vedie kategóriu dlhodobého nehmotného majetku, ktorého obstarávacia cena je 2 400 € a nižšia, internetová stránka bola obstaraná práve za hraničných 2 400 €. Na základe rozhodnutia je považovaná za dlhodobý nehmotný majetok.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Spoločnosť zatiaľ nevedie kategóriu drobného dlhodobého hmotného majetku (ocenenie rovné alebo nižšie ako 1 700 €). Prípadný hmotný majetok, ktorého obstarávacia cena bude 1 700 € a nižšia, sa pri obstaraní bude účtovať do dlhodobého majetku na základe individuálneho posúdenia.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Tvorba odpisového plánu</w:t>
      </w:r>
    </w:p>
    <w:p w:rsidR="008148E3" w:rsidRPr="008148E3" w:rsidRDefault="008148E3" w:rsidP="008148E3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Dlhodobý nehmotný majetok: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br/>
        <w:t>Odpisy dlhodobého nehmotného majetku sú stanovené vychádzajúc z predpokladanej doby jeho používania. Odpisovať sa začína počnúc mesiacom zaradenia dlhodobého majetku do používania. Predpokladaná doba používania internetovej stránky je 5 rokov, pričom sa odpisuje lineárne, tzn. ročná odpisová sadzba je 20 %.</w:t>
      </w:r>
    </w:p>
    <w:p w:rsidR="008148E3" w:rsidRPr="008148E3" w:rsidRDefault="008148E3" w:rsidP="008148E3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Dlhodobý hmotný majetok: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br/>
        <w:t>Odpisy dlhodobého hmotného majetku sú stanovené vychádzajúc z predpokladanej doby jeho používania a predpokladaného priebehu jeho opotrebovania.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Odpisovať sa začína počnúc mesiacom zaradenia dlhodobého majetku do používania. Pozemky sa neodpisujú.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Predpokladaná doba používania osobného úžitkového automobilu je 6 rokov, pričom sa odpisuje lineárne, tzn. ročná odpisová sadzba je 16,66 %.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Zníženie hodnoty majetku – opravné položky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Zostatkové hodnoty majetku spoločnosti sa každý rok ku dňu, ku ktorému sa zostavuje účtovná závierka, preverujú, či nedochádza k zníženiu ich hodnoty, a to v súlade s postupmi účtovania pre podnikateľov. Ak existujú predpoklady, že k takému zníženiu dochádza, odhadne sa predpokladaná suma budúcich ekonomických úžitkov, ktorá bude plynúť z používania majetku v budúcnosti. Ak je táto suma nižšia ako zostatková hodnota majetku, zaúčtuje sa strata zo zníženia hodnoty ako tvorba opravnej položky. Ak sa dá zistiť predpokladaná predajná cena majetku (znížená o náklady predaja) a táto je vyššia ako odhadnutá predpokladaná suma, ktorá bude plynúť z používania majetku, použije sa táto vyššia suma na porovnanie s účtovnou hodnotou majetku. Spoločnosť netvorila opravnú položku k dlhodobému majetku.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b) Zásoby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Nakupované zásoby rovnakého druhu sú na sklad účtované v obstarávacích cenách.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Zásoby obstarané bezplatne, nájdené (prebytky zásob), odpad a zvyškové produkty vrátené z výroby sa ocenia podľa odborného odhadu ich úžitkovej hodnoty. Toto ocenenie zásob sa upravuje o zníženie hodnoty zásob 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lastRenderedPageBreak/>
        <w:t>(tvorbou opravnej položky) zistené inventarizáciou. Ku dňu, ku ktorému sa zostavuje účtovná závierka, sa zásoby ocenia v čistej realizačnej hodnote v prípadoch, ak predpokladaná predajná cena zásob znížená o predpokladané náklady na ich dokončenie a náklady súvisiace s predajom sú nižšie ako ich ocenenie v účtovníctve. Pri vyskladnení zásob sa používa ocenenie tak, ako boli prijaté na sklad. 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Spoločnosť tvorila opravnú položku k zásobám (tovaru) vo výške 100 €. Úžitková hodnota zásob sa znížila predovšetkým v dôsledku zníženia predajných cien špecifickej položky tovaru v porovnaní s jeho doterajšou účtovnou hodnotou.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c) Pohľadávky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Pohľadávky sa pri ich vzniku oceňujú ich menovitou hodnotou; postúpené pohľadávky a pohľadávky nadobudnuté vkladom do základného imania sa oceňujú obstarávacou cenou vrátane nákladov súvisiacich s obstaraním. Toto ocenenie sa znižuje tvorbou opravnej položky. Spoločnosť netvorila opravnú položku k pohľadávke.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d) Peňažné prostriedky a ceniny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e) Náklady budúcich období, príjmy budúcich období, výdavky budúcich období a výnosy budúcich období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8148E3" w:rsidRPr="008148E3" w:rsidRDefault="00AD601A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>
        <w:rPr>
          <w:rFonts w:ascii="Arial" w:hAnsi="Arial" w:cs="Arial"/>
          <w:b/>
          <w:bCs/>
          <w:color w:val="282828"/>
          <w:sz w:val="18"/>
          <w:lang w:val="sk-SK" w:eastAsia="sk-SK"/>
        </w:rPr>
        <w:t>f</w:t>
      </w:r>
      <w:r w:rsidR="008148E3"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) Záväzky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148E3" w:rsidRPr="008148E3" w:rsidRDefault="00AD601A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>
        <w:rPr>
          <w:rFonts w:ascii="Arial" w:hAnsi="Arial" w:cs="Arial"/>
          <w:b/>
          <w:bCs/>
          <w:color w:val="282828"/>
          <w:sz w:val="18"/>
          <w:lang w:val="sk-SK" w:eastAsia="sk-SK"/>
        </w:rPr>
        <w:t>g</w:t>
      </w:r>
      <w:r w:rsidR="008148E3" w:rsidRPr="008148E3">
        <w:rPr>
          <w:rFonts w:ascii="Arial" w:hAnsi="Arial" w:cs="Arial"/>
          <w:b/>
          <w:bCs/>
          <w:color w:val="282828"/>
          <w:sz w:val="18"/>
          <w:lang w:val="sk-SK" w:eastAsia="sk-SK"/>
        </w:rPr>
        <w:t>) Daň z príjmov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Daň z príjmov sa skladá zo splatnej dane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, resp. minimálnej dane vo výške 340,- eur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, o odloženej dani spoločnosť neúčtuje. Splatná daň z príjmov sa poč</w:t>
      </w:r>
      <w:r w:rsidR="00BA5399">
        <w:rPr>
          <w:rFonts w:ascii="Arial" w:hAnsi="Arial" w:cs="Arial"/>
          <w:color w:val="282828"/>
          <w:sz w:val="18"/>
          <w:szCs w:val="18"/>
          <w:lang w:val="sk-SK" w:eastAsia="sk-SK"/>
        </w:rPr>
        <w:t>íta vo výške 21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 % daňového základu, ktorý sa vypočítal úpravou účtovného výsledku hospodárenia pred daňou o pripočítateľné a odpočítateľné položky.</w:t>
      </w:r>
    </w:p>
    <w:p w:rsid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IV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Informácie, ktoré vysvetľujú a dopĺňajú súvahu a výkaz ziskov a</w:t>
      </w:r>
      <w:r w:rsidR="00AD601A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t> 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t>strát</w:t>
      </w:r>
    </w:p>
    <w:p w:rsidR="00AD601A" w:rsidRPr="008148E3" w:rsidRDefault="00AD601A" w:rsidP="00AD601A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Pre túto časť poznámok spoločnosť nemá obsahovú náplň.</w:t>
      </w:r>
    </w:p>
    <w:p w:rsidR="008148E3" w:rsidRP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V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Informácie o iných aktívach a iných pasívach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(1) Informácie o podmienených z</w:t>
      </w:r>
      <w:r w:rsidR="00AD601A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áväzkoch a podmienenom majetku: 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Spoločnosť neeviduje žiadne iné aktíva a pasíva okrem t</w:t>
      </w:r>
      <w:r w:rsidR="00AD601A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ých, ktoré sú uvedené v súvahe. </w:t>
      </w: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Spoločnosť nevykazuje žiadne iné finančné povinnosti okrem tých, ktoré sú vykázané v súvahe.</w:t>
      </w:r>
    </w:p>
    <w:p w:rsidR="008148E3" w:rsidRP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VI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Udalosti, ktoré nastali po dni, ku ktorému sa zostavuje účtovná závierka</w:t>
      </w:r>
    </w:p>
    <w:p w:rsidR="008148E3" w:rsidRDefault="00BA5399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>
        <w:rPr>
          <w:rFonts w:ascii="Arial" w:hAnsi="Arial" w:cs="Arial"/>
          <w:color w:val="282828"/>
          <w:sz w:val="18"/>
          <w:szCs w:val="18"/>
          <w:lang w:val="sk-SK" w:eastAsia="sk-SK"/>
        </w:rPr>
        <w:t>Po 31. 12. 2024</w:t>
      </w:r>
      <w:r w:rsidR="008148E3"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 xml:space="preserve"> do dňa zostavenia účtovnej závierky nenastali žiadne významné skutočnosti, ktoré by ovplyvnili výsledok hos</w:t>
      </w:r>
      <w:r>
        <w:rPr>
          <w:rFonts w:ascii="Arial" w:hAnsi="Arial" w:cs="Arial"/>
          <w:color w:val="282828"/>
          <w:sz w:val="18"/>
          <w:szCs w:val="18"/>
          <w:lang w:val="sk-SK" w:eastAsia="sk-SK"/>
        </w:rPr>
        <w:t>podárenia spoločnosti za rok 2024.</w:t>
      </w:r>
    </w:p>
    <w:p w:rsidR="008148E3" w:rsidRPr="008148E3" w:rsidRDefault="008148E3" w:rsidP="008148E3">
      <w:pPr>
        <w:shd w:val="clear" w:color="auto" w:fill="F8F8F8"/>
        <w:spacing w:before="408" w:after="60" w:line="217" w:lineRule="atLeast"/>
        <w:jc w:val="center"/>
        <w:outlineLvl w:val="4"/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</w:pPr>
      <w:bookmarkStart w:id="0" w:name="_GoBack"/>
      <w:bookmarkEnd w:id="0"/>
      <w:r w:rsidRPr="008148E3">
        <w:rPr>
          <w:rFonts w:ascii="Arial" w:hAnsi="Arial" w:cs="Arial"/>
          <w:b/>
          <w:bCs/>
          <w:color w:val="EE7500"/>
          <w:sz w:val="16"/>
          <w:lang w:val="sk-SK" w:eastAsia="sk-SK"/>
        </w:rPr>
        <w:t>Čl. VII</w:t>
      </w:r>
      <w:r w:rsidRPr="008148E3">
        <w:rPr>
          <w:rFonts w:ascii="Arial" w:hAnsi="Arial" w:cs="Arial"/>
          <w:b/>
          <w:bCs/>
          <w:color w:val="EE7500"/>
          <w:sz w:val="16"/>
          <w:szCs w:val="16"/>
          <w:lang w:val="sk-SK" w:eastAsia="sk-SK"/>
        </w:rPr>
        <w:br/>
        <w:t>Ostatné informácie</w:t>
      </w:r>
    </w:p>
    <w:p w:rsidR="008148E3" w:rsidRPr="008148E3" w:rsidRDefault="008148E3" w:rsidP="008148E3">
      <w:pPr>
        <w:shd w:val="clear" w:color="auto" w:fill="F8F8F8"/>
        <w:spacing w:before="144" w:after="144" w:line="245" w:lineRule="atLeast"/>
        <w:rPr>
          <w:rFonts w:ascii="Arial" w:hAnsi="Arial" w:cs="Arial"/>
          <w:color w:val="282828"/>
          <w:sz w:val="18"/>
          <w:szCs w:val="18"/>
          <w:lang w:val="sk-SK" w:eastAsia="sk-SK"/>
        </w:rPr>
      </w:pPr>
      <w:r w:rsidRPr="008148E3">
        <w:rPr>
          <w:rFonts w:ascii="Arial" w:hAnsi="Arial" w:cs="Arial"/>
          <w:color w:val="282828"/>
          <w:sz w:val="18"/>
          <w:szCs w:val="18"/>
          <w:lang w:val="sk-SK" w:eastAsia="sk-SK"/>
        </w:rPr>
        <w:t>Pre túto časť poznámok spoločnosť nemá obsahovú náplň.</w:t>
      </w:r>
    </w:p>
    <w:p w:rsidR="008148E3" w:rsidRPr="008148E3" w:rsidRDefault="008148E3">
      <w:pPr>
        <w:rPr>
          <w:lang w:val="sk-SK"/>
        </w:rPr>
      </w:pPr>
    </w:p>
    <w:sectPr w:rsidR="008148E3" w:rsidRPr="008148E3" w:rsidSect="006C1A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013F23"/>
    <w:multiLevelType w:val="multilevel"/>
    <w:tmpl w:val="BB765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94D4B8E"/>
    <w:multiLevelType w:val="multilevel"/>
    <w:tmpl w:val="89AC2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8E3"/>
    <w:rsid w:val="00350F45"/>
    <w:rsid w:val="00420DF2"/>
    <w:rsid w:val="004D5A17"/>
    <w:rsid w:val="005F0097"/>
    <w:rsid w:val="006850FC"/>
    <w:rsid w:val="006C1A9B"/>
    <w:rsid w:val="008148E3"/>
    <w:rsid w:val="00A72573"/>
    <w:rsid w:val="00AD601A"/>
    <w:rsid w:val="00BA5399"/>
    <w:rsid w:val="00D9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573"/>
    <w:rPr>
      <w:lang w:val="en-GB" w:eastAsia="en-US"/>
    </w:rPr>
  </w:style>
  <w:style w:type="paragraph" w:styleId="Nadpis1">
    <w:name w:val="heading 1"/>
    <w:basedOn w:val="Normlny"/>
    <w:next w:val="Normlny"/>
    <w:link w:val="Nadpis1Char"/>
    <w:qFormat/>
    <w:rsid w:val="00A72573"/>
    <w:pPr>
      <w:keepNext/>
      <w:outlineLvl w:val="0"/>
    </w:pPr>
    <w:rPr>
      <w:b/>
      <w:lang w:val="sk-SK"/>
    </w:rPr>
  </w:style>
  <w:style w:type="paragraph" w:styleId="Nadpis5">
    <w:name w:val="heading 5"/>
    <w:basedOn w:val="Normlny"/>
    <w:link w:val="Nadpis5Char"/>
    <w:uiPriority w:val="9"/>
    <w:qFormat/>
    <w:rsid w:val="008148E3"/>
    <w:pPr>
      <w:spacing w:before="100" w:beforeAutospacing="1" w:after="100" w:afterAutospacing="1"/>
      <w:outlineLvl w:val="4"/>
    </w:pPr>
    <w:rPr>
      <w:b/>
      <w:bCs/>
      <w:lang w:val="sk-SK" w:eastAsia="sk-SK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A72573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A72573"/>
    <w:rPr>
      <w:b/>
      <w:lang w:eastAsia="en-US"/>
    </w:rPr>
  </w:style>
  <w:style w:type="character" w:customStyle="1" w:styleId="Nadpis8Char">
    <w:name w:val="Nadpis 8 Char"/>
    <w:link w:val="Nadpis8"/>
    <w:semiHidden/>
    <w:rsid w:val="00A72573"/>
    <w:rPr>
      <w:rFonts w:ascii="Cambria" w:eastAsia="Times New Roman" w:hAnsi="Cambria" w:cs="Times New Roman"/>
      <w:color w:val="404040"/>
      <w:lang w:val="en-GB" w:eastAsia="en-US"/>
    </w:rPr>
  </w:style>
  <w:style w:type="paragraph" w:styleId="Odsekzoznamu">
    <w:name w:val="List Paragraph"/>
    <w:basedOn w:val="Normlny"/>
    <w:uiPriority w:val="34"/>
    <w:qFormat/>
    <w:rsid w:val="00A72573"/>
    <w:pPr>
      <w:ind w:left="720"/>
      <w:contextualSpacing/>
    </w:pPr>
  </w:style>
  <w:style w:type="character" w:customStyle="1" w:styleId="Nadpis5Char">
    <w:name w:val="Nadpis 5 Char"/>
    <w:link w:val="Nadpis5"/>
    <w:uiPriority w:val="9"/>
    <w:rsid w:val="008148E3"/>
    <w:rPr>
      <w:b/>
      <w:bCs/>
    </w:rPr>
  </w:style>
  <w:style w:type="paragraph" w:styleId="Normlnywebov">
    <w:name w:val="Normal (Web)"/>
    <w:basedOn w:val="Normlny"/>
    <w:uiPriority w:val="99"/>
    <w:unhideWhenUsed/>
    <w:rsid w:val="008148E3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character" w:styleId="Siln">
    <w:name w:val="Strong"/>
    <w:uiPriority w:val="22"/>
    <w:qFormat/>
    <w:rsid w:val="008148E3"/>
    <w:rPr>
      <w:b/>
      <w:bCs/>
    </w:rPr>
  </w:style>
  <w:style w:type="character" w:customStyle="1" w:styleId="ra">
    <w:name w:val="ra"/>
    <w:rsid w:val="006850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573"/>
    <w:rPr>
      <w:lang w:val="en-GB" w:eastAsia="en-US"/>
    </w:rPr>
  </w:style>
  <w:style w:type="paragraph" w:styleId="Nadpis1">
    <w:name w:val="heading 1"/>
    <w:basedOn w:val="Normlny"/>
    <w:next w:val="Normlny"/>
    <w:link w:val="Nadpis1Char"/>
    <w:qFormat/>
    <w:rsid w:val="00A72573"/>
    <w:pPr>
      <w:keepNext/>
      <w:outlineLvl w:val="0"/>
    </w:pPr>
    <w:rPr>
      <w:b/>
      <w:lang w:val="sk-SK"/>
    </w:rPr>
  </w:style>
  <w:style w:type="paragraph" w:styleId="Nadpis5">
    <w:name w:val="heading 5"/>
    <w:basedOn w:val="Normlny"/>
    <w:link w:val="Nadpis5Char"/>
    <w:uiPriority w:val="9"/>
    <w:qFormat/>
    <w:rsid w:val="008148E3"/>
    <w:pPr>
      <w:spacing w:before="100" w:beforeAutospacing="1" w:after="100" w:afterAutospacing="1"/>
      <w:outlineLvl w:val="4"/>
    </w:pPr>
    <w:rPr>
      <w:b/>
      <w:bCs/>
      <w:lang w:val="sk-SK" w:eastAsia="sk-SK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A72573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A72573"/>
    <w:rPr>
      <w:b/>
      <w:lang w:eastAsia="en-US"/>
    </w:rPr>
  </w:style>
  <w:style w:type="character" w:customStyle="1" w:styleId="Nadpis8Char">
    <w:name w:val="Nadpis 8 Char"/>
    <w:link w:val="Nadpis8"/>
    <w:semiHidden/>
    <w:rsid w:val="00A72573"/>
    <w:rPr>
      <w:rFonts w:ascii="Cambria" w:eastAsia="Times New Roman" w:hAnsi="Cambria" w:cs="Times New Roman"/>
      <w:color w:val="404040"/>
      <w:lang w:val="en-GB" w:eastAsia="en-US"/>
    </w:rPr>
  </w:style>
  <w:style w:type="paragraph" w:styleId="Odsekzoznamu">
    <w:name w:val="List Paragraph"/>
    <w:basedOn w:val="Normlny"/>
    <w:uiPriority w:val="34"/>
    <w:qFormat/>
    <w:rsid w:val="00A72573"/>
    <w:pPr>
      <w:ind w:left="720"/>
      <w:contextualSpacing/>
    </w:pPr>
  </w:style>
  <w:style w:type="character" w:customStyle="1" w:styleId="Nadpis5Char">
    <w:name w:val="Nadpis 5 Char"/>
    <w:link w:val="Nadpis5"/>
    <w:uiPriority w:val="9"/>
    <w:rsid w:val="008148E3"/>
    <w:rPr>
      <w:b/>
      <w:bCs/>
    </w:rPr>
  </w:style>
  <w:style w:type="paragraph" w:styleId="Normlnywebov">
    <w:name w:val="Normal (Web)"/>
    <w:basedOn w:val="Normlny"/>
    <w:uiPriority w:val="99"/>
    <w:unhideWhenUsed/>
    <w:rsid w:val="008148E3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character" w:styleId="Siln">
    <w:name w:val="Strong"/>
    <w:uiPriority w:val="22"/>
    <w:qFormat/>
    <w:rsid w:val="008148E3"/>
    <w:rPr>
      <w:b/>
      <w:bCs/>
    </w:rPr>
  </w:style>
  <w:style w:type="character" w:customStyle="1" w:styleId="ra">
    <w:name w:val="ra"/>
    <w:rsid w:val="006850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341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1339</Words>
  <Characters>7635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BigON</cp:lastModifiedBy>
  <cp:revision>2</cp:revision>
  <dcterms:created xsi:type="dcterms:W3CDTF">2025-06-04T13:08:00Z</dcterms:created>
  <dcterms:modified xsi:type="dcterms:W3CDTF">2025-06-04T13:08:00Z</dcterms:modified>
</cp:coreProperties>
</file>