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footer3.xml" ContentType="application/vnd.openxmlformats-officedocument.wordprocessingml.foot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_rels/document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ackground w:color="FFFFFF"/>
  <w:body>
    <w:p>
      <w:pPr>
        <w:pStyle w:val="Normal"/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before="0" w:after="120"/>
        <w:jc w:val="center"/>
        <w:rPr/>
      </w:pPr>
      <w:r>
        <w:rPr>
          <w:rFonts w:cs="Arial Narrow" w:ascii="Arial Narrow" w:hAnsi="Arial Narrow"/>
          <w:b/>
        </w:rPr>
        <w:t>POZNÁMKY K ÚČTOVNEJ ZÁVIERKE 202</w:t>
      </w:r>
      <w:r>
        <w:rPr>
          <w:rFonts w:cs="Arial Narrow" w:ascii="Arial Narrow" w:hAnsi="Arial Narrow"/>
          <w:b/>
        </w:rPr>
        <w:t>4</w:t>
      </w:r>
    </w:p>
    <w:p>
      <w:pPr>
        <w:pStyle w:val="Normal"/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/>
      </w:pPr>
      <w:r>
        <w:rPr>
          <w:rFonts w:cs="Arial Narrow" w:ascii="Arial Narrow" w:hAnsi="Arial Narrow"/>
          <w:sz w:val="22"/>
          <w:szCs w:val="22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>
      <w:pPr>
        <w:pStyle w:val="Normal"/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/>
      </w:pPr>
      <w:r>
        <w:rPr>
          <w:rFonts w:cs="Arial Narrow" w:ascii="Arial Narrow" w:hAnsi="Arial Narrow"/>
          <w:b/>
          <w:sz w:val="22"/>
          <w:szCs w:val="22"/>
        </w:rPr>
        <w:t>pre malé účtovné jednotky</w:t>
      </w:r>
      <w:r>
        <w:rPr>
          <w:rFonts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center"/>
        <w:rPr/>
      </w:pPr>
      <w:r>
        <w:rPr>
          <w:rFonts w:cs="Arial Narrow" w:ascii="Arial Narrow" w:hAnsi="Arial Narrow"/>
          <w:b/>
          <w:sz w:val="22"/>
          <w:szCs w:val="22"/>
          <w:u w:val="single"/>
        </w:rPr>
        <w:t>Článok I – VŠEOBECNÉ INFORMÁCIE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rPr/>
      </w:pPr>
      <w:r>
        <w:rPr>
          <w:rFonts w:cs="Arial Narrow" w:ascii="Arial Narrow" w:hAnsi="Arial Narrow"/>
          <w:sz w:val="22"/>
          <w:szCs w:val="22"/>
        </w:rPr>
        <w:t xml:space="preserve">1) </w:t>
      </w:r>
      <w:r>
        <w:rPr>
          <w:rFonts w:cs="Arial Narrow" w:ascii="Arial Narrow" w:hAnsi="Arial Narrow"/>
          <w:sz w:val="22"/>
          <w:szCs w:val="22"/>
          <w:u w:val="single"/>
        </w:rPr>
        <w:t>Základné informácie o účtovnej jednotke</w:t>
      </w:r>
      <w:r>
        <w:rPr>
          <w:rFonts w:cs="Arial Narrow" w:ascii="Arial Narrow" w:hAnsi="Arial Narrow"/>
          <w:sz w:val="22"/>
          <w:szCs w:val="22"/>
        </w:rPr>
        <w:t>: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tbl>
      <w:tblPr>
        <w:tblW w:w="9725" w:type="dxa"/>
        <w:jc w:val="left"/>
        <w:tblInd w:w="-163" w:type="dxa"/>
        <w:tblLayout w:type="fixed"/>
        <w:tblCellMar>
          <w:top w:w="0" w:type="dxa"/>
          <w:left w:w="5" w:type="dxa"/>
          <w:bottom w:w="0" w:type="dxa"/>
          <w:right w:w="0" w:type="dxa"/>
        </w:tblCellMar>
        <w:tblLook w:firstRow="0" w:noVBand="0" w:lastRow="0" w:firstColumn="0" w:lastColumn="0" w:noHBand="0" w:val="0000"/>
      </w:tblPr>
      <w:tblGrid>
        <w:gridCol w:w="2636"/>
        <w:gridCol w:w="7018"/>
        <w:gridCol w:w="50"/>
        <w:gridCol w:w="20"/>
      </w:tblGrid>
      <w:tr>
        <w:trPr>
          <w:trHeight w:val="231" w:hRule="atLeast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Obchodné meno:</w:t>
            </w:r>
          </w:p>
        </w:tc>
        <w:tc>
          <w:tcPr>
            <w:tcW w:w="7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Style w:val="Ra"/>
                <w:rFonts w:cs="Arial Narrow" w:ascii="Arial Narrow" w:hAnsi="Arial Narrow"/>
                <w:sz w:val="22"/>
                <w:szCs w:val="22"/>
              </w:rPr>
              <w:t>LIBEON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, s.r.o.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  <w:tc>
          <w:tcPr>
            <w:tcW w:w="20" w:type="dxa"/>
            <w:tcBorders/>
          </w:tcPr>
          <w:p>
            <w:pPr>
              <w:pStyle w:val="Normal"/>
              <w:rPr/>
            </w:pPr>
            <w:r>
              <w:rPr/>
            </w:r>
          </w:p>
        </w:tc>
      </w:tr>
      <w:tr>
        <w:trPr>
          <w:trHeight w:val="249" w:hRule="atLeast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Sídlo:</w:t>
            </w:r>
          </w:p>
        </w:tc>
        <w:tc>
          <w:tcPr>
            <w:tcW w:w="7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Style w:val="Ra"/>
                <w:rFonts w:cs="Arial Narrow" w:ascii="Arial Narrow" w:hAnsi="Arial Narrow"/>
                <w:sz w:val="22"/>
                <w:szCs w:val="22"/>
              </w:rPr>
              <w:t>Ďurka Langsfelda 162/3</w:t>
            </w:r>
            <w:r>
              <w:rPr>
                <w:rFonts w:cs="Arial Narrow" w:ascii="Arial Narrow" w:hAnsi="Arial Narrow"/>
                <w:sz w:val="22"/>
                <w:szCs w:val="22"/>
              </w:rPr>
              <w:t xml:space="preserve">, </w:t>
            </w:r>
            <w:r>
              <w:rPr>
                <w:rStyle w:val="Ra"/>
                <w:rFonts w:cs="Arial Narrow" w:ascii="Arial Narrow" w:hAnsi="Arial Narrow"/>
                <w:sz w:val="22"/>
                <w:szCs w:val="22"/>
              </w:rPr>
              <w:t>Sučany 038 52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  <w:tc>
          <w:tcPr>
            <w:tcW w:w="20" w:type="dxa"/>
            <w:tcBorders/>
          </w:tcPr>
          <w:p>
            <w:pPr>
              <w:pStyle w:val="Normal"/>
              <w:rPr/>
            </w:pPr>
            <w:r>
              <w:rPr/>
            </w:r>
          </w:p>
        </w:tc>
      </w:tr>
      <w:tr>
        <w:trPr>
          <w:trHeight w:val="125" w:hRule="atLeast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Právna forma:</w:t>
            </w:r>
          </w:p>
        </w:tc>
        <w:tc>
          <w:tcPr>
            <w:tcW w:w="7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Spoločnosť s ručením obmedzeným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  <w:tc>
          <w:tcPr>
            <w:tcW w:w="20" w:type="dxa"/>
            <w:tcBorders/>
          </w:tcPr>
          <w:p>
            <w:pPr>
              <w:pStyle w:val="Normal"/>
              <w:rPr/>
            </w:pPr>
            <w:r>
              <w:rPr/>
            </w:r>
          </w:p>
        </w:tc>
      </w:tr>
      <w:tr>
        <w:trPr>
          <w:trHeight w:val="143" w:hRule="atLeast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Dátum vzniku:</w:t>
            </w:r>
          </w:p>
        </w:tc>
        <w:tc>
          <w:tcPr>
            <w:tcW w:w="7088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Zápis do obchodného registra: 25.3.2011</w:t>
            </w:r>
          </w:p>
        </w:tc>
      </w:tr>
      <w:tr>
        <w:trPr>
          <w:trHeight w:val="175" w:hRule="atLeast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Hlavný predmet podnikania:</w:t>
            </w:r>
          </w:p>
        </w:tc>
        <w:tc>
          <w:tcPr>
            <w:tcW w:w="7088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Style w:val="Ra"/>
                <w:rFonts w:cs="Arial Narrow" w:ascii="Arial Narrow" w:hAnsi="Arial Narrow"/>
                <w:sz w:val="22"/>
                <w:szCs w:val="22"/>
              </w:rPr>
              <w:t>pohostinská činnosť a výroba hotových jedál pre výdajne</w:t>
            </w:r>
          </w:p>
        </w:tc>
      </w:tr>
      <w:tr>
        <w:trPr>
          <w:trHeight w:val="194" w:hRule="atLeast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Subjekt verejného záujmu:</w:t>
            </w:r>
          </w:p>
        </w:tc>
        <w:tc>
          <w:tcPr>
            <w:tcW w:w="7088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 xml:space="preserve">Spoločnosť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 </w:t>
            </w:r>
            <w:r>
              <w:rPr>
                <w:rStyle w:val="Ra"/>
                <w:rFonts w:cs="Arial Narrow" w:ascii="Arial Narrow" w:hAnsi="Arial Narrow"/>
                <w:sz w:val="22"/>
                <w:szCs w:val="22"/>
              </w:rPr>
              <w:t>LIBEON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 xml:space="preserve">, s.r.o. </w:t>
            </w:r>
            <w:r>
              <w:rPr>
                <w:rFonts w:cs="Arial Narrow" w:ascii="Arial Narrow" w:hAnsi="Arial Narrow"/>
                <w:sz w:val="22"/>
                <w:szCs w:val="22"/>
              </w:rPr>
              <w:t>nie je subjektom verejného záujmu (§ 2/14 ZoU).</w:t>
            </w:r>
          </w:p>
        </w:tc>
      </w:tr>
      <w:tr>
        <w:trPr>
          <w:trHeight w:val="194" w:hRule="atLeast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Účtovné obdobie:</w:t>
            </w:r>
          </w:p>
        </w:tc>
        <w:tc>
          <w:tcPr>
            <w:tcW w:w="7088" w:type="dxa"/>
            <w:gridSpan w:val="3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Kalendárny rok 202</w:t>
            </w:r>
            <w:r>
              <w:rPr>
                <w:rFonts w:cs="Arial Narrow" w:ascii="Arial Narrow" w:hAnsi="Arial Narrow"/>
                <w:sz w:val="22"/>
                <w:szCs w:val="22"/>
              </w:rPr>
              <w:t>4</w:t>
            </w:r>
          </w:p>
        </w:tc>
      </w:tr>
    </w:tbl>
    <w:p>
      <w:pPr>
        <w:pStyle w:val="Normal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right="-425"/>
        <w:jc w:val="both"/>
        <w:rPr/>
      </w:pPr>
      <w:r>
        <w:rPr>
          <w:rFonts w:cs="Arial Narrow" w:ascii="Arial Narrow" w:hAnsi="Arial Narrow"/>
          <w:bCs/>
          <w:sz w:val="22"/>
          <w:szCs w:val="22"/>
          <w:u w:val="single"/>
        </w:rPr>
        <w:t>Test veľkostnej skupiny účtovnej jednotky (2 ZoU)</w:t>
      </w:r>
    </w:p>
    <w:p>
      <w:pPr>
        <w:pStyle w:val="Normal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>
      <w:pPr>
        <w:pStyle w:val="Normal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tbl>
      <w:tblPr>
        <w:tblW w:w="9628" w:type="dxa"/>
        <w:jc w:val="left"/>
        <w:tblInd w:w="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2197"/>
        <w:gridCol w:w="2834"/>
        <w:gridCol w:w="3260"/>
        <w:gridCol w:w="1336"/>
      </w:tblGrid>
      <w:tr>
        <w:trPr/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Áno/Nie</w:t>
            </w:r>
          </w:p>
        </w:tc>
      </w:tr>
      <w:tr>
        <w:trPr/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/>
            </w:pPr>
            <w:r>
              <w:rPr/>
              <w:t>78099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58077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Nie</w:t>
            </w:r>
          </w:p>
        </w:tc>
      </w:tr>
      <w:tr>
        <w:trPr/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/>
            </w:pPr>
            <w:r>
              <w:rPr/>
              <w:t>202915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190850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Nie</w:t>
            </w:r>
          </w:p>
        </w:tc>
      </w:tr>
      <w:tr>
        <w:trPr/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Nie</w:t>
            </w:r>
          </w:p>
        </w:tc>
      </w:tr>
    </w:tbl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  <w:u w:val="single"/>
        </w:rPr>
        <w:t>Komentár:</w:t>
      </w:r>
      <w:r>
        <w:rPr>
          <w:rFonts w:cs="Arial Narrow" w:ascii="Arial Narrow" w:hAnsi="Arial Narrow"/>
          <w:sz w:val="22"/>
          <w:szCs w:val="22"/>
        </w:rPr>
        <w:t xml:space="preserve"> UJ spĺňa veľkostné podmienky na zatriedenie do veľkostnej skupiny – </w:t>
      </w:r>
      <w:r>
        <w:rPr>
          <w:rFonts w:cs="Arial Narrow" w:ascii="Arial Narrow" w:hAnsi="Arial Narrow"/>
          <w:b/>
          <w:sz w:val="22"/>
          <w:szCs w:val="22"/>
        </w:rPr>
        <w:t xml:space="preserve">malá účtovná jednotka, </w:t>
      </w:r>
      <w:r>
        <w:rPr>
          <w:rFonts w:cs="Arial Narrow" w:ascii="Arial Narrow" w:hAnsi="Arial Narrow"/>
          <w:sz w:val="22"/>
          <w:szCs w:val="22"/>
        </w:rPr>
        <w:t>preto zostavuje účtovnú závierku podľa metodiky pre túto veľkostnú skupinu (Opatrenie č.MF/23378/2014-74).</w:t>
      </w:r>
    </w:p>
    <w:p>
      <w:pPr>
        <w:pStyle w:val="Normal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</w:t>
      </w:r>
      <w:r>
        <w:rPr>
          <w:rFonts w:cs="Arial Narrow" w:ascii="Arial Narrow" w:hAnsi="Arial Narrow"/>
          <w:b/>
          <w:sz w:val="22"/>
          <w:szCs w:val="22"/>
        </w:rPr>
        <w:t>Dátum schválenia účtovnej závierky</w:t>
      </w:r>
      <w:r>
        <w:rPr>
          <w:rFonts w:cs="Arial Narrow" w:ascii="Arial Narrow" w:hAnsi="Arial Narrow"/>
          <w:sz w:val="22"/>
          <w:szCs w:val="22"/>
        </w:rPr>
        <w:t xml:space="preserve"> za bezprostredne predchádzajúce účtovné obdobie príslušným orgánom účtovnej jednotky:</w:t>
      </w:r>
      <w:r>
        <w:rPr>
          <w:rFonts w:eastAsia="Arial Narrow" w:cs="Arial Narrow" w:ascii="Arial Narrow" w:hAnsi="Arial Narrow"/>
          <w:sz w:val="22"/>
          <w:szCs w:val="22"/>
        </w:rPr>
        <w:t xml:space="preserve">  </w:t>
      </w:r>
      <w:r>
        <w:rPr>
          <w:rFonts w:eastAsia="Arial Narrow" w:cs="Arial Narrow" w:ascii="Arial Narrow" w:hAnsi="Arial Narrow"/>
          <w:sz w:val="22"/>
          <w:szCs w:val="22"/>
        </w:rPr>
        <w:t>11</w:t>
      </w:r>
      <w:r>
        <w:rPr>
          <w:rFonts w:eastAsia="Arial Narrow" w:cs="Arial Narrow" w:ascii="Arial Narrow" w:hAnsi="Arial Narrow"/>
          <w:b/>
          <w:sz w:val="22"/>
          <w:szCs w:val="22"/>
        </w:rPr>
        <w:t>.06.202</w:t>
      </w:r>
      <w:r>
        <w:rPr>
          <w:rFonts w:eastAsia="Arial Narrow" w:cs="Arial Narrow" w:ascii="Arial Narrow" w:hAnsi="Arial Narrow"/>
          <w:b/>
          <w:sz w:val="22"/>
          <w:szCs w:val="22"/>
        </w:rPr>
        <w:t>4</w:t>
      </w:r>
    </w:p>
    <w:p>
      <w:pPr>
        <w:pStyle w:val="Normal"/>
        <w:ind w:right="-468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3) </w:t>
      </w:r>
      <w:r>
        <w:rPr>
          <w:rFonts w:cs="Arial Narrow" w:ascii="Arial Narrow" w:hAnsi="Arial Narrow"/>
          <w:b/>
          <w:sz w:val="22"/>
          <w:szCs w:val="22"/>
        </w:rPr>
        <w:t>Právny dôvod</w:t>
      </w:r>
      <w:r>
        <w:rPr>
          <w:rFonts w:cs="Arial Narrow" w:ascii="Arial Narrow" w:hAnsi="Arial Narrow"/>
          <w:sz w:val="22"/>
          <w:szCs w:val="22"/>
        </w:rPr>
        <w:t xml:space="preserve"> na zostavenie účtovnej závierky: riadna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4) </w:t>
      </w:r>
      <w:r>
        <w:rPr>
          <w:rFonts w:cs="Arial Narrow" w:ascii="Arial Narrow" w:hAnsi="Arial Narrow"/>
          <w:bCs/>
          <w:sz w:val="22"/>
          <w:szCs w:val="22"/>
          <w:u w:val="single"/>
        </w:rPr>
        <w:t>Údaje o skupine</w:t>
      </w:r>
      <w:r>
        <w:rPr>
          <w:rFonts w:cs="Arial Narrow" w:ascii="Arial Narrow" w:hAnsi="Arial Narrow"/>
          <w:bCs/>
          <w:sz w:val="22"/>
          <w:szCs w:val="22"/>
        </w:rPr>
        <w:t xml:space="preserve"> účtovných jednotiek v súvislosti s konsolidáciou: </w:t>
      </w:r>
      <w:r>
        <w:rPr>
          <w:rFonts w:cs="Arial Narrow" w:ascii="Arial Narrow" w:hAnsi="Arial Narrow"/>
          <w:b/>
          <w:bCs/>
          <w:sz w:val="22"/>
          <w:szCs w:val="22"/>
        </w:rPr>
        <w:t>spoločnosť nie je súčasťou konsolidácie</w:t>
      </w:r>
    </w:p>
    <w:p>
      <w:pPr>
        <w:pStyle w:val="Normal"/>
        <w:ind w:left="36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5) </w:t>
      </w:r>
      <w:r>
        <w:rPr>
          <w:rFonts w:cs="Arial Narrow" w:ascii="Arial Narrow" w:hAnsi="Arial Narrow"/>
          <w:sz w:val="22"/>
          <w:szCs w:val="22"/>
          <w:u w:val="single"/>
        </w:rPr>
        <w:t>Priemerný prepočítaný počet zamestnancov účtovnej jednotky</w:t>
      </w:r>
      <w:r>
        <w:rPr>
          <w:rFonts w:cs="Arial Narrow" w:ascii="Arial Narrow" w:hAnsi="Arial Narrow"/>
          <w:sz w:val="22"/>
          <w:szCs w:val="22"/>
        </w:rPr>
        <w:t>:</w:t>
      </w:r>
    </w:p>
    <w:tbl>
      <w:tblPr>
        <w:tblW w:w="9807" w:type="dxa"/>
        <w:jc w:val="left"/>
        <w:tblInd w:w="-3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857"/>
        <w:gridCol w:w="2520"/>
        <w:gridCol w:w="2430"/>
      </w:tblGrid>
      <w:tr>
        <w:trPr>
          <w:trHeight w:val="537" w:hRule="atLeast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ind w:right="459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4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>
        <w:trPr>
          <w:trHeight w:val="163" w:hRule="atLeast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2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3</w:t>
            </w:r>
          </w:p>
        </w:tc>
        <w:tc>
          <w:tcPr>
            <w:tcW w:w="24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 </w:t>
            </w:r>
            <w:r>
              <w:rPr>
                <w:rFonts w:cs="Arial Narrow" w:ascii="Arial Narrow" w:hAnsi="Arial Narrow"/>
                <w:sz w:val="22"/>
                <w:szCs w:val="22"/>
              </w:rPr>
              <w:t>3</w:t>
            </w:r>
          </w:p>
        </w:tc>
      </w:tr>
    </w:tbl>
    <w:p>
      <w:pPr>
        <w:pStyle w:val="Normal"/>
        <w:ind w:left="928"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II – INFORMÁCIE O ORGÁNOCH SPOLOČNOSTI</w:t>
      </w:r>
    </w:p>
    <w:p>
      <w:pPr>
        <w:pStyle w:val="Normal"/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cs="Arial Narrow" w:ascii="Arial Narrow" w:hAnsi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tbl>
      <w:tblPr>
        <w:tblW w:w="9774" w:type="dxa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6312"/>
        <w:gridCol w:w="1698"/>
        <w:gridCol w:w="1764"/>
      </w:tblGrid>
      <w:tr>
        <w:trPr>
          <w:trHeight w:val="780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Orgány účtovnej jednotky</w:t>
            </w:r>
          </w:p>
        </w:tc>
        <w:tc>
          <w:tcPr>
            <w:tcW w:w="16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7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267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6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44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numPr>
                <w:ilvl w:val="0"/>
                <w:numId w:val="3"/>
              </w:numPr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6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6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numPr>
                <w:ilvl w:val="0"/>
                <w:numId w:val="3"/>
              </w:numPr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6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6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numPr>
                <w:ilvl w:val="0"/>
                <w:numId w:val="3"/>
              </w:numPr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6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</w:tbl>
    <w:p>
      <w:pPr>
        <w:pStyle w:val="Normal"/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</w:r>
    </w:p>
    <w:p>
      <w:pPr>
        <w:pStyle w:val="Normal"/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</w:r>
    </w:p>
    <w:p>
      <w:pPr>
        <w:pStyle w:val="Normal"/>
        <w:ind w:right="-141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  <w:u w:val="single"/>
        </w:rPr>
        <w:t>Článok III – INFORMÁCIE O PRIJATÝCH POSTUPOCH</w:t>
      </w:r>
    </w:p>
    <w:p>
      <w:pPr>
        <w:pStyle w:val="Normal"/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cs="Arial Narrow" w:ascii="Arial Narrow" w:hAnsi="Arial Narrow"/>
          <w:b/>
          <w:sz w:val="22"/>
          <w:szCs w:val="22"/>
        </w:rPr>
        <w:t>nepretržite pokračovať</w:t>
      </w:r>
      <w:r>
        <w:rPr>
          <w:rFonts w:cs="Arial Narrow" w:ascii="Arial Narrow" w:hAnsi="Arial Narrow"/>
          <w:sz w:val="22"/>
          <w:szCs w:val="22"/>
        </w:rPr>
        <w:t xml:space="preserve"> vo svojej činnosti minimálne 12 mesiacov po závierkovom dni v zmysle § 7 ods. 4 zákona o účtovníctve. Ak by tento predpoklad nebol splnený, uvedie sa aj dopad do účtovnej závierky (napr. zrušenie dlhodobých rezerv): Ú</w:t>
      </w:r>
      <w:r>
        <w:rPr>
          <w:rFonts w:eastAsia="Arial Narrow" w:cs="Arial Narrow" w:ascii="Arial Narrow" w:hAnsi="Arial Narrow"/>
          <w:sz w:val="22"/>
          <w:szCs w:val="22"/>
        </w:rPr>
        <w:t xml:space="preserve">čtovná závierka je zostavená za splnenia predpokladu, že účtovná jednotka bude </w:t>
      </w:r>
      <w:r>
        <w:rPr>
          <w:rFonts w:eastAsia="Arial Narrow" w:cs="Arial Narrow" w:ascii="Arial Narrow" w:hAnsi="Arial Narrow"/>
          <w:b/>
          <w:sz w:val="22"/>
          <w:szCs w:val="22"/>
        </w:rPr>
        <w:t>nepretržite pokračovať</w:t>
      </w:r>
      <w:r>
        <w:rPr>
          <w:rFonts w:eastAsia="Arial Narrow" w:cs="Arial Narrow" w:ascii="Arial Narrow" w:hAnsi="Arial Narrow"/>
          <w:sz w:val="22"/>
          <w:szCs w:val="22"/>
        </w:rPr>
        <w:t xml:space="preserve"> vo svojej činnosti minimálne 12 mesiacov po závierkovom dni v zmysle § 7 ods. 4 zákona o účtovníctve.</w:t>
      </w:r>
    </w:p>
    <w:p>
      <w:pPr>
        <w:pStyle w:val="Normal"/>
        <w:ind w:right="-141"/>
        <w:jc w:val="both"/>
        <w:rPr/>
      </w:pPr>
      <w:r>
        <w:rPr>
          <w:rFonts w:eastAsia="Arial Narrow"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>
        <w:rPr>
          <w:rFonts w:cs="Arial Narrow" w:ascii="Arial Narrow" w:hAnsi="Arial Narrow"/>
          <w:b/>
          <w:sz w:val="22"/>
          <w:szCs w:val="22"/>
        </w:rPr>
        <w:t>o zmenách účtovných zásad a zmenách účtovných metód</w:t>
      </w:r>
      <w:r>
        <w:rPr>
          <w:rFonts w:cs="Arial Narrow" w:ascii="Arial Narrow" w:hAnsi="Arial Narrow"/>
          <w:sz w:val="22"/>
          <w:szCs w:val="22"/>
        </w:rPr>
        <w:t xml:space="preserve">, a to s uvedením </w:t>
      </w:r>
      <w:r>
        <w:rPr>
          <w:rFonts w:cs="Arial Narrow" w:ascii="Arial Narrow" w:hAnsi="Arial Narrow"/>
          <w:sz w:val="22"/>
          <w:szCs w:val="22"/>
          <w:u w:val="single"/>
        </w:rPr>
        <w:t>dôvodu</w:t>
      </w:r>
      <w:r>
        <w:rPr>
          <w:rFonts w:cs="Arial Narrow" w:ascii="Arial Narrow" w:hAnsi="Arial Narrow"/>
          <w:sz w:val="22"/>
          <w:szCs w:val="22"/>
        </w:rPr>
        <w:t xml:space="preserve"> ich uplatnenia a ich </w:t>
      </w:r>
      <w:r>
        <w:rPr>
          <w:rFonts w:cs="Arial Narrow" w:ascii="Arial Narrow" w:hAnsi="Arial Narrow"/>
          <w:sz w:val="22"/>
          <w:szCs w:val="22"/>
          <w:u w:val="single"/>
        </w:rPr>
        <w:t>vplyvu na hodnotu</w:t>
      </w:r>
      <w:r>
        <w:rPr>
          <w:rFonts w:cs="Arial Narrow" w:ascii="Arial Narrow" w:hAnsi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 nie je náplň pre túto položku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3) Informácie o charaktere a účele </w:t>
      </w:r>
      <w:r>
        <w:rPr>
          <w:rFonts w:cs="Arial Narrow" w:ascii="Arial Narrow" w:hAnsi="Arial Narrow"/>
          <w:b/>
          <w:sz w:val="22"/>
          <w:szCs w:val="22"/>
        </w:rPr>
        <w:t>transakcií, ktoré sa neuvádzajú v súvahe</w:t>
      </w:r>
      <w:r>
        <w:rPr>
          <w:rFonts w:cs="Arial Narrow" w:ascii="Arial Narrow" w:hAnsi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cs="Arial Narrow" w:ascii="Arial Narrow" w:hAnsi="Arial Narrow"/>
          <w:sz w:val="22"/>
          <w:szCs w:val="22"/>
          <w:u w:val="single"/>
        </w:rPr>
        <w:t>riziká alebo prínosy</w:t>
      </w:r>
      <w:r>
        <w:rPr>
          <w:rFonts w:cs="Arial Narrow" w:ascii="Arial Narrow" w:hAnsi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segmente):    </w:t>
      </w:r>
      <w:r>
        <w:rPr>
          <w:rFonts w:cs="Arial Narrow" w:ascii="Arial Narrow" w:hAnsi="Arial Narrow"/>
          <w:b/>
          <w:sz w:val="22"/>
          <w:szCs w:val="22"/>
        </w:rPr>
        <w:t>Po dni účtovnej závierky nenastali udalosti, ktoré by menili údaje v účtovnej závierke 202</w:t>
      </w:r>
      <w:r>
        <w:rPr>
          <w:rFonts w:cs="Arial Narrow" w:ascii="Arial Narrow" w:hAnsi="Arial Narrow"/>
          <w:b/>
          <w:sz w:val="22"/>
          <w:szCs w:val="22"/>
        </w:rPr>
        <w:t>4</w:t>
      </w:r>
      <w:r>
        <w:rPr>
          <w:rFonts w:cs="Arial Narrow" w:ascii="Arial Narrow" w:hAnsi="Arial Narrow"/>
          <w:b/>
          <w:sz w:val="22"/>
          <w:szCs w:val="22"/>
        </w:rPr>
        <w:t>.</w:t>
      </w:r>
    </w:p>
    <w:p>
      <w:pPr>
        <w:pStyle w:val="Normal"/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cs="Arial Narrow" w:ascii="Arial Narrow" w:hAnsi="Arial Narrow"/>
          <w:b/>
          <w:sz w:val="22"/>
          <w:szCs w:val="22"/>
        </w:rPr>
      </w:r>
    </w:p>
    <w:p>
      <w:pPr>
        <w:pStyle w:val="Normal"/>
        <w:spacing w:before="0" w:after="120"/>
        <w:ind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4) </w:t>
      </w:r>
      <w:r>
        <w:rPr>
          <w:rFonts w:cs="Arial Narrow" w:ascii="Arial Narrow" w:hAnsi="Arial Narrow"/>
          <w:b/>
          <w:sz w:val="22"/>
          <w:szCs w:val="22"/>
        </w:rPr>
        <w:t>Spôsob a určenie oceňovania</w:t>
      </w:r>
      <w:r>
        <w:rPr>
          <w:rFonts w:cs="Arial Narrow" w:ascii="Arial Narrow" w:hAnsi="Arial Narrow"/>
          <w:sz w:val="22"/>
          <w:szCs w:val="22"/>
        </w:rPr>
        <w:t xml:space="preserve"> majetku a záväzkov (vrátane rozhodujúcich odhadov):</w:t>
      </w:r>
    </w:p>
    <w:p>
      <w:pPr>
        <w:pStyle w:val="Normal"/>
        <w:ind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>a) Spôsob oceňovania majetku a záväzkov (§ 25 ZoU):</w:t>
      </w:r>
    </w:p>
    <w:p>
      <w:pPr>
        <w:pStyle w:val="BodyText"/>
        <w:tabs>
          <w:tab w:val="clear" w:pos="113"/>
          <w:tab w:val="left" w:pos="808" w:leader="none"/>
        </w:tabs>
        <w:ind w:hanging="0" w:left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W w:w="9666" w:type="dxa"/>
        <w:jc w:val="left"/>
        <w:tblInd w:w="-3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703"/>
        <w:gridCol w:w="5303"/>
        <w:gridCol w:w="3660"/>
      </w:tblGrid>
      <w:tr>
        <w:trPr/>
        <w:tc>
          <w:tcPr>
            <w:tcW w:w="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>
        <w:trPr/>
        <w:tc>
          <w:tcPr>
            <w:tcW w:w="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Dlhodobý n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hmotný maj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Dlhodobý hmotný majetok externe kúpený: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12.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Pohľadávky, z toho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snapToGrid w:val="false"/>
              <w:ind w:hanging="0" w:left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</w:r>
          </w:p>
        </w:tc>
      </w:tr>
      <w:tr>
        <w:trPr/>
        <w:tc>
          <w:tcPr>
            <w:tcW w:w="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Vlastné pohľ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d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Kúpené pohľ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d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K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cs="Arial Narrow" w:ascii="Arial Narrow" w:hAnsi="Arial Narrow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ina</w:t>
            </w:r>
            <w:r>
              <w:rPr>
                <w:rFonts w:cs="Arial Narrow" w:ascii="Arial Narrow" w:hAnsi="Arial Narrow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ný maj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Časové rozlíšenie na strane aktív súvahy: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Záväzky, vrátane rezerv, dlhopisov, pôžičiek a úverov: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Časové rozlíšenie na strane pasív súvahy: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Splatná daň z príjmov a odložená daň z príjmov: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</w:tbl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>b) Trvalé zníženie hodnoty majetku nebolo účtované. Prechodné zníženie hodnoty majetku je zaúčtované formou opravnej položky stanovené odborným odhadom bonity klienta .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d) Určenie ocenenia </w:t>
      </w:r>
      <w:r>
        <w:rPr>
          <w:rFonts w:cs="Arial Narrow" w:ascii="Arial Narrow" w:hAnsi="Arial Narrow"/>
          <w:sz w:val="22"/>
          <w:szCs w:val="22"/>
          <w:u w:val="single"/>
        </w:rPr>
        <w:t>finančných nástrojov alebo majetku</w:t>
      </w:r>
      <w:r>
        <w:rPr>
          <w:rFonts w:cs="Arial Narrow" w:ascii="Arial Narrow" w:hAnsi="Arial Narrow"/>
          <w:sz w:val="22"/>
          <w:szCs w:val="22"/>
        </w:rPr>
        <w:t xml:space="preserve">, ktorý nie je finančným nástrojom pri oceňovaní </w:t>
      </w:r>
      <w:r>
        <w:rPr>
          <w:rFonts w:cs="Arial Narrow" w:ascii="Arial Narrow" w:hAnsi="Arial Narrow"/>
          <w:b/>
          <w:sz w:val="22"/>
          <w:szCs w:val="22"/>
        </w:rPr>
        <w:t>reálnou hodnotou</w:t>
      </w:r>
      <w:r>
        <w:rPr>
          <w:rFonts w:cs="Arial Narrow" w:ascii="Arial Narrow" w:hAnsi="Arial Narrow"/>
          <w:sz w:val="22"/>
          <w:szCs w:val="22"/>
        </w:rPr>
        <w:t xml:space="preserve">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e) Určenie ocenenia </w:t>
      </w:r>
      <w:r>
        <w:rPr>
          <w:rFonts w:cs="Arial Narrow" w:ascii="Arial Narrow" w:hAnsi="Arial Narrow"/>
          <w:sz w:val="22"/>
          <w:szCs w:val="22"/>
          <w:u w:val="single"/>
        </w:rPr>
        <w:t>finančných nástrojov</w:t>
      </w:r>
      <w:r>
        <w:rPr>
          <w:rFonts w:cs="Arial Narrow" w:ascii="Arial Narrow" w:hAnsi="Arial Narrow"/>
          <w:sz w:val="22"/>
          <w:szCs w:val="22"/>
        </w:rPr>
        <w:t xml:space="preserve"> pri oceňovaní obstarávacou cenou alebo vlastnými nákladmi: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f) Účtovná jednotka nepoužila dobrovoľné oceňovanie obchodných podielov </w:t>
      </w:r>
      <w:r>
        <w:rPr>
          <w:rFonts w:cs="Arial Narrow" w:ascii="Arial Narrow" w:hAnsi="Arial Narrow"/>
          <w:sz w:val="22"/>
          <w:szCs w:val="22"/>
          <w:u w:val="single"/>
        </w:rPr>
        <w:t>metódou vlastného imania</w:t>
      </w:r>
      <w:r>
        <w:rPr>
          <w:rFonts w:cs="Arial Narrow" w:ascii="Arial Narrow" w:hAnsi="Arial Narrow"/>
          <w:sz w:val="22"/>
          <w:szCs w:val="22"/>
        </w:rPr>
        <w:t xml:space="preserve"> (§ 27/9 ZoU).</w:t>
      </w:r>
    </w:p>
    <w:p>
      <w:pPr>
        <w:pStyle w:val="Heading2"/>
        <w:tabs>
          <w:tab w:val="clear" w:pos="113"/>
          <w:tab w:val="left" w:pos="1005" w:leader="none"/>
        </w:tabs>
        <w:jc w:val="both"/>
        <w:rPr/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g) </w:t>
      </w:r>
      <w:r>
        <w:rPr>
          <w:rFonts w:cs="Arial Narrow" w:ascii="Arial Narrow" w:hAnsi="Arial Narrow"/>
          <w:bCs w:val="false"/>
          <w:sz w:val="22"/>
          <w:szCs w:val="22"/>
        </w:rPr>
        <w:t>Tvorba odpisového plánu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9666" w:type="dxa"/>
        <w:jc w:val="left"/>
        <w:tblInd w:w="-3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218"/>
        <w:gridCol w:w="1013"/>
        <w:gridCol w:w="2107"/>
        <w:gridCol w:w="2327"/>
      </w:tblGrid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Dlhodobý hmotný a nehmotný</w:t>
            </w:r>
          </w:p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číslo</w:t>
            </w:r>
          </w:p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doba odpisovania</w:t>
            </w:r>
          </w:p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(počet rokov)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odpisová sadzba</w:t>
            </w:r>
          </w:p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(%)</w:t>
            </w:r>
          </w:p>
        </w:tc>
      </w:tr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/>
            </w:pPr>
            <w:r>
              <w:rPr/>
              <w:t>Stroje,prístroje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rPr/>
            </w:pPr>
            <w:r>
              <w:rPr/>
              <w:t>6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rPr/>
            </w:pPr>
            <w:r>
              <w:rPr/>
              <w:t>25</w:t>
            </w:r>
          </w:p>
        </w:tc>
      </w:tr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/>
            </w:pPr>
            <w:r>
              <w:rPr/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/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/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/>
            </w:r>
          </w:p>
        </w:tc>
      </w:tr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/>
            </w:pPr>
            <w:r>
              <w:rPr/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/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/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/>
            </w:r>
          </w:p>
        </w:tc>
      </w:tr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</w:tbl>
    <w:p>
      <w:pPr>
        <w:pStyle w:val="Normal"/>
        <w:jc w:val="both"/>
        <w:rPr/>
      </w:pPr>
      <w:r>
        <w:rPr>
          <w:rFonts w:eastAsia="Arial Narrow"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spacing w:before="0" w:after="120"/>
        <w:rPr/>
      </w:pPr>
      <w:r>
        <w:rPr>
          <w:rFonts w:cs="Arial Narrow" w:ascii="Arial Narrow" w:hAnsi="Arial Narrow"/>
          <w:sz w:val="22"/>
          <w:szCs w:val="22"/>
          <w:u w:val="single"/>
        </w:rPr>
        <w:t>Komentár k odpisovému plánu</w:t>
      </w:r>
      <w:r>
        <w:rPr>
          <w:rFonts w:cs="Arial Narrow" w:ascii="Arial Narrow" w:hAnsi="Arial Narrow"/>
          <w:sz w:val="22"/>
          <w:szCs w:val="22"/>
        </w:rPr>
        <w:t xml:space="preserve">: </w:t>
      </w:r>
    </w:p>
    <w:p>
      <w:pPr>
        <w:pStyle w:val="Normal"/>
        <w:numPr>
          <w:ilvl w:val="0"/>
          <w:numId w:val="2"/>
        </w:numPr>
        <w:spacing w:before="0" w:after="120"/>
        <w:ind w:hanging="227" w:left="227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UJ používa </w:t>
      </w:r>
      <w:r>
        <w:rPr>
          <w:rFonts w:cs="Arial Narrow" w:ascii="Arial Narrow" w:hAnsi="Arial Narrow"/>
          <w:sz w:val="22"/>
          <w:szCs w:val="22"/>
          <w:u w:val="single"/>
        </w:rPr>
        <w:t>účtovné odpisy v závislosti na daňových odpisoch</w:t>
      </w:r>
      <w:r>
        <w:rPr>
          <w:rFonts w:cs="Arial Narrow" w:ascii="Arial Narrow" w:hAnsi="Arial Narrow"/>
          <w:sz w:val="22"/>
          <w:szCs w:val="22"/>
        </w:rPr>
        <w:t xml:space="preserve">. Majetok sa začína odpisovať v mesiaci, kedy bol </w:t>
      </w:r>
      <w:r>
        <w:rPr>
          <w:rFonts w:cs="Arial Narrow" w:ascii="Arial Narrow" w:hAnsi="Arial Narrow"/>
          <w:sz w:val="22"/>
          <w:szCs w:val="22"/>
          <w:u w:val="single"/>
        </w:rPr>
        <w:t>zaradený do užívania</w:t>
      </w:r>
      <w:r>
        <w:rPr>
          <w:rFonts w:cs="Arial Narrow" w:ascii="Arial Narrow" w:hAnsi="Arial Narrow"/>
          <w:sz w:val="22"/>
          <w:szCs w:val="22"/>
        </w:rPr>
        <w:t>. Dlhodobý nehmotný majetok sa odpisuje počas 4 rokov od jeho obstarania.</w:t>
      </w:r>
    </w:p>
    <w:p>
      <w:pPr>
        <w:pStyle w:val="Normal"/>
        <w:numPr>
          <w:ilvl w:val="0"/>
          <w:numId w:val="2"/>
        </w:numPr>
        <w:spacing w:before="0" w:after="120"/>
        <w:ind w:hanging="227" w:left="227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UJ používa </w:t>
      </w:r>
      <w:r>
        <w:rPr>
          <w:rFonts w:cs="Arial Narrow" w:ascii="Arial Narrow" w:hAnsi="Arial Narrow"/>
          <w:sz w:val="22"/>
          <w:szCs w:val="22"/>
          <w:u w:val="single"/>
        </w:rPr>
        <w:t>rovnomerné odpisovanie</w:t>
      </w:r>
      <w:r>
        <w:rPr>
          <w:rFonts w:cs="Arial Narrow" w:ascii="Arial Narrow" w:hAnsi="Arial Narrow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MRP (taktiež daňové odpisy podľa zákona o dani z príjmov).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Heading2"/>
        <w:jc w:val="both"/>
        <w:rPr>
          <w:rFonts w:ascii="Arial Narrow" w:hAnsi="Arial Narrow" w:cs="Arial Narrow"/>
          <w:bCs w:val="false"/>
          <w:sz w:val="22"/>
          <w:szCs w:val="22"/>
        </w:rPr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h) Informácia </w:t>
      </w:r>
      <w:r>
        <w:rPr>
          <w:rFonts w:cs="Arial Narrow" w:ascii="Arial Narrow" w:hAnsi="Arial Narrow"/>
          <w:bCs w:val="false"/>
          <w:sz w:val="22"/>
          <w:szCs w:val="22"/>
        </w:rPr>
        <w:t>o poskytnutých dotáciách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a pri dotáciách na obstaranie majetku sa uvedú zložky majetku a ich ocenenie: nie je náplň</w:t>
      </w:r>
    </w:p>
    <w:p>
      <w:pPr>
        <w:pStyle w:val="Normal"/>
        <w:rPr/>
      </w:pPr>
      <w:r>
        <w:rPr/>
      </w:r>
    </w:p>
    <w:p>
      <w:pPr>
        <w:pStyle w:val="Heading2"/>
        <w:jc w:val="both"/>
        <w:rPr>
          <w:rFonts w:ascii="Arial Narrow" w:hAnsi="Arial Narrow" w:cs="Arial Narrow"/>
          <w:b w:val="false"/>
          <w:bCs w:val="false"/>
          <w:sz w:val="22"/>
          <w:szCs w:val="22"/>
        </w:rPr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</w:r>
    </w:p>
    <w:p>
      <w:pPr>
        <w:pStyle w:val="Heading2"/>
        <w:jc w:val="both"/>
        <w:rPr/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5) </w:t>
      </w:r>
      <w:r>
        <w:rPr>
          <w:rFonts w:cs="Arial Narrow" w:ascii="Arial Narrow" w:hAnsi="Arial Narrow"/>
          <w:bCs w:val="false"/>
          <w:sz w:val="22"/>
          <w:szCs w:val="22"/>
        </w:rPr>
        <w:t xml:space="preserve">Informácie o oprave </w:t>
      </w:r>
      <w:r>
        <w:rPr>
          <w:rFonts w:cs="Arial Narrow" w:ascii="Arial Narrow" w:hAnsi="Arial Narrow"/>
          <w:bCs w:val="false"/>
          <w:sz w:val="22"/>
          <w:szCs w:val="22"/>
          <w:u w:val="single"/>
        </w:rPr>
        <w:t>významných chýb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</w:t>
      </w:r>
      <w:r>
        <w:rPr>
          <w:rFonts w:cs="Arial Narrow" w:ascii="Arial Narrow" w:hAnsi="Arial Narrow"/>
          <w:b w:val="false"/>
          <w:bCs w:val="false"/>
          <w:sz w:val="22"/>
          <w:szCs w:val="22"/>
          <w:u w:val="single"/>
        </w:rPr>
        <w:t>s uvedením sumy vplyvu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cs="Arial Narrow" w:ascii="Arial Narrow" w:hAnsi="Arial Narrow"/>
          <w:b w:val="false"/>
          <w:bCs w:val="false"/>
          <w:sz w:val="22"/>
          <w:szCs w:val="22"/>
          <w:u w:val="single"/>
        </w:rPr>
        <w:t>nevýznamných chýb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>
        <w:rPr>
          <w:rFonts w:cs="Arial Narrow" w:ascii="Arial Narrow" w:hAnsi="Arial Narrow"/>
          <w:bCs w:val="false"/>
          <w:sz w:val="22"/>
          <w:szCs w:val="22"/>
        </w:rPr>
        <w:t>nie je náplň pre túto položku.</w:t>
      </w:r>
    </w:p>
    <w:tbl>
      <w:tblPr>
        <w:tblW w:w="9661" w:type="dxa"/>
        <w:jc w:val="left"/>
        <w:tblInd w:w="-3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3075"/>
        <w:gridCol w:w="1037"/>
        <w:gridCol w:w="1042"/>
        <w:gridCol w:w="1928"/>
        <w:gridCol w:w="2579"/>
      </w:tblGrid>
      <w:tr>
        <w:trPr/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pacing w:before="0" w:after="120"/>
              <w:ind w:right="-471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    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10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pacing w:before="0" w:after="120"/>
              <w:ind w:right="-471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Suma</w:t>
            </w:r>
          </w:p>
        </w:tc>
        <w:tc>
          <w:tcPr>
            <w:tcW w:w="1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pacing w:before="0" w:after="120"/>
              <w:ind w:right="-471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MD/DAL</w:t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pacing w:before="0" w:after="120"/>
              <w:ind w:right="-471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pacing w:before="0" w:after="120"/>
              <w:ind w:right="-471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Vplyv na vlastné imanie</w:t>
            </w:r>
          </w:p>
        </w:tc>
      </w:tr>
      <w:tr>
        <w:trPr/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</w:r>
          </w:p>
        </w:tc>
        <w:tc>
          <w:tcPr>
            <w:tcW w:w="10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</w:r>
          </w:p>
        </w:tc>
        <w:tc>
          <w:tcPr>
            <w:tcW w:w="1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/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</w:tbl>
    <w:p>
      <w:pPr>
        <w:pStyle w:val="Normal"/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>
      <w:pPr>
        <w:pStyle w:val="Normal"/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1) Dlhodobý nehmotný majetok, ktorým je </w:t>
      </w:r>
      <w:r>
        <w:rPr>
          <w:rFonts w:cs="Arial Narrow" w:ascii="Arial Narrow" w:hAnsi="Arial Narrow"/>
          <w:sz w:val="22"/>
          <w:szCs w:val="22"/>
          <w:u w:val="single"/>
        </w:rPr>
        <w:t>goodwill alebo záporný goodwill</w:t>
      </w:r>
      <w:r>
        <w:rPr>
          <w:rFonts w:cs="Arial Narrow" w:ascii="Arial Narrow" w:hAnsi="Arial Narrow"/>
          <w:b/>
          <w:sz w:val="22"/>
          <w:szCs w:val="22"/>
        </w:rPr>
        <w:t xml:space="preserve"> - </w:t>
      </w:r>
      <w:r>
        <w:rPr>
          <w:rFonts w:cs="Arial Narrow" w:ascii="Arial Narrow" w:hAnsi="Arial Narrow"/>
          <w:sz w:val="22"/>
          <w:szCs w:val="22"/>
        </w:rPr>
        <w:t xml:space="preserve">dôvod jeho vzniku, spôsob výpočtu a prehodnotenie opodstatnenosti jeho výšky a odpisu jeho hodnoty: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Informácie o významných </w:t>
      </w:r>
      <w:r>
        <w:rPr>
          <w:rFonts w:cs="Arial Narrow" w:ascii="Arial Narrow" w:hAnsi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cs="Arial Narrow" w:ascii="Arial Narrow" w:hAnsi="Arial Narrow"/>
          <w:sz w:val="22"/>
          <w:szCs w:val="22"/>
        </w:rPr>
        <w:t xml:space="preserve">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ind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3a) Celková suma </w:t>
      </w:r>
      <w:r>
        <w:rPr>
          <w:rFonts w:cs="Arial Narrow" w:ascii="Arial Narrow" w:hAnsi="Arial Narrow"/>
          <w:sz w:val="22"/>
          <w:szCs w:val="22"/>
          <w:u w:val="single"/>
        </w:rPr>
        <w:t>záväzkov so zostatkovou dobou splatnosti dlhšou ako 5 rokov</w:t>
      </w:r>
      <w:r>
        <w:rPr>
          <w:rFonts w:cs="Arial Narrow" w:ascii="Arial Narrow" w:hAnsi="Arial Narrow"/>
          <w:sz w:val="22"/>
          <w:szCs w:val="22"/>
        </w:rPr>
        <w:t xml:space="preserve">:  </w:t>
      </w:r>
    </w:p>
    <w:tbl>
      <w:tblPr>
        <w:tblW w:w="9774" w:type="dxa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785"/>
        <w:gridCol w:w="2553"/>
        <w:gridCol w:w="2436"/>
      </w:tblGrid>
      <w:tr>
        <w:trPr>
          <w:trHeight w:val="693" w:hRule="atLeast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207" w:hRule="atLeast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x</w:t>
            </w: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x</w:t>
            </w:r>
          </w:p>
        </w:tc>
      </w:tr>
    </w:tbl>
    <w:p>
      <w:pPr>
        <w:pStyle w:val="Normal"/>
        <w:spacing w:before="120" w:after="0"/>
        <w:ind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>[Vysvetlivky: Zostatková doba splatnosti záväzku alebo jeho časti – je rozdiel medzi dohodnutou dobou splatnosti záväzkov a závierkovým dňom (§ 12 PU).]</w:t>
      </w:r>
    </w:p>
    <w:p>
      <w:pPr>
        <w:pStyle w:val="Normal"/>
        <w:spacing w:before="120" w:after="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ind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3b) Celková suma </w:t>
      </w:r>
      <w:r>
        <w:rPr>
          <w:rFonts w:cs="Arial Narrow" w:ascii="Arial Narrow" w:hAnsi="Arial Narrow"/>
          <w:sz w:val="22"/>
          <w:szCs w:val="22"/>
          <w:u w:val="single"/>
        </w:rPr>
        <w:t>zabezpečených záväzkov</w:t>
      </w:r>
      <w:r>
        <w:rPr>
          <w:rFonts w:cs="Arial Narrow" w:ascii="Arial Narrow" w:hAnsi="Arial Narrow"/>
          <w:sz w:val="22"/>
          <w:szCs w:val="22"/>
        </w:rPr>
        <w:t xml:space="preserve"> – opis a spôsob zabezpečenia záväzkov: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tbl>
      <w:tblPr>
        <w:tblW w:w="9698" w:type="dxa"/>
        <w:jc w:val="left"/>
        <w:tblInd w:w="7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0" w:noVBand="0" w:lastRow="0" w:firstColumn="0" w:lastColumn="0" w:noHBand="0" w:val="0000"/>
      </w:tblPr>
      <w:tblGrid>
        <w:gridCol w:w="4396"/>
        <w:gridCol w:w="2829"/>
        <w:gridCol w:w="2473"/>
      </w:tblGrid>
      <w:tr>
        <w:trPr/>
        <w:tc>
          <w:tcPr>
            <w:tcW w:w="4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Zabezpečené záväzky</w:t>
            </w:r>
          </w:p>
        </w:tc>
        <w:tc>
          <w:tcPr>
            <w:tcW w:w="530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4396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snapToGrid w:val="false"/>
              <w:jc w:val="both"/>
              <w:rPr/>
            </w:pPr>
            <w:r>
              <w:rPr/>
            </w:r>
          </w:p>
        </w:tc>
        <w:tc>
          <w:tcPr>
            <w:tcW w:w="2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Spôsob</w:t>
            </w:r>
          </w:p>
          <w:p>
            <w:pPr>
              <w:pStyle w:val="TopHeader"/>
              <w:rPr/>
            </w:pPr>
            <w:r>
              <w:rPr/>
              <w:t>zabezpečenia</w:t>
            </w:r>
          </w:p>
        </w:tc>
        <w:tc>
          <w:tcPr>
            <w:tcW w:w="24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Hodnota záväzkov</w:t>
            </w:r>
          </w:p>
        </w:tc>
      </w:tr>
      <w:tr>
        <w:trPr>
          <w:trHeight w:val="69" w:hRule="atLeast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360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4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spacing w:lineRule="auto" w:line="36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</w:tr>
      <w:tr>
        <w:trPr>
          <w:trHeight w:val="117" w:hRule="atLeast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Záväzky zabezpečené iným spôsobom</w:t>
            </w:r>
          </w:p>
        </w:tc>
        <w:tc>
          <w:tcPr>
            <w:tcW w:w="2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spacing w:lineRule="auto" w:line="360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4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spacing w:lineRule="auto" w:line="36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</w:tr>
      <w:tr>
        <w:trPr>
          <w:trHeight w:val="117" w:hRule="atLeast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360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4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spacing w:lineRule="auto" w:line="36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</w:tr>
    </w:tbl>
    <w:p>
      <w:pPr>
        <w:pStyle w:val="Normal"/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4) </w:t>
      </w:r>
      <w:r>
        <w:rPr>
          <w:rFonts w:cs="Arial Narrow" w:ascii="Arial Narrow" w:hAnsi="Arial Narrow"/>
          <w:sz w:val="22"/>
          <w:szCs w:val="22"/>
          <w:u w:val="single"/>
        </w:rPr>
        <w:t>Informácie o vlastných akciách</w:t>
      </w:r>
      <w:r>
        <w:rPr>
          <w:rFonts w:cs="Arial Narrow" w:ascii="Arial Narrow" w:hAnsi="Arial Narrow"/>
          <w:sz w:val="22"/>
          <w:szCs w:val="22"/>
        </w:rPr>
        <w:t xml:space="preserve">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cs="Arial Narrow" w:ascii="Arial Narrow" w:hAnsi="Arial Narrow"/>
          <w:b/>
          <w:sz w:val="22"/>
          <w:szCs w:val="22"/>
          <w:u w:val="single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5) Informácie o sume a dôvodoch vzniku jednotlivých položiek </w:t>
      </w:r>
      <w:r>
        <w:rPr>
          <w:rFonts w:cs="Arial Narrow" w:ascii="Arial Narrow" w:hAnsi="Arial Narrow"/>
          <w:b/>
          <w:sz w:val="22"/>
          <w:szCs w:val="22"/>
        </w:rPr>
        <w:t>nákladov alebo výnosov</w:t>
      </w:r>
      <w:r>
        <w:rPr>
          <w:rFonts w:cs="Arial Narrow" w:ascii="Arial Narrow" w:hAnsi="Arial Narrow"/>
          <w:sz w:val="22"/>
          <w:szCs w:val="22"/>
        </w:rPr>
        <w:t xml:space="preserve">, ktoré majú </w:t>
      </w:r>
      <w:r>
        <w:rPr>
          <w:rFonts w:cs="Arial Narrow" w:ascii="Arial Narrow" w:hAnsi="Arial Narrow"/>
          <w:sz w:val="22"/>
          <w:szCs w:val="22"/>
          <w:u w:val="single"/>
        </w:rPr>
        <w:t>výnimočný rozsah alebo výskyt</w:t>
      </w:r>
      <w:r>
        <w:rPr>
          <w:rFonts w:cs="Arial Narrow" w:ascii="Arial Narrow" w:hAnsi="Arial Narrow"/>
          <w:sz w:val="22"/>
          <w:szCs w:val="22"/>
        </w:rPr>
        <w:t xml:space="preserve"> (napr. výnosy z predaja podniku alebo jeho časti, náklady z dôvodu predaja podniku alebo jeho časti, škody z dôvodu živelných pohrôm):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cs="Arial Narrow" w:ascii="Arial Narrow" w:hAnsi="Arial Narrow"/>
          <w:b/>
          <w:sz w:val="22"/>
          <w:szCs w:val="22"/>
          <w:u w:val="single"/>
        </w:rPr>
      </w:r>
    </w:p>
    <w:p>
      <w:pPr>
        <w:pStyle w:val="Normal"/>
        <w:spacing w:before="0" w:after="120"/>
        <w:ind w:right="-471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V – INFORMÁCIE O INÝCH AKTÍVACH A INÝCH PASÍVACH</w:t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1a) </w:t>
      </w:r>
      <w:r>
        <w:rPr>
          <w:rFonts w:cs="Arial Narrow" w:ascii="Arial Narrow" w:hAnsi="Arial Narrow"/>
          <w:b/>
          <w:sz w:val="22"/>
          <w:szCs w:val="22"/>
          <w:u w:val="single"/>
        </w:rPr>
        <w:t>Podmienený majetok</w:t>
      </w:r>
      <w:r>
        <w:rPr>
          <w:rFonts w:cs="Arial Narrow" w:ascii="Arial Narrow" w:hAnsi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1b) </w:t>
      </w:r>
      <w:r>
        <w:rPr>
          <w:rFonts w:cs="Arial Narrow" w:ascii="Arial Narrow" w:hAnsi="Arial Narrow"/>
          <w:b/>
          <w:sz w:val="22"/>
          <w:szCs w:val="22"/>
          <w:u w:val="single"/>
        </w:rPr>
        <w:t>Podmienené záväzky</w:t>
      </w:r>
      <w:r>
        <w:rPr>
          <w:rFonts w:cs="Arial Narrow" w:ascii="Arial Narrow" w:hAnsi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  <w:r>
        <w:rPr>
          <w:rFonts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>
      <w:pPr>
        <w:pStyle w:val="Normal"/>
        <w:numPr>
          <w:ilvl w:val="0"/>
          <w:numId w:val="4"/>
        </w:numPr>
        <w:ind w:hanging="227" w:left="227"/>
        <w:jc w:val="both"/>
        <w:rPr/>
      </w:pPr>
      <w:r>
        <w:rPr>
          <w:rFonts w:cs="Arial Narrow" w:ascii="Arial Narrow" w:hAnsi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</w:t>
      </w:r>
      <w:r>
        <w:rPr>
          <w:rFonts w:cs="Arial Narrow" w:ascii="Arial Narrow" w:hAnsi="Arial Narrow"/>
          <w:b/>
          <w:sz w:val="22"/>
          <w:szCs w:val="22"/>
          <w:u w:val="single"/>
        </w:rPr>
        <w:t>Ostatné finančné povinnosti</w:t>
      </w:r>
      <w:r>
        <w:rPr>
          <w:rFonts w:cs="Arial Narrow" w:ascii="Arial Narrow" w:hAnsi="Arial Narrow"/>
          <w:sz w:val="22"/>
          <w:szCs w:val="22"/>
        </w:rPr>
        <w:t xml:space="preserve">, ktoré sa nevykazujú v účtovných výkazoch - napríklad zákonná povinnosť alebo zmluvná povinnosť odobrať určité množstvo produktu, uskutočniť investície a veľké opravy: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3) </w:t>
      </w:r>
      <w:r>
        <w:rPr>
          <w:rFonts w:cs="Arial Narrow" w:ascii="Arial Narrow" w:hAnsi="Arial Narrow"/>
          <w:b/>
          <w:sz w:val="22"/>
          <w:szCs w:val="22"/>
          <w:u w:val="single"/>
        </w:rPr>
        <w:t>Podsúvahové účty</w:t>
      </w:r>
      <w:r>
        <w:rPr>
          <w:rFonts w:cs="Arial Narrow" w:ascii="Arial Narrow" w:hAnsi="Arial Narrow"/>
          <w:sz w:val="22"/>
          <w:szCs w:val="22"/>
        </w:rPr>
        <w:t xml:space="preserve"> – uvádzajú sa informácie o významných položkách sledovaných na podsúvahových účtoch (§ 85 PU):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VI – UDALOSTI, KTORÉ NASTALI PO ZÁVIERKOVOM DNI</w:t>
      </w:r>
    </w:p>
    <w:p>
      <w:pPr>
        <w:pStyle w:val="Normal"/>
        <w:ind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(Následné udalosti)</w:t>
      </w:r>
    </w:p>
    <w:p>
      <w:pPr>
        <w:pStyle w:val="Normal"/>
        <w:ind w:right="-468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>Uvádzajú sa informácie o charaktere a finančnom vplyve významných udalostí, ktoré nastali v čase po závierkovom dni - do dňa zostavenia účtovnej závierky (t.j. do dňa podpísania výkazov podľa § 17/5 ZoU) a ktoré nie sú zohľadnené v súvahe alebo vo výkaze ziskov a strát.</w:t>
      </w:r>
    </w:p>
    <w:p>
      <w:pPr>
        <w:pStyle w:val="Normal"/>
        <w:ind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Po dni účtovnej závierky nenastali udalosti, ktoré by menili údaje v účtovnej závierke 202</w:t>
      </w:r>
      <w:r>
        <w:rPr>
          <w:rFonts w:cs="Arial Narrow" w:ascii="Arial Narrow" w:hAnsi="Arial Narrow"/>
          <w:b/>
          <w:bCs/>
          <w:sz w:val="22"/>
          <w:szCs w:val="22"/>
        </w:rPr>
        <w:t>4</w:t>
      </w:r>
    </w:p>
    <w:p>
      <w:pPr>
        <w:pStyle w:val="Normal"/>
        <w:ind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.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VII – OSTATNÉ INFORMÁCIE</w:t>
      </w:r>
    </w:p>
    <w:p>
      <w:pPr>
        <w:pStyle w:val="Normal"/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spacing w:before="0" w:after="120"/>
        <w:ind w:right="-471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1) Informácie o výlučnom práve poskytovať služby vo verejnom záujme: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right="-471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2) Informácie o osobitnej kategórii priemyselnej výroby (§ 23d/6 ZoU):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right="-471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3) Informácie o finančných vzťahoch s orgánmi verejnej moci (§ 23d/6 ZoU):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sectPr>
      <w:headerReference w:type="even" r:id="rId2"/>
      <w:headerReference w:type="default" r:id="rId3"/>
      <w:headerReference w:type="first" r:id="rId4"/>
      <w:footerReference w:type="even" r:id="rId5"/>
      <w:footerReference w:type="default" r:id="rId6"/>
      <w:footerReference w:type="first" r:id="rId7"/>
      <w:type w:val="nextPage"/>
      <w:pgSz w:w="11906" w:h="16838"/>
      <w:pgMar w:left="1417" w:right="992" w:gutter="0" w:header="567" w:top="1417" w:footer="567" w:bottom="1417"/>
      <w:pgNumType w:fmt="decimal"/>
      <w:formProt w:val="false"/>
      <w:textDirection w:val="lrTb"/>
      <w:docGrid w:type="default" w:linePitch="326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Times New Roman">
    <w:charset w:val="ee"/>
    <w:family w:val="roman"/>
    <w:pitch w:val="variable"/>
  </w:font>
  <w:font w:name="Wingdings">
    <w:charset w:val="ee"/>
    <w:family w:val="roman"/>
    <w:pitch w:val="variable"/>
  </w:font>
  <w:font w:name="Arial Narrow">
    <w:charset w:val="ee"/>
    <w:family w:val="roman"/>
    <w:pitch w:val="variable"/>
  </w:font>
  <w:font w:name="Courier New">
    <w:charset w:val="ee"/>
    <w:family w:val="roman"/>
    <w:pitch w:val="variable"/>
  </w:font>
  <w:font w:name="Symbol">
    <w:charset w:val="ee"/>
    <w:family w:val="roman"/>
    <w:pitch w:val="variable"/>
  </w:font>
  <w:font w:name="Cambria">
    <w:charset w:val="ee"/>
    <w:family w:val="roman"/>
    <w:pitch w:val="variable"/>
  </w:font>
  <w:font w:name="Arial">
    <w:charset w:val="ee"/>
    <w:family w:val="roman"/>
    <w:pitch w:val="variable"/>
  </w:font>
  <w:font w:name="Wingdings">
    <w:charset w:val="02"/>
    <w:family w:val="auto"/>
    <w:pitch w:val="variable"/>
  </w:font>
  <w:font w:name="Arial Narrow">
    <w:charset w:val="01"/>
    <w:family w:val="swiss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rPr/>
    </w:pPr>
    <w:r>
      <w:rPr/>
    </w:r>
  </w:p>
</w:ftr>
</file>

<file path=word/footer2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jc w:val="right"/>
      <w:rPr/>
    </w:pPr>
    <w:r>
      <w:rPr/>
      <w:fldChar w:fldCharType="begin"/>
    </w:r>
    <w:r>
      <w:rPr/>
      <w:instrText xml:space="preserve"> PAGE </w:instrText>
    </w:r>
    <w:r>
      <w:rPr/>
      <w:fldChar w:fldCharType="separate"/>
    </w:r>
    <w:r>
      <w:rPr/>
      <w:t>5</w:t>
    </w:r>
    <w:r>
      <w:rPr/>
      <w:fldChar w:fldCharType="end"/>
    </w:r>
  </w:p>
  <w:p>
    <w:pPr>
      <w:pStyle w:val="Footer"/>
      <w:rPr/>
    </w:pPr>
    <w:r>
      <w:rPr/>
    </w:r>
  </w:p>
</w:ftr>
</file>

<file path=word/footer3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jc w:val="right"/>
      <w:rPr/>
    </w:pPr>
    <w:r>
      <w:rPr/>
      <w:fldChar w:fldCharType="begin"/>
    </w:r>
    <w:r>
      <w:rPr/>
      <w:instrText xml:space="preserve"> PAGE </w:instrText>
    </w:r>
    <w:r>
      <w:rPr/>
      <w:fldChar w:fldCharType="separate"/>
    </w:r>
    <w:r>
      <w:rPr/>
      <w:t>5</w:t>
    </w:r>
    <w:r>
      <w:rPr/>
      <w:fldChar w:fldCharType="end"/>
    </w:r>
  </w:p>
  <w:p>
    <w:pPr>
      <w:pStyle w:val="Footer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rPr/>
    </w:pPr>
    <w:r>
      <w:rPr/>
    </w:r>
  </w:p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tabs>
        <w:tab w:val="clear" w:pos="113"/>
        <w:tab w:val="left" w:pos="2990" w:leader="none"/>
        <w:tab w:val="left" w:pos="6348" w:leader="none"/>
      </w:tabs>
      <w:ind w:hanging="0" w:left="-397"/>
      <w:jc w:val="center"/>
      <w:rPr/>
    </w:pPr>
    <w:r>
      <w:rPr>
        <w:rFonts w:cs="Arial" w:ascii="Arial" w:hAnsi="Arial"/>
        <w:sz w:val="22"/>
        <w:szCs w:val="22"/>
        <w:lang w:val="sk-SK"/>
      </w:rPr>
      <w:t>Po</w:t>
    </w:r>
    <w:r>
      <w:rPr>
        <w:rFonts w:cs="Arial" w:ascii="Arial" w:hAnsi="Arial"/>
        <w:spacing w:val="1"/>
        <w:sz w:val="22"/>
        <w:szCs w:val="22"/>
        <w:lang w:val="sk-SK"/>
      </w:rPr>
      <w:t>z</w:t>
    </w:r>
    <w:r>
      <w:rPr>
        <w:rFonts w:cs="Arial" w:ascii="Arial" w:hAnsi="Arial"/>
        <w:sz w:val="22"/>
        <w:szCs w:val="22"/>
        <w:lang w:val="sk-SK"/>
      </w:rPr>
      <w:t>n</w:t>
    </w:r>
    <w:r>
      <w:rPr>
        <w:rFonts w:cs="Arial" w:ascii="Arial" w:hAnsi="Arial"/>
        <w:spacing w:val="-1"/>
        <w:sz w:val="22"/>
        <w:szCs w:val="22"/>
        <w:lang w:val="sk-SK"/>
      </w:rPr>
      <w:t>á</w:t>
    </w:r>
    <w:r>
      <w:rPr>
        <w:rFonts w:cs="Arial" w:ascii="Arial" w:hAnsi="Arial"/>
        <w:sz w:val="22"/>
        <w:szCs w:val="22"/>
        <w:lang w:val="sk-SK"/>
      </w:rPr>
      <w:t>m</w:t>
    </w:r>
    <w:r>
      <w:rPr>
        <w:rFonts w:cs="Arial" w:ascii="Arial" w:hAnsi="Arial"/>
        <w:spacing w:val="2"/>
        <w:sz w:val="22"/>
        <w:szCs w:val="22"/>
        <w:lang w:val="sk-SK"/>
      </w:rPr>
      <w:t>k</w:t>
    </w:r>
    <w:r>
      <w:rPr>
        <w:rFonts w:cs="Arial" w:ascii="Arial" w:hAnsi="Arial"/>
        <w:sz w:val="22"/>
        <w:szCs w:val="22"/>
        <w:lang w:val="sk-SK"/>
      </w:rPr>
      <w:t>y</w:t>
    </w:r>
    <w:r>
      <w:rPr>
        <w:rFonts w:cs="Arial" w:ascii="Arial" w:hAnsi="Arial"/>
        <w:spacing w:val="-8"/>
        <w:sz w:val="22"/>
        <w:szCs w:val="22"/>
        <w:lang w:val="sk-SK"/>
      </w:rPr>
      <w:t xml:space="preserve"> </w:t>
    </w:r>
    <w:r>
      <w:rPr>
        <w:rFonts w:cs="Arial" w:ascii="Arial" w:hAnsi="Arial"/>
        <w:spacing w:val="1"/>
        <w:sz w:val="22"/>
        <w:szCs w:val="22"/>
        <w:lang w:val="sk-SK"/>
      </w:rPr>
      <w:t>Ú</w:t>
    </w:r>
    <w:r>
      <w:rPr>
        <w:rFonts w:cs="Arial" w:ascii="Arial" w:hAnsi="Arial"/>
        <w:sz w:val="22"/>
        <w:szCs w:val="22"/>
        <w:lang w:val="sk-SK"/>
      </w:rPr>
      <w:t>č</w:t>
    </w:r>
    <w:r>
      <w:rPr>
        <w:rFonts w:cs="Arial" w:ascii="Arial" w:hAnsi="Arial"/>
        <w:sz w:val="22"/>
        <w:szCs w:val="22"/>
      </w:rPr>
      <w:t xml:space="preserve"> POD 3 –</w:t>
    </w:r>
    <w:r>
      <w:rPr>
        <w:rFonts w:cs="Arial" w:ascii="Arial" w:hAnsi="Arial"/>
        <w:spacing w:val="-1"/>
        <w:sz w:val="22"/>
        <w:szCs w:val="22"/>
      </w:rPr>
      <w:t xml:space="preserve"> </w:t>
    </w:r>
    <w:r>
      <w:rPr>
        <w:rFonts w:cs="Arial" w:ascii="Arial" w:hAnsi="Arial"/>
        <w:sz w:val="22"/>
        <w:szCs w:val="22"/>
      </w:rPr>
      <w:t xml:space="preserve">01                           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 xml:space="preserve">ČO: 46106481       </w:t>
    </w:r>
    <w:r>
      <w:rPr>
        <w:rFonts w:cs="Arial" w:ascii="Arial" w:hAnsi="Arial"/>
        <w:spacing w:val="1"/>
        <w:sz w:val="22"/>
        <w:szCs w:val="22"/>
      </w:rPr>
      <w:t>D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>Č: 2023227921</w:t>
    </w:r>
  </w:p>
  <w:p>
    <w:pPr>
      <w:pStyle w:val="Header"/>
      <w:rPr/>
    </w:pPr>
    <w:r>
      <w:rPr/>
    </w:r>
  </w:p>
</w:hdr>
</file>

<file path=word/header3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tabs>
        <w:tab w:val="clear" w:pos="113"/>
        <w:tab w:val="left" w:pos="2990" w:leader="none"/>
        <w:tab w:val="left" w:pos="6348" w:leader="none"/>
      </w:tabs>
      <w:ind w:hanging="0" w:left="-397"/>
      <w:jc w:val="center"/>
      <w:rPr/>
    </w:pPr>
    <w:r>
      <w:rPr>
        <w:rFonts w:cs="Arial" w:ascii="Arial" w:hAnsi="Arial"/>
        <w:sz w:val="22"/>
        <w:szCs w:val="22"/>
        <w:lang w:val="sk-SK"/>
      </w:rPr>
      <w:t>Po</w:t>
    </w:r>
    <w:r>
      <w:rPr>
        <w:rFonts w:cs="Arial" w:ascii="Arial" w:hAnsi="Arial"/>
        <w:spacing w:val="1"/>
        <w:sz w:val="22"/>
        <w:szCs w:val="22"/>
        <w:lang w:val="sk-SK"/>
      </w:rPr>
      <w:t>z</w:t>
    </w:r>
    <w:r>
      <w:rPr>
        <w:rFonts w:cs="Arial" w:ascii="Arial" w:hAnsi="Arial"/>
        <w:sz w:val="22"/>
        <w:szCs w:val="22"/>
        <w:lang w:val="sk-SK"/>
      </w:rPr>
      <w:t>n</w:t>
    </w:r>
    <w:r>
      <w:rPr>
        <w:rFonts w:cs="Arial" w:ascii="Arial" w:hAnsi="Arial"/>
        <w:spacing w:val="-1"/>
        <w:sz w:val="22"/>
        <w:szCs w:val="22"/>
        <w:lang w:val="sk-SK"/>
      </w:rPr>
      <w:t>á</w:t>
    </w:r>
    <w:r>
      <w:rPr>
        <w:rFonts w:cs="Arial" w:ascii="Arial" w:hAnsi="Arial"/>
        <w:sz w:val="22"/>
        <w:szCs w:val="22"/>
        <w:lang w:val="sk-SK"/>
      </w:rPr>
      <w:t>m</w:t>
    </w:r>
    <w:r>
      <w:rPr>
        <w:rFonts w:cs="Arial" w:ascii="Arial" w:hAnsi="Arial"/>
        <w:spacing w:val="2"/>
        <w:sz w:val="22"/>
        <w:szCs w:val="22"/>
        <w:lang w:val="sk-SK"/>
      </w:rPr>
      <w:t>k</w:t>
    </w:r>
    <w:r>
      <w:rPr>
        <w:rFonts w:cs="Arial" w:ascii="Arial" w:hAnsi="Arial"/>
        <w:sz w:val="22"/>
        <w:szCs w:val="22"/>
        <w:lang w:val="sk-SK"/>
      </w:rPr>
      <w:t>y</w:t>
    </w:r>
    <w:r>
      <w:rPr>
        <w:rFonts w:cs="Arial" w:ascii="Arial" w:hAnsi="Arial"/>
        <w:spacing w:val="-8"/>
        <w:sz w:val="22"/>
        <w:szCs w:val="22"/>
        <w:lang w:val="sk-SK"/>
      </w:rPr>
      <w:t xml:space="preserve"> </w:t>
    </w:r>
    <w:r>
      <w:rPr>
        <w:rFonts w:cs="Arial" w:ascii="Arial" w:hAnsi="Arial"/>
        <w:spacing w:val="1"/>
        <w:sz w:val="22"/>
        <w:szCs w:val="22"/>
        <w:lang w:val="sk-SK"/>
      </w:rPr>
      <w:t>Ú</w:t>
    </w:r>
    <w:r>
      <w:rPr>
        <w:rFonts w:cs="Arial" w:ascii="Arial" w:hAnsi="Arial"/>
        <w:sz w:val="22"/>
        <w:szCs w:val="22"/>
        <w:lang w:val="sk-SK"/>
      </w:rPr>
      <w:t>č</w:t>
    </w:r>
    <w:r>
      <w:rPr>
        <w:rFonts w:cs="Arial" w:ascii="Arial" w:hAnsi="Arial"/>
        <w:sz w:val="22"/>
        <w:szCs w:val="22"/>
      </w:rPr>
      <w:t xml:space="preserve"> POD 3 –</w:t>
    </w:r>
    <w:r>
      <w:rPr>
        <w:rFonts w:cs="Arial" w:ascii="Arial" w:hAnsi="Arial"/>
        <w:spacing w:val="-1"/>
        <w:sz w:val="22"/>
        <w:szCs w:val="22"/>
      </w:rPr>
      <w:t xml:space="preserve"> </w:t>
    </w:r>
    <w:r>
      <w:rPr>
        <w:rFonts w:cs="Arial" w:ascii="Arial" w:hAnsi="Arial"/>
        <w:sz w:val="22"/>
        <w:szCs w:val="22"/>
      </w:rPr>
      <w:t xml:space="preserve">01                           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 xml:space="preserve">ČO: 46106481       </w:t>
    </w:r>
    <w:r>
      <w:rPr>
        <w:rFonts w:cs="Arial" w:ascii="Arial" w:hAnsi="Arial"/>
        <w:spacing w:val="1"/>
        <w:sz w:val="22"/>
        <w:szCs w:val="22"/>
      </w:rPr>
      <w:t>D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>Č: 2023227921</w:t>
    </w:r>
  </w:p>
  <w:p>
    <w:pPr>
      <w:pStyle w:val="Header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pStyle w:val="Heading1"/>
      <w:numFmt w:val="decimal"/>
      <w:lvlText w:val="§ %1"/>
      <w:lvlJc w:val="center"/>
      <w:pPr>
        <w:tabs>
          <w:tab w:val="num" w:pos="5220"/>
        </w:tabs>
        <w:ind w:left="4500" w:firstLine="360"/>
      </w:pPr>
      <w:rPr>
        <w:smallCaps w:val="false"/>
        <w:caps w:val="false"/>
        <w:dstrike w:val="false"/>
        <w:strike w:val="false"/>
        <w:vertAlign w:val="baseline"/>
        <w:position w:val="0"/>
        <w:sz w:val="24"/>
        <w:sz w:val="24"/>
        <w:spacing w:val="0"/>
        <w:i w:val="false"/>
        <w:u w:val="none"/>
        <w:b w:val="false"/>
        <w:kern w:val="2"/>
        <w:szCs w:val="24"/>
        <w:iCs w:val="false"/>
        <w:bCs w:val="false"/>
        <w:w w:val="100"/>
        <w:vanish w:val="false"/>
        <w:rFonts w:ascii="Times New Roman" w:hAnsi="Times New Roman" w:cs="Times New Roman"/>
        <w:color w:val="00000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</w:abstractNum>
  <w:abstractNum w:abstractNumId="2"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 w:hint="default"/>
        <w:sz w:val="22"/>
        <w:szCs w:val="22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/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/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/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/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/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/>
    </w:lvl>
  </w:abstractNum>
  <w:abstractNum w:abstractNumId="3"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/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/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/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/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/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/>
    </w:lvl>
  </w:abstractNum>
  <w:abstractNum w:abstractNumId="4"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/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/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/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/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/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/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/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</w:numbering>
</file>

<file path=word/settings.xml><?xml version="1.0" encoding="utf-8"?>
<w:settings xmlns:w="http://schemas.openxmlformats.org/wordprocessingml/2006/main">
  <w:zoom w:percent="100"/>
  <w:displayBackgroundShape/>
  <w:embedSystemFonts/>
  <w:defaultTabStop w:val="113"/>
  <w:autoHyphenation w:val="true"/>
  <w:compat>
    <w:compatSetting w:name="compatibilityMode" w:uri="http://schemas.microsoft.com/office/word" w:val="12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Times New Roman" w:hAnsi="Times New Roman" w:eastAsia="Times New Roman" w:cs="Times New Roman"/>
        <w:lang w:val="sk-SK" w:eastAsia="sk-SK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pPr>
      <w:widowControl/>
      <w:suppressAutoHyphens w:val="true"/>
      <w:bidi w:val="0"/>
      <w:spacing w:before="0" w:after="0"/>
      <w:jc w:val="left"/>
    </w:pPr>
    <w:rPr>
      <w:rFonts w:ascii="Times New Roman" w:hAnsi="Times New Roman" w:eastAsia="Times New Roman" w:cs="Times New Roman"/>
      <w:color w:val="auto"/>
      <w:kern w:val="0"/>
      <w:sz w:val="24"/>
      <w:szCs w:val="24"/>
      <w:lang w:val="sk-SK" w:eastAsia="zh-CN" w:bidi="ar-SA"/>
    </w:rPr>
  </w:style>
  <w:style w:type="paragraph" w:styleId="Heading1">
    <w:name w:val="Heading 1"/>
    <w:basedOn w:val="Normal"/>
    <w:next w:val="Heading2"/>
    <w:qFormat/>
    <w:pPr>
      <w:keepNext w:val="true"/>
      <w:numPr>
        <w:ilvl w:val="0"/>
        <w:numId w:val="1"/>
      </w:numPr>
      <w:tabs>
        <w:tab w:val="clear" w:pos="113"/>
        <w:tab w:val="left" w:pos="5220" w:leader="none"/>
      </w:tabs>
      <w:spacing w:before="240" w:after="60"/>
      <w:jc w:val="center"/>
      <w:outlineLvl w:val="0"/>
    </w:pPr>
    <w:rPr>
      <w:b/>
      <w:bCs/>
      <w:kern w:val="2"/>
    </w:rPr>
  </w:style>
  <w:style w:type="paragraph" w:styleId="Heading2">
    <w:name w:val="Heading 2"/>
    <w:basedOn w:val="Normal"/>
    <w:next w:val="Normal"/>
    <w:qFormat/>
    <w:pPr>
      <w:keepNext w:val="true"/>
      <w:spacing w:before="0" w:after="120"/>
      <w:jc w:val="center"/>
      <w:outlineLvl w:val="1"/>
    </w:pPr>
    <w:rPr>
      <w:b/>
      <w:bCs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WW8Num1z0" w:customStyle="1">
    <w:name w:val="WW8Num1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0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2z0" w:customStyle="1">
    <w:name w:val="WW8Num2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0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3z0" w:customStyle="1">
    <w:name w:val="WW8Num3z0"/>
    <w:qFormat/>
    <w:rPr>
      <w:rFonts w:ascii="Wingdings" w:hAnsi="Wingdings" w:cs="Wingdings"/>
      <w:sz w:val="22"/>
      <w:szCs w:val="22"/>
    </w:rPr>
  </w:style>
  <w:style w:type="character" w:styleId="WW8Num4z0" w:customStyle="1">
    <w:name w:val="WW8Num4z0"/>
    <w:qFormat/>
    <w:rPr>
      <w:rFonts w:ascii="Arial Narrow" w:hAnsi="Arial Narrow" w:cs="Arial Narrow"/>
    </w:rPr>
  </w:style>
  <w:style w:type="character" w:styleId="WW8Num5z0" w:customStyle="1">
    <w:name w:val="WW8Num5z0"/>
    <w:qFormat/>
    <w:rPr/>
  </w:style>
  <w:style w:type="character" w:styleId="Predvolenpsmoodseku3" w:customStyle="1">
    <w:name w:val="Predvolené písmo odseku3"/>
    <w:qFormat/>
    <w:rPr/>
  </w:style>
  <w:style w:type="character" w:styleId="WW8Num6z0" w:customStyle="1">
    <w:name w:val="WW8Num6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0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7z0" w:customStyle="1">
    <w:name w:val="WW8Num7z0"/>
    <w:qFormat/>
    <w:rPr/>
  </w:style>
  <w:style w:type="character" w:styleId="Predvolenpsmoodseku2" w:customStyle="1">
    <w:name w:val="Predvolené písmo odseku2"/>
    <w:qFormat/>
    <w:rPr/>
  </w:style>
  <w:style w:type="character" w:styleId="WW8Num2z1" w:customStyle="1">
    <w:name w:val="WW8Num2z1"/>
    <w:qFormat/>
    <w:rPr>
      <w:rFonts w:ascii="Courier New" w:hAnsi="Courier New" w:cs="Courier New"/>
    </w:rPr>
  </w:style>
  <w:style w:type="character" w:styleId="WW8Num2z3" w:customStyle="1">
    <w:name w:val="WW8Num2z3"/>
    <w:qFormat/>
    <w:rPr>
      <w:rFonts w:ascii="Symbol" w:hAnsi="Symbol" w:cs="Symbol"/>
    </w:rPr>
  </w:style>
  <w:style w:type="character" w:styleId="WW8Num3z1" w:customStyle="1">
    <w:name w:val="WW8Num3z1"/>
    <w:qFormat/>
    <w:rPr>
      <w:rFonts w:ascii="Courier New" w:hAnsi="Courier New" w:cs="Courier New"/>
    </w:rPr>
  </w:style>
  <w:style w:type="character" w:styleId="WW8Num3z3" w:customStyle="1">
    <w:name w:val="WW8Num3z3"/>
    <w:qFormat/>
    <w:rPr>
      <w:rFonts w:ascii="Symbol" w:hAnsi="Symbol" w:cs="Symbol"/>
    </w:rPr>
  </w:style>
  <w:style w:type="character" w:styleId="WW8Num4z1" w:customStyle="1">
    <w:name w:val="WW8Num4z1"/>
    <w:qFormat/>
    <w:rPr/>
  </w:style>
  <w:style w:type="character" w:styleId="WW8Num4z2" w:customStyle="1">
    <w:name w:val="WW8Num4z2"/>
    <w:qFormat/>
    <w:rPr/>
  </w:style>
  <w:style w:type="character" w:styleId="WW8Num4z3" w:customStyle="1">
    <w:name w:val="WW8Num4z3"/>
    <w:qFormat/>
    <w:rPr/>
  </w:style>
  <w:style w:type="character" w:styleId="WW8Num4z4" w:customStyle="1">
    <w:name w:val="WW8Num4z4"/>
    <w:qFormat/>
    <w:rPr/>
  </w:style>
  <w:style w:type="character" w:styleId="WW8Num4z5" w:customStyle="1">
    <w:name w:val="WW8Num4z5"/>
    <w:qFormat/>
    <w:rPr/>
  </w:style>
  <w:style w:type="character" w:styleId="WW8Num4z6" w:customStyle="1">
    <w:name w:val="WW8Num4z6"/>
    <w:qFormat/>
    <w:rPr/>
  </w:style>
  <w:style w:type="character" w:styleId="WW8Num4z7" w:customStyle="1">
    <w:name w:val="WW8Num4z7"/>
    <w:qFormat/>
    <w:rPr/>
  </w:style>
  <w:style w:type="character" w:styleId="WW8Num4z8" w:customStyle="1">
    <w:name w:val="WW8Num4z8"/>
    <w:qFormat/>
    <w:rPr/>
  </w:style>
  <w:style w:type="character" w:styleId="WW8Num5z1" w:customStyle="1">
    <w:name w:val="WW8Num5z1"/>
    <w:qFormat/>
    <w:rPr>
      <w:rFonts w:ascii="Courier New" w:hAnsi="Courier New" w:cs="Courier New"/>
    </w:rPr>
  </w:style>
  <w:style w:type="character" w:styleId="WW8Num5z3" w:customStyle="1">
    <w:name w:val="WW8Num5z3"/>
    <w:qFormat/>
    <w:rPr>
      <w:rFonts w:ascii="Symbol" w:hAnsi="Symbol" w:cs="Symbol"/>
    </w:rPr>
  </w:style>
  <w:style w:type="character" w:styleId="WW8Num6z1" w:customStyle="1">
    <w:name w:val="WW8Num6z1"/>
    <w:qFormat/>
    <w:rPr>
      <w:rFonts w:ascii="Courier New" w:hAnsi="Courier New" w:cs="Courier New"/>
    </w:rPr>
  </w:style>
  <w:style w:type="character" w:styleId="WW8Num6z3" w:customStyle="1">
    <w:name w:val="WW8Num6z3"/>
    <w:qFormat/>
    <w:rPr>
      <w:rFonts w:ascii="Symbol" w:hAnsi="Symbol" w:cs="Symbol"/>
    </w:rPr>
  </w:style>
  <w:style w:type="character" w:styleId="WW8Num7z1" w:customStyle="1">
    <w:name w:val="WW8Num7z1"/>
    <w:qFormat/>
    <w:rPr>
      <w:rFonts w:ascii="Courier New" w:hAnsi="Courier New" w:cs="Courier New"/>
    </w:rPr>
  </w:style>
  <w:style w:type="character" w:styleId="WW8Num7z3" w:customStyle="1">
    <w:name w:val="WW8Num7z3"/>
    <w:qFormat/>
    <w:rPr>
      <w:rFonts w:ascii="Symbol" w:hAnsi="Symbol" w:cs="Symbol"/>
    </w:rPr>
  </w:style>
  <w:style w:type="character" w:styleId="WW8Num8z0" w:customStyle="1">
    <w:name w:val="WW8Num8z0"/>
    <w:qFormat/>
    <w:rPr/>
  </w:style>
  <w:style w:type="character" w:styleId="WW8Num8z1" w:customStyle="1">
    <w:name w:val="WW8Num8z1"/>
    <w:qFormat/>
    <w:rPr/>
  </w:style>
  <w:style w:type="character" w:styleId="WW8Num8z2" w:customStyle="1">
    <w:name w:val="WW8Num8z2"/>
    <w:qFormat/>
    <w:rPr/>
  </w:style>
  <w:style w:type="character" w:styleId="WW8Num8z3" w:customStyle="1">
    <w:name w:val="WW8Num8z3"/>
    <w:qFormat/>
    <w:rPr/>
  </w:style>
  <w:style w:type="character" w:styleId="WW8Num8z4" w:customStyle="1">
    <w:name w:val="WW8Num8z4"/>
    <w:qFormat/>
    <w:rPr/>
  </w:style>
  <w:style w:type="character" w:styleId="WW8Num8z5" w:customStyle="1">
    <w:name w:val="WW8Num8z5"/>
    <w:qFormat/>
    <w:rPr/>
  </w:style>
  <w:style w:type="character" w:styleId="WW8Num8z6" w:customStyle="1">
    <w:name w:val="WW8Num8z6"/>
    <w:qFormat/>
    <w:rPr/>
  </w:style>
  <w:style w:type="character" w:styleId="WW8Num8z7" w:customStyle="1">
    <w:name w:val="WW8Num8z7"/>
    <w:qFormat/>
    <w:rPr/>
  </w:style>
  <w:style w:type="character" w:styleId="WW8Num8z8" w:customStyle="1">
    <w:name w:val="WW8Num8z8"/>
    <w:qFormat/>
    <w:rPr/>
  </w:style>
  <w:style w:type="character" w:styleId="WW8Num9z0" w:customStyle="1">
    <w:name w:val="WW8Num9z0"/>
    <w:qFormat/>
    <w:rPr/>
  </w:style>
  <w:style w:type="character" w:styleId="WW8Num9z1" w:customStyle="1">
    <w:name w:val="WW8Num9z1"/>
    <w:qFormat/>
    <w:rPr/>
  </w:style>
  <w:style w:type="character" w:styleId="WW8Num9z2" w:customStyle="1">
    <w:name w:val="WW8Num9z2"/>
    <w:qFormat/>
    <w:rPr/>
  </w:style>
  <w:style w:type="character" w:styleId="WW8Num9z3" w:customStyle="1">
    <w:name w:val="WW8Num9z3"/>
    <w:qFormat/>
    <w:rPr/>
  </w:style>
  <w:style w:type="character" w:styleId="WW8Num9z4" w:customStyle="1">
    <w:name w:val="WW8Num9z4"/>
    <w:qFormat/>
    <w:rPr/>
  </w:style>
  <w:style w:type="character" w:styleId="WW8Num9z5" w:customStyle="1">
    <w:name w:val="WW8Num9z5"/>
    <w:qFormat/>
    <w:rPr/>
  </w:style>
  <w:style w:type="character" w:styleId="WW8Num9z6" w:customStyle="1">
    <w:name w:val="WW8Num9z6"/>
    <w:qFormat/>
    <w:rPr/>
  </w:style>
  <w:style w:type="character" w:styleId="WW8Num9z7" w:customStyle="1">
    <w:name w:val="WW8Num9z7"/>
    <w:qFormat/>
    <w:rPr/>
  </w:style>
  <w:style w:type="character" w:styleId="WW8Num9z8" w:customStyle="1">
    <w:name w:val="WW8Num9z8"/>
    <w:qFormat/>
    <w:rPr/>
  </w:style>
  <w:style w:type="character" w:styleId="WW8Num10z0" w:customStyle="1">
    <w:name w:val="WW8Num10z0"/>
    <w:qFormat/>
    <w:rPr>
      <w:rFonts w:ascii="Arial Narrow" w:hAnsi="Arial Narrow" w:eastAsia="Times New Roman" w:cs="Arial Narrow"/>
    </w:rPr>
  </w:style>
  <w:style w:type="character" w:styleId="WW8Num10z1" w:customStyle="1">
    <w:name w:val="WW8Num10z1"/>
    <w:qFormat/>
    <w:rPr>
      <w:rFonts w:ascii="Courier New" w:hAnsi="Courier New" w:cs="Courier New"/>
    </w:rPr>
  </w:style>
  <w:style w:type="character" w:styleId="WW8Num10z2" w:customStyle="1">
    <w:name w:val="WW8Num10z2"/>
    <w:qFormat/>
    <w:rPr>
      <w:rFonts w:ascii="Wingdings" w:hAnsi="Wingdings" w:cs="Wingdings"/>
    </w:rPr>
  </w:style>
  <w:style w:type="character" w:styleId="WW8Num10z3" w:customStyle="1">
    <w:name w:val="WW8Num10z3"/>
    <w:qFormat/>
    <w:rPr>
      <w:rFonts w:ascii="Symbol" w:hAnsi="Symbol" w:cs="Symbol"/>
    </w:rPr>
  </w:style>
  <w:style w:type="character" w:styleId="WW8Num11z0" w:customStyle="1">
    <w:name w:val="WW8Num11z0"/>
    <w:qFormat/>
    <w:rPr>
      <w:rFonts w:ascii="Wingdings" w:hAnsi="Wingdings" w:cs="Wingdings"/>
    </w:rPr>
  </w:style>
  <w:style w:type="character" w:styleId="WW8Num11z1" w:customStyle="1">
    <w:name w:val="WW8Num11z1"/>
    <w:qFormat/>
    <w:rPr>
      <w:rFonts w:ascii="Courier New" w:hAnsi="Courier New" w:cs="Courier New"/>
    </w:rPr>
  </w:style>
  <w:style w:type="character" w:styleId="WW8Num11z3" w:customStyle="1">
    <w:name w:val="WW8Num11z3"/>
    <w:qFormat/>
    <w:rPr>
      <w:rFonts w:ascii="Symbol" w:hAnsi="Symbol" w:cs="Symbol"/>
    </w:rPr>
  </w:style>
  <w:style w:type="character" w:styleId="WW8Num12z0" w:customStyle="1">
    <w:name w:val="WW8Num12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0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12z1" w:customStyle="1">
    <w:name w:val="WW8Num12z1"/>
    <w:qFormat/>
    <w:rPr/>
  </w:style>
  <w:style w:type="character" w:styleId="WW8Num12z2" w:customStyle="1">
    <w:name w:val="WW8Num12z2"/>
    <w:qFormat/>
    <w:rPr/>
  </w:style>
  <w:style w:type="character" w:styleId="WW8Num12z3" w:customStyle="1">
    <w:name w:val="WW8Num12z3"/>
    <w:qFormat/>
    <w:rPr/>
  </w:style>
  <w:style w:type="character" w:styleId="WW8Num12z4" w:customStyle="1">
    <w:name w:val="WW8Num12z4"/>
    <w:qFormat/>
    <w:rPr/>
  </w:style>
  <w:style w:type="character" w:styleId="WW8Num12z5" w:customStyle="1">
    <w:name w:val="WW8Num12z5"/>
    <w:qFormat/>
    <w:rPr/>
  </w:style>
  <w:style w:type="character" w:styleId="WW8Num12z6" w:customStyle="1">
    <w:name w:val="WW8Num12z6"/>
    <w:qFormat/>
    <w:rPr/>
  </w:style>
  <w:style w:type="character" w:styleId="WW8Num12z7" w:customStyle="1">
    <w:name w:val="WW8Num12z7"/>
    <w:qFormat/>
    <w:rPr/>
  </w:style>
  <w:style w:type="character" w:styleId="WW8Num12z8" w:customStyle="1">
    <w:name w:val="WW8Num12z8"/>
    <w:qFormat/>
    <w:rPr/>
  </w:style>
  <w:style w:type="character" w:styleId="WW8Num13z0" w:customStyle="1">
    <w:name w:val="WW8Num13z0"/>
    <w:qFormat/>
    <w:rPr/>
  </w:style>
  <w:style w:type="character" w:styleId="WW8Num13z1" w:customStyle="1">
    <w:name w:val="WW8Num13z1"/>
    <w:qFormat/>
    <w:rPr/>
  </w:style>
  <w:style w:type="character" w:styleId="WW8Num13z2" w:customStyle="1">
    <w:name w:val="WW8Num13z2"/>
    <w:qFormat/>
    <w:rPr/>
  </w:style>
  <w:style w:type="character" w:styleId="WW8Num13z3" w:customStyle="1">
    <w:name w:val="WW8Num13z3"/>
    <w:qFormat/>
    <w:rPr/>
  </w:style>
  <w:style w:type="character" w:styleId="WW8Num13z4" w:customStyle="1">
    <w:name w:val="WW8Num13z4"/>
    <w:qFormat/>
    <w:rPr/>
  </w:style>
  <w:style w:type="character" w:styleId="WW8Num13z5" w:customStyle="1">
    <w:name w:val="WW8Num13z5"/>
    <w:qFormat/>
    <w:rPr/>
  </w:style>
  <w:style w:type="character" w:styleId="WW8Num13z6" w:customStyle="1">
    <w:name w:val="WW8Num13z6"/>
    <w:qFormat/>
    <w:rPr/>
  </w:style>
  <w:style w:type="character" w:styleId="WW8Num13z7" w:customStyle="1">
    <w:name w:val="WW8Num13z7"/>
    <w:qFormat/>
    <w:rPr/>
  </w:style>
  <w:style w:type="character" w:styleId="WW8Num13z8" w:customStyle="1">
    <w:name w:val="WW8Num13z8"/>
    <w:qFormat/>
    <w:rPr/>
  </w:style>
  <w:style w:type="character" w:styleId="WW8Num14z0" w:customStyle="1">
    <w:name w:val="WW8Num14z0"/>
    <w:qFormat/>
    <w:rPr>
      <w:rFonts w:ascii="Wingdings" w:hAnsi="Wingdings" w:cs="Wingdings"/>
    </w:rPr>
  </w:style>
  <w:style w:type="character" w:styleId="WW8Num14z1" w:customStyle="1">
    <w:name w:val="WW8Num14z1"/>
    <w:qFormat/>
    <w:rPr>
      <w:rFonts w:ascii="Courier New" w:hAnsi="Courier New" w:cs="Courier New"/>
    </w:rPr>
  </w:style>
  <w:style w:type="character" w:styleId="WW8Num14z3" w:customStyle="1">
    <w:name w:val="WW8Num14z3"/>
    <w:qFormat/>
    <w:rPr>
      <w:rFonts w:ascii="Symbol" w:hAnsi="Symbol" w:cs="Symbol"/>
    </w:rPr>
  </w:style>
  <w:style w:type="character" w:styleId="WW8Num15z0" w:customStyle="1">
    <w:name w:val="WW8Num15z0"/>
    <w:qFormat/>
    <w:rPr/>
  </w:style>
  <w:style w:type="character" w:styleId="WW8Num15z1" w:customStyle="1">
    <w:name w:val="WW8Num15z1"/>
    <w:qFormat/>
    <w:rPr/>
  </w:style>
  <w:style w:type="character" w:styleId="WW8Num15z2" w:customStyle="1">
    <w:name w:val="WW8Num15z2"/>
    <w:qFormat/>
    <w:rPr/>
  </w:style>
  <w:style w:type="character" w:styleId="WW8Num15z3" w:customStyle="1">
    <w:name w:val="WW8Num15z3"/>
    <w:qFormat/>
    <w:rPr/>
  </w:style>
  <w:style w:type="character" w:styleId="WW8Num15z4" w:customStyle="1">
    <w:name w:val="WW8Num15z4"/>
    <w:qFormat/>
    <w:rPr/>
  </w:style>
  <w:style w:type="character" w:styleId="WW8Num15z5" w:customStyle="1">
    <w:name w:val="WW8Num15z5"/>
    <w:qFormat/>
    <w:rPr/>
  </w:style>
  <w:style w:type="character" w:styleId="WW8Num15z6" w:customStyle="1">
    <w:name w:val="WW8Num15z6"/>
    <w:qFormat/>
    <w:rPr/>
  </w:style>
  <w:style w:type="character" w:styleId="WW8Num15z7" w:customStyle="1">
    <w:name w:val="WW8Num15z7"/>
    <w:qFormat/>
    <w:rPr/>
  </w:style>
  <w:style w:type="character" w:styleId="WW8Num15z8" w:customStyle="1">
    <w:name w:val="WW8Num15z8"/>
    <w:qFormat/>
    <w:rPr/>
  </w:style>
  <w:style w:type="character" w:styleId="WW8Num16z0" w:customStyle="1">
    <w:name w:val="WW8Num16z0"/>
    <w:qFormat/>
    <w:rPr>
      <w:rFonts w:ascii="Wingdings" w:hAnsi="Wingdings" w:cs="Wingdings"/>
    </w:rPr>
  </w:style>
  <w:style w:type="character" w:styleId="WW8Num16z1" w:customStyle="1">
    <w:name w:val="WW8Num16z1"/>
    <w:qFormat/>
    <w:rPr>
      <w:rFonts w:ascii="Courier New" w:hAnsi="Courier New" w:cs="Courier New"/>
    </w:rPr>
  </w:style>
  <w:style w:type="character" w:styleId="WW8Num16z3" w:customStyle="1">
    <w:name w:val="WW8Num16z3"/>
    <w:qFormat/>
    <w:rPr>
      <w:rFonts w:ascii="Symbol" w:hAnsi="Symbol" w:cs="Symbol"/>
    </w:rPr>
  </w:style>
  <w:style w:type="character" w:styleId="WW8Num17z0" w:customStyle="1">
    <w:name w:val="WW8Num17z0"/>
    <w:qFormat/>
    <w:rPr/>
  </w:style>
  <w:style w:type="character" w:styleId="WW8Num17z1" w:customStyle="1">
    <w:name w:val="WW8Num17z1"/>
    <w:qFormat/>
    <w:rPr/>
  </w:style>
  <w:style w:type="character" w:styleId="WW8Num17z2" w:customStyle="1">
    <w:name w:val="WW8Num17z2"/>
    <w:qFormat/>
    <w:rPr/>
  </w:style>
  <w:style w:type="character" w:styleId="WW8Num17z3" w:customStyle="1">
    <w:name w:val="WW8Num17z3"/>
    <w:qFormat/>
    <w:rPr/>
  </w:style>
  <w:style w:type="character" w:styleId="WW8Num17z4" w:customStyle="1">
    <w:name w:val="WW8Num17z4"/>
    <w:qFormat/>
    <w:rPr/>
  </w:style>
  <w:style w:type="character" w:styleId="WW8Num17z5" w:customStyle="1">
    <w:name w:val="WW8Num17z5"/>
    <w:qFormat/>
    <w:rPr/>
  </w:style>
  <w:style w:type="character" w:styleId="WW8Num17z6" w:customStyle="1">
    <w:name w:val="WW8Num17z6"/>
    <w:qFormat/>
    <w:rPr/>
  </w:style>
  <w:style w:type="character" w:styleId="WW8Num17z7" w:customStyle="1">
    <w:name w:val="WW8Num17z7"/>
    <w:qFormat/>
    <w:rPr/>
  </w:style>
  <w:style w:type="character" w:styleId="WW8Num17z8" w:customStyle="1">
    <w:name w:val="WW8Num17z8"/>
    <w:qFormat/>
    <w:rPr/>
  </w:style>
  <w:style w:type="character" w:styleId="Predvolenpsmoodseku1" w:customStyle="1">
    <w:name w:val="Predvolené písmo odseku1"/>
    <w:qFormat/>
    <w:rPr/>
  </w:style>
  <w:style w:type="character" w:styleId="Nadpis1Char" w:customStyle="1">
    <w:name w:val="Nadpis 1 Char"/>
    <w:qFormat/>
    <w:rPr>
      <w:b/>
      <w:bCs/>
      <w:kern w:val="2"/>
      <w:sz w:val="24"/>
      <w:szCs w:val="24"/>
      <w:lang w:val="sk-SK"/>
    </w:rPr>
  </w:style>
  <w:style w:type="character" w:styleId="Nadpis2Char" w:customStyle="1">
    <w:name w:val="Nadpis 2 Char"/>
    <w:qFormat/>
    <w:rPr>
      <w:rFonts w:ascii="Cambria" w:hAnsi="Cambria" w:eastAsia="Times New Roman" w:cs="Cambria"/>
      <w:b/>
      <w:bCs/>
      <w:i/>
      <w:iCs/>
      <w:sz w:val="28"/>
      <w:szCs w:val="28"/>
    </w:rPr>
  </w:style>
  <w:style w:type="character" w:styleId="TextpoznmkypodiarouChar" w:customStyle="1">
    <w:name w:val="Text poznámky pod čiarou Char"/>
    <w:qFormat/>
    <w:rPr>
      <w:sz w:val="20"/>
      <w:szCs w:val="20"/>
    </w:rPr>
  </w:style>
  <w:style w:type="character" w:styleId="Znakyprepoznmkupodiarou" w:customStyle="1">
    <w:name w:val="Znaky pre poznámku pod čiarou"/>
    <w:qFormat/>
    <w:rPr>
      <w:vertAlign w:val="superscript"/>
    </w:rPr>
  </w:style>
  <w:style w:type="character" w:styleId="PtaChar" w:customStyle="1">
    <w:name w:val="Päta Char"/>
    <w:qFormat/>
    <w:rPr>
      <w:sz w:val="24"/>
      <w:szCs w:val="24"/>
    </w:rPr>
  </w:style>
  <w:style w:type="character" w:styleId="Pagenumber">
    <w:name w:val="page number"/>
    <w:basedOn w:val="Predvolenpsmoodseku1"/>
    <w:qFormat/>
    <w:rPr/>
  </w:style>
  <w:style w:type="character" w:styleId="NzovChar" w:customStyle="1">
    <w:name w:val="Názov Char"/>
    <w:qFormat/>
    <w:rPr>
      <w:rFonts w:ascii="Arial Narrow" w:hAnsi="Arial Narrow" w:cs="Arial Narrow"/>
      <w:b/>
      <w:bCs/>
      <w:kern w:val="2"/>
      <w:sz w:val="32"/>
      <w:szCs w:val="32"/>
      <w:lang w:val="sk-SK"/>
    </w:rPr>
  </w:style>
  <w:style w:type="character" w:styleId="HlavikaChar" w:customStyle="1">
    <w:name w:val="Hlavička Char"/>
    <w:qFormat/>
    <w:rPr>
      <w:sz w:val="24"/>
      <w:szCs w:val="24"/>
      <w:lang w:val="sk-SK"/>
    </w:rPr>
  </w:style>
  <w:style w:type="character" w:styleId="ZkladntextChar" w:customStyle="1">
    <w:name w:val="Základný text Char"/>
    <w:qFormat/>
    <w:rPr>
      <w:sz w:val="24"/>
      <w:szCs w:val="24"/>
      <w:lang w:val="en-US"/>
    </w:rPr>
  </w:style>
  <w:style w:type="character" w:styleId="Ra" w:customStyle="1">
    <w:name w:val="ra"/>
    <w:basedOn w:val="Predvolenpsmoodseku3"/>
    <w:qFormat/>
    <w:rPr/>
  </w:style>
  <w:style w:type="paragraph" w:styleId="Nadpis" w:customStyle="1">
    <w:name w:val="Nadpis"/>
    <w:basedOn w:val="Normal"/>
    <w:next w:val="Normal"/>
    <w:qFormat/>
    <w:pPr>
      <w:keepNext w:val="true"/>
      <w:spacing w:before="280" w:after="220"/>
      <w:jc w:val="center"/>
    </w:pPr>
    <w:rPr>
      <w:rFonts w:ascii="Arial Narrow" w:hAnsi="Arial Narrow" w:cs="Arial Narrow"/>
      <w:b/>
      <w:bCs/>
      <w:kern w:val="2"/>
      <w:sz w:val="22"/>
      <w:szCs w:val="22"/>
    </w:rPr>
  </w:style>
  <w:style w:type="paragraph" w:styleId="BodyText">
    <w:name w:val="Body Text"/>
    <w:basedOn w:val="Normal"/>
    <w:pPr>
      <w:widowControl w:val="false"/>
      <w:ind w:hanging="567" w:left="668"/>
    </w:pPr>
    <w:rPr>
      <w:lang w:val="en-US"/>
    </w:rPr>
  </w:style>
  <w:style w:type="paragraph" w:styleId="List">
    <w:name w:val="List"/>
    <w:basedOn w:val="BodyText"/>
    <w:pPr/>
    <w:rPr>
      <w:rFonts w:cs="Mangal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Register" w:customStyle="1">
    <w:name w:val="Register"/>
    <w:basedOn w:val="Normal"/>
    <w:qFormat/>
    <w:pPr>
      <w:suppressLineNumbers/>
    </w:pPr>
    <w:rPr>
      <w:rFonts w:cs="Mangal"/>
    </w:rPr>
  </w:style>
  <w:style w:type="paragraph" w:styleId="Caption1">
    <w:name w:val="caption1"/>
    <w:basedOn w:val="Normal"/>
    <w:qFormat/>
    <w:pPr>
      <w:suppressLineNumbers/>
      <w:spacing w:before="120" w:after="120"/>
    </w:pPr>
    <w:rPr>
      <w:rFonts w:cs="Mangal"/>
      <w:i/>
      <w:iCs/>
    </w:rPr>
  </w:style>
  <w:style w:type="paragraph" w:styleId="Zkladntext" w:customStyle="1">
    <w:name w:val="Základní text"/>
    <w:qFormat/>
    <w:pPr>
      <w:widowControl/>
      <w:suppressAutoHyphens w:val="true"/>
      <w:bidi w:val="0"/>
      <w:spacing w:before="0" w:after="240"/>
      <w:jc w:val="both"/>
    </w:pPr>
    <w:rPr>
      <w:rFonts w:ascii="Times New Roman" w:hAnsi="Times New Roman" w:eastAsia="Times New Roman" w:cs="Times New Roman"/>
      <w:color w:val="000000"/>
      <w:kern w:val="0"/>
      <w:sz w:val="24"/>
      <w:szCs w:val="24"/>
      <w:lang w:val="sk-SK" w:eastAsia="zh-CN" w:bidi="ar-SA"/>
    </w:rPr>
  </w:style>
  <w:style w:type="paragraph" w:styleId="FootnoteText">
    <w:name w:val="Footnote Text"/>
    <w:basedOn w:val="Normal"/>
    <w:pPr/>
    <w:rPr>
      <w:sz w:val="20"/>
      <w:szCs w:val="20"/>
    </w:rPr>
  </w:style>
  <w:style w:type="paragraph" w:styleId="Hlavikaapta" w:customStyle="1">
    <w:name w:val="Hlavička a päta"/>
    <w:basedOn w:val="Normal"/>
    <w:qFormat/>
    <w:pPr>
      <w:suppressLineNumbers/>
      <w:tabs>
        <w:tab w:val="clear" w:pos="113"/>
        <w:tab w:val="center" w:pos="4819" w:leader="none"/>
        <w:tab w:val="right" w:pos="9638" w:leader="none"/>
      </w:tabs>
    </w:pPr>
    <w:rPr/>
  </w:style>
  <w:style w:type="paragraph" w:styleId="Footer">
    <w:name w:val="Footer"/>
    <w:basedOn w:val="Normal"/>
    <w:pPr>
      <w:tabs>
        <w:tab w:val="clear" w:pos="113"/>
        <w:tab w:val="center" w:pos="4536" w:leader="none"/>
        <w:tab w:val="right" w:pos="9072" w:leader="none"/>
      </w:tabs>
    </w:pPr>
    <w:rPr/>
  </w:style>
  <w:style w:type="paragraph" w:styleId="TopHeader" w:customStyle="1">
    <w:name w:val="Top Header"/>
    <w:basedOn w:val="Normal"/>
    <w:qFormat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eader">
    <w:name w:val="Header"/>
    <w:basedOn w:val="Normal"/>
    <w:pPr>
      <w:tabs>
        <w:tab w:val="clear" w:pos="113"/>
        <w:tab w:val="center" w:pos="4703" w:leader="none"/>
        <w:tab w:val="right" w:pos="9406" w:leader="none"/>
      </w:tabs>
    </w:pPr>
    <w:rPr/>
  </w:style>
  <w:style w:type="paragraph" w:styleId="Obsahtabuky" w:customStyle="1">
    <w:name w:val="Obsah tabuľky"/>
    <w:basedOn w:val="Normal"/>
    <w:qFormat/>
    <w:pPr>
      <w:suppressLineNumbers/>
    </w:pPr>
    <w:rPr/>
  </w:style>
  <w:style w:type="paragraph" w:styleId="Nadpistabuky" w:customStyle="1">
    <w:name w:val="Nadpis tabuľky"/>
    <w:basedOn w:val="Obsahtabuky"/>
    <w:qFormat/>
    <w:pPr>
      <w:jc w:val="center"/>
    </w:pPr>
    <w:rPr>
      <w:b/>
      <w:bCs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header" Target="header2.xml"/><Relationship Id="rId4" Type="http://schemas.openxmlformats.org/officeDocument/2006/relationships/header" Target="header3.xml"/><Relationship Id="rId5" Type="http://schemas.openxmlformats.org/officeDocument/2006/relationships/footer" Target="footer1.xml"/><Relationship Id="rId6" Type="http://schemas.openxmlformats.org/officeDocument/2006/relationships/footer" Target="footer2.xml"/><Relationship Id="rId7" Type="http://schemas.openxmlformats.org/officeDocument/2006/relationships/footer" Target="footer3.xml"/><Relationship Id="rId8" Type="http://schemas.openxmlformats.org/officeDocument/2006/relationships/numbering" Target="numbering.xml"/><Relationship Id="rId9" Type="http://schemas.openxmlformats.org/officeDocument/2006/relationships/fontTable" Target="fontTable.xml"/><Relationship Id="rId10" Type="http://schemas.openxmlformats.org/officeDocument/2006/relationships/settings" Target="settings.xml"/><Relationship Id="rId11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Motív Office">
  <a:themeElements>
    <a:clrScheme name="Office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 pitchFamily="0" charset="1"/>
        <a:ea typeface=""/>
        <a:cs typeface=""/>
      </a:majorFont>
      <a:minorFont>
        <a:latin typeface="Calibri" panose="020F0502020204030204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 l="0" t="0" r="0" b="0"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 l="0" t="0" r="0" b="0"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 l="0" t="0" r="0" b="0"/>
        </a:gra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Application>LibreOffice/24.2.3.2$Windows_X86_64 LibreOffice_project/433d9c2ded56988e8a90e6b2e771ee4e6a5ab2ba</Application>
  <AppVersion>15.0000</AppVersion>
  <Pages>5</Pages>
  <Words>1727</Words>
  <Characters>9849</Characters>
  <CharactersWithSpaces>11553</CharactersWithSpaces>
  <Paragraphs>23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2023-06-04T06:24:00Z</dcterms:created>
  <dc:creator>user</dc:creator>
  <dc:description/>
  <dc:language>sk-SK</dc:language>
  <cp:lastModifiedBy/>
  <cp:lastPrinted>1995-11-21T16:41:00Z</cp:lastPrinted>
  <dcterms:modified xsi:type="dcterms:W3CDTF">2025-06-08T21:58:57Z</dcterms:modified>
  <cp:revision>5</cp:revision>
  <dc:subject/>
  <dc:title>Návrh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