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Poznámky k účtovnej závierke za rok 202</w:t>
      </w:r>
      <w:r>
        <w:rPr>
          <w:rFonts w:ascii="Times New Roman" w:hAnsi="Times New Roman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>
        <w:rPr>
          <w:rFonts w:ascii="Times New Roman" w:hAnsi="Times New Roman"/>
          <w:b/>
          <w:sz w:val="20"/>
        </w:rPr>
        <w:t>malé účtovné jednotky</w:t>
      </w:r>
      <w:r>
        <w:rPr>
          <w:rFonts w:ascii="Times New Roman" w:hAnsi="Times New Roman"/>
          <w:sz w:val="20"/>
        </w:rPr>
        <w:t xml:space="preserve"> v znení neskorších predpisov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(ostatná novela č.MF/19927/2015-74)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41" w:type="dxa"/>
        <w:jc w:val="left"/>
        <w:tblInd w:w="9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3601"/>
      </w:tblGrid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Apa PLUS s.r.o.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Ostatnch malaobchod v  nešpecial. predajniach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31.12.202</w:t>
      </w:r>
      <w:r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 xml:space="preserve"> bola schválená dňa 1</w:t>
      </w:r>
      <w:r>
        <w:rPr>
          <w:rFonts w:ascii="Times New Roman" w:hAnsi="Times New Roman"/>
          <w:b/>
          <w:bCs/>
          <w:sz w:val="20"/>
        </w:rPr>
        <w:t>6</w:t>
      </w:r>
      <w:r>
        <w:rPr>
          <w:rFonts w:ascii="Times New Roman" w:hAnsi="Times New Roman"/>
          <w:b/>
          <w:bCs/>
          <w:sz w:val="20"/>
        </w:rPr>
        <w:t>.0</w:t>
      </w:r>
      <w:r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>. 2023.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Právny dôvod na zostavenie účtovnej závierky.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  <w:r>
        <w:rPr>
          <w:rFonts w:ascii="Times New Roman" w:hAnsi="Times New Roman"/>
          <w:b/>
          <w:bCs/>
          <w:color w:val="FF0000"/>
          <w:sz w:val="18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sz w:val="20"/>
        </w:rPr>
        <w:t>Účtovná závierka Spoločnosti k 31.12.202</w:t>
      </w:r>
      <w:r>
        <w:rPr>
          <w:rFonts w:ascii="Times New Roman" w:hAnsi="Times New Roman"/>
          <w:b/>
          <w:sz w:val="20"/>
        </w:rPr>
        <w:t>4</w:t>
      </w:r>
      <w:r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01.01. 202</w:t>
      </w:r>
      <w:r>
        <w:rPr>
          <w:rFonts w:ascii="Times New Roman" w:hAnsi="Times New Roman"/>
          <w:b/>
          <w:sz w:val="20"/>
        </w:rPr>
        <w:t>4</w:t>
      </w:r>
      <w:r>
        <w:rPr>
          <w:rFonts w:ascii="Times New Roman" w:hAnsi="Times New Roman"/>
          <w:b/>
          <w:sz w:val="20"/>
        </w:rPr>
        <w:t xml:space="preserve"> do 31.12. 202</w:t>
      </w:r>
      <w:r>
        <w:rPr>
          <w:rFonts w:ascii="Times New Roman" w:hAnsi="Times New Roman"/>
          <w:b/>
          <w:sz w:val="20"/>
        </w:rPr>
        <w:t>4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47"/>
        <w:gridCol w:w="2076"/>
        <w:gridCol w:w="2804"/>
      </w:tblGrid>
      <w:tr>
        <w:trPr/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>
        <w:trPr/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orgánoch spoločnosti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Informácie o orgánoch účtovnej jednotky, a to: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spacing w:lineRule="auto" w:line="240" w:before="0" w:after="0"/>
        <w:ind w:left="1065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prijatých postupoch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7560" w:leader="none"/>
        </w:tabs>
        <w:suppressAutoHyphens w:val="true"/>
        <w:spacing w:lineRule="auto" w:line="240" w:before="0" w:after="0"/>
        <w:ind w:left="360" w:hanging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2018 bola spracovaná za predpokladu nepretržitého pokračovania činnosti.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odhadu zníženia hodnoty majetku a tvorba opravnej položky k majetku,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ocenenia záväzkov, stanovenie odhadu ocenenia rezerv,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Normal"/>
        <w:spacing w:lineRule="auto" w:line="240" w:before="0" w:after="0"/>
        <w:ind w:left="1418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96" w:type="dxa"/>
        <w:jc w:val="left"/>
        <w:tblInd w:w="9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76"/>
        <w:gridCol w:w="4219"/>
      </w:tblGrid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Spôsob oceňovania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</w:t>
            </w:r>
            <w:r>
              <w:rPr>
                <w:spacing w:val="2"/>
                <w:sz w:val="20"/>
                <w:szCs w:val="22"/>
              </w:rPr>
              <w:t>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 obst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r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kúpo</w:t>
            </w:r>
            <w:r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 xml:space="preserve">soby </w:t>
            </w:r>
            <w:r>
              <w:rPr>
                <w:spacing w:val="2"/>
                <w:sz w:val="20"/>
                <w:szCs w:val="22"/>
              </w:rPr>
              <w:t>v</w:t>
            </w:r>
            <w:r>
              <w:rPr>
                <w:spacing w:val="-5"/>
                <w:sz w:val="20"/>
                <w:szCs w:val="22"/>
              </w:rPr>
              <w:t>y</w:t>
            </w:r>
            <w:r>
              <w:rPr>
                <w:sz w:val="20"/>
                <w:szCs w:val="22"/>
              </w:rPr>
              <w:t>tvor</w:t>
            </w:r>
            <w:r>
              <w:rPr>
                <w:spacing w:val="-2"/>
                <w:sz w:val="20"/>
                <w:szCs w:val="22"/>
              </w:rPr>
              <w:t>e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vlastnou činnosťou: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Vlastné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Kúpené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 xml:space="preserve">tkodobý </w:t>
            </w:r>
            <w:r>
              <w:rPr>
                <w:spacing w:val="-2"/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ina</w:t>
            </w:r>
            <w:r>
              <w:rPr>
                <w:spacing w:val="1"/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cena/Menovitá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-1"/>
                <w:sz w:val="20"/>
                <w:szCs w:val="22"/>
              </w:rPr>
              <w:t>Zá</w:t>
            </w:r>
            <w:r>
              <w:rPr>
                <w:sz w:val="20"/>
                <w:szCs w:val="22"/>
              </w:rPr>
              <w:t>v</w:t>
            </w:r>
            <w:r>
              <w:rPr>
                <w:spacing w:val="-1"/>
                <w:sz w:val="20"/>
                <w:szCs w:val="22"/>
              </w:rPr>
              <w:t>ä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z w:val="20"/>
                <w:szCs w:val="22"/>
              </w:rPr>
              <w:t>ky v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>tane</w:t>
            </w:r>
            <w:r>
              <w:rPr>
                <w:spacing w:val="-2"/>
                <w:sz w:val="20"/>
                <w:szCs w:val="22"/>
              </w:rPr>
              <w:t xml:space="preserve"> </w:t>
            </w:r>
            <w:r>
              <w:rPr>
                <w:spacing w:val="1"/>
                <w:sz w:val="20"/>
                <w:szCs w:val="22"/>
              </w:rPr>
              <w:t>r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rv: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Dlhopisy: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Pô</w:t>
            </w:r>
            <w:r>
              <w:rPr>
                <w:spacing w:val="1"/>
                <w:sz w:val="20"/>
                <w:szCs w:val="22"/>
              </w:rPr>
              <w:t>ž</w:t>
            </w:r>
            <w:r>
              <w:rPr>
                <w:sz w:val="20"/>
                <w:szCs w:val="22"/>
              </w:rPr>
              <w:t>ičky a</w:t>
            </w:r>
            <w:r>
              <w:rPr>
                <w:spacing w:val="1"/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riv</w:t>
            </w:r>
            <w:r>
              <w:rPr>
                <w:spacing w:val="-2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to</w:t>
            </w:r>
            <w:r>
              <w:rPr>
                <w:spacing w:val="5"/>
                <w:sz w:val="20"/>
                <w:szCs w:val="22"/>
              </w:rPr>
              <w:t xml:space="preserve">vé </w:t>
            </w:r>
            <w:r>
              <w:rPr>
                <w:sz w:val="20"/>
                <w:szCs w:val="22"/>
              </w:rPr>
              <w:t>op</w:t>
            </w:r>
            <w:r>
              <w:rPr>
                <w:spacing w:val="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rá</w:t>
            </w:r>
            <w:r>
              <w:rPr>
                <w:spacing w:val="-1"/>
                <w:sz w:val="20"/>
                <w:szCs w:val="22"/>
              </w:rPr>
              <w:t>c</w:t>
            </w:r>
            <w:r>
              <w:rPr>
                <w:sz w:val="20"/>
                <w:szCs w:val="22"/>
              </w:rPr>
              <w:t>ie: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stanovenie metódy vlastného imania,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kern w:val="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/>
      </w:pPr>
      <w:r>
        <w:rPr/>
      </w:r>
    </w:p>
    <w:tbl>
      <w:tblPr>
        <w:tblW w:w="8211" w:type="dxa"/>
        <w:jc w:val="left"/>
        <w:tblInd w:w="57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964"/>
        <w:gridCol w:w="1703"/>
        <w:gridCol w:w="1700"/>
        <w:gridCol w:w="1843"/>
      </w:tblGrid>
      <w:tr>
        <w:trPr>
          <w:trHeight w:val="417" w:hRule="atLeast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>
        <w:trPr/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2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2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2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 poznámkach sa uvádza informácia o </w:t>
      </w:r>
      <w:r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/>
        </w:rPr>
      </w:pPr>
      <w:r>
        <w:rPr>
          <w:b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ind w:right="-468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>
        <w:rPr>
          <w:rFonts w:ascii="Times New Roman" w:hAnsi="Times New Roman"/>
          <w:b/>
          <w:sz w:val="20"/>
          <w:lang w:val="cs-CZ"/>
        </w:rPr>
        <w:t>Do dňa zostavenia účtovnej závierky nenastali po 31. decembri 202</w:t>
      </w:r>
      <w:r>
        <w:rPr>
          <w:rFonts w:ascii="Times New Roman" w:hAnsi="Times New Roman"/>
          <w:b/>
          <w:sz w:val="20"/>
          <w:lang w:val="cs-CZ"/>
        </w:rPr>
        <w:t>4</w:t>
      </w:r>
      <w:r>
        <w:rPr>
          <w:rFonts w:ascii="Times New Roman" w:hAnsi="Times New Roman"/>
          <w:b/>
          <w:sz w:val="20"/>
          <w:lang w:val="cs-CZ"/>
        </w:rPr>
        <w:t xml:space="preserve"> žiadne také udalosti, ktoré by významým spôsobom ovplyvnili majetok, vlastné imanie a záväzky, náklady a výnosy spoločnosti.</w:t>
      </w:r>
    </w:p>
    <w:p>
      <w:pPr>
        <w:pStyle w:val="Normal"/>
        <w:spacing w:lineRule="auto" w:line="240" w:before="0" w:after="0"/>
        <w:ind w:right="-468" w:hanging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>
        <w:szCs w:val="22"/>
      </w:rPr>
    </w:pPr>
    <w:r>
      <w:rPr>
        <w:szCs w:val="22"/>
        <w:bdr w:val="single" w:sz="4" w:space="0" w:color="000000"/>
      </w:rPr>
      <w:t>Po</w:t>
    </w:r>
    <w:r>
      <w:rPr>
        <w:spacing w:val="1"/>
        <w:szCs w:val="22"/>
        <w:bdr w:val="single" w:sz="4" w:space="0" w:color="000000"/>
      </w:rPr>
      <w:t>z</w:t>
    </w:r>
    <w:r>
      <w:rPr>
        <w:szCs w:val="22"/>
        <w:bdr w:val="single" w:sz="4" w:space="0" w:color="000000"/>
      </w:rPr>
      <w:t>n</w:t>
    </w:r>
    <w:r>
      <w:rPr>
        <w:spacing w:val="-1"/>
        <w:szCs w:val="22"/>
        <w:bdr w:val="single" w:sz="4" w:space="0" w:color="000000"/>
      </w:rPr>
      <w:t>á</w:t>
    </w:r>
    <w:r>
      <w:rPr>
        <w:szCs w:val="22"/>
        <w:bdr w:val="single" w:sz="4" w:space="0" w:color="000000"/>
      </w:rPr>
      <w:t>m</w:t>
    </w:r>
    <w:r>
      <w:rPr>
        <w:spacing w:val="2"/>
        <w:szCs w:val="22"/>
        <w:bdr w:val="single" w:sz="4" w:space="0" w:color="000000"/>
      </w:rPr>
      <w:t>k</w:t>
    </w:r>
    <w:r>
      <w:rPr>
        <w:szCs w:val="22"/>
        <w:bdr w:val="single" w:sz="4" w:space="0" w:color="000000"/>
      </w:rPr>
      <w:t>y</w:t>
    </w:r>
    <w:r>
      <w:rPr>
        <w:spacing w:val="-8"/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Ú</w:t>
    </w:r>
    <w:r>
      <w:rPr>
        <w:szCs w:val="22"/>
        <w:bdr w:val="single" w:sz="4" w:space="0" w:color="000000"/>
      </w:rPr>
      <w:t>č POD 3 –</w:t>
    </w:r>
    <w:r>
      <w:rPr>
        <w:spacing w:val="-1"/>
        <w:szCs w:val="22"/>
        <w:bdr w:val="single" w:sz="4" w:space="0" w:color="000000"/>
      </w:rPr>
      <w:t xml:space="preserve"> </w:t>
    </w:r>
    <w:r>
      <w:rPr>
        <w:szCs w:val="22"/>
        <w:bdr w:val="single" w:sz="4" w:space="0" w:color="000000"/>
      </w:rPr>
      <w:t>01</w:t>
    </w:r>
    <w:r>
      <w:rPr>
        <w:szCs w:val="22"/>
      </w:rPr>
      <w:t xml:space="preserve">                          </w:t>
    </w:r>
    <w:r>
      <w:rPr>
        <w:szCs w:val="22"/>
        <w:bdr w:val="single" w:sz="4" w:space="0" w:color="000000"/>
      </w:rPr>
      <w:t xml:space="preserve"> 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>ČO:48150363</w:t>
    </w:r>
    <w:r>
      <w:rPr>
        <w:color w:val="FF0000"/>
        <w:szCs w:val="22"/>
        <w:bdr w:val="single" w:sz="4" w:space="0" w:color="000000"/>
      </w:rPr>
      <w:t xml:space="preserve"> </w:t>
    </w:r>
    <w:r>
      <w:rPr>
        <w:szCs w:val="22"/>
      </w:rPr>
      <w:t xml:space="preserve"> </w:t>
    </w:r>
    <w:r>
      <w:rPr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D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 xml:space="preserve">Č:2120079797     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0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b w:val="false"/>
        <w:szCs w:val="20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9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20c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0256db"/>
    <w:pPr>
      <w:keepNext w:val="true"/>
      <w:suppressAutoHyphens w:val="true"/>
      <w:spacing w:lineRule="auto" w:line="240" w:before="120" w:after="0"/>
      <w:jc w:val="both"/>
      <w:outlineLvl w:val="1"/>
    </w:pPr>
    <w:rPr>
      <w:rFonts w:ascii="Times New Roman" w:hAnsi="Times New Roman" w:eastAsia="Times New Roman"/>
      <w:sz w:val="24"/>
      <w:szCs w:val="20"/>
      <w:lang w:val="cs-CZ" w:eastAsia="ar-SA"/>
    </w:rPr>
  </w:style>
  <w:style w:type="paragraph" w:styleId="Nadpis3">
    <w:name w:val="Heading 3"/>
    <w:basedOn w:val="Normal"/>
    <w:next w:val="Normal"/>
    <w:link w:val="Nadpis3Char"/>
    <w:uiPriority w:val="99"/>
    <w:qFormat/>
    <w:rsid w:val="000256db"/>
    <w:pPr>
      <w:keepNext w:val="true"/>
      <w:suppressAutoHyphens w:val="true"/>
      <w:spacing w:lineRule="auto" w:line="240" w:before="0" w:after="0"/>
      <w:ind w:left="3119" w:hanging="3119"/>
      <w:jc w:val="both"/>
      <w:outlineLvl w:val="2"/>
    </w:pPr>
    <w:rPr>
      <w:rFonts w:ascii="Times New Roman" w:hAnsi="Times New Roman" w:eastAsia="Times New Roman"/>
      <w:sz w:val="24"/>
      <w:szCs w:val="20"/>
      <w:lang w:val="cs-CZ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Nadpis3Char" w:customStyle="1">
    <w:name w:val="Nadpis 3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OdsekzoznamuChar" w:customStyle="1">
    <w:name w:val="Odsek zoznamu Char"/>
    <w:link w:val="ListParagraph"/>
    <w:uiPriority w:val="99"/>
    <w:qFormat/>
    <w:locked/>
    <w:rsid w:val="000820c4"/>
    <w:rPr>
      <w:rFonts w:ascii="Times New Roman" w:hAnsi="Times New Roman"/>
    </w:rPr>
  </w:style>
  <w:style w:type="character" w:styleId="TextpoznmkypodiarouChar" w:customStyle="1">
    <w:name w:val="Text poznámky pod čiarou Char"/>
    <w:uiPriority w:val="99"/>
    <w:semiHidden/>
    <w:qFormat/>
    <w:locked/>
    <w:rsid w:val="000820c4"/>
    <w:rPr>
      <w:rFonts w:ascii="Times New Roman" w:hAnsi="Times New Roman" w:cs="Times New Roman"/>
      <w:sz w:val="20"/>
      <w:szCs w:val="20"/>
    </w:rPr>
  </w:style>
  <w:style w:type="character" w:styleId="Znakyprepoznmkupodiarou">
    <w:name w:val="Znaky pre poznámku pod čiarou"/>
    <w:uiPriority w:val="99"/>
    <w:semiHidden/>
    <w:qFormat/>
    <w:rsid w:val="000820c4"/>
    <w:rPr>
      <w:rFonts w:cs="Times New Roman"/>
      <w:vertAlign w:val="superscript"/>
    </w:rPr>
  </w:style>
  <w:style w:type="character" w:styleId="Ukotveniepoznmkypodiarou">
    <w:name w:val="Footnote Reference"/>
    <w:rPr>
      <w:rFonts w:cs="Times New Roman"/>
      <w:vertAlign w:val="superscript"/>
    </w:rPr>
  </w:style>
  <w:style w:type="character" w:styleId="HlavikaChar" w:customStyle="1">
    <w:name w:val="Hlavička Char"/>
    <w:uiPriority w:val="99"/>
    <w:qFormat/>
    <w:locked/>
    <w:rsid w:val="008e5eec"/>
    <w:rPr>
      <w:rFonts w:ascii="Calibri" w:hAnsi="Calibri" w:cs="Times New Roman"/>
    </w:rPr>
  </w:style>
  <w:style w:type="character" w:styleId="PtaChar" w:customStyle="1">
    <w:name w:val="Päta Char"/>
    <w:uiPriority w:val="99"/>
    <w:qFormat/>
    <w:locked/>
    <w:rsid w:val="008e5eec"/>
    <w:rPr>
      <w:rFonts w:ascii="Calibri" w:hAnsi="Calibri" w:cs="Times New Roman"/>
    </w:rPr>
  </w:style>
  <w:style w:type="character" w:styleId="ZkladntextChar" w:customStyle="1">
    <w:name w:val="Základný text Char"/>
    <w:uiPriority w:val="99"/>
    <w:qFormat/>
    <w:locked/>
    <w:rsid w:val="008e5eec"/>
    <w:rPr>
      <w:rFonts w:ascii="Times New Roman" w:hAnsi="Times New Roman" w:cs="Times New Roman"/>
      <w:sz w:val="24"/>
      <w:szCs w:val="24"/>
    </w:rPr>
  </w:style>
  <w:style w:type="character" w:styleId="Ra" w:customStyle="1">
    <w:name w:val="ra"/>
    <w:uiPriority w:val="99"/>
    <w:qFormat/>
    <w:rsid w:val="004f635d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8e5eec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ekzoznamuChar"/>
    <w:uiPriority w:val="99"/>
    <w:qFormat/>
    <w:rsid w:val="000820c4"/>
    <w:pPr>
      <w:spacing w:before="0" w:after="200"/>
      <w:ind w:left="720" w:hanging="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Poznmkapodiarou">
    <w:name w:val="Footnote Text"/>
    <w:basedOn w:val="Normal"/>
    <w:link w:val="TextpoznmkypodiarouChar"/>
    <w:uiPriority w:val="99"/>
    <w:semiHidden/>
    <w:rsid w:val="000820c4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opHeader" w:customStyle="1">
    <w:name w:val="Top Header"/>
    <w:basedOn w:val="Normal"/>
    <w:uiPriority w:val="99"/>
    <w:qFormat/>
    <w:rsid w:val="00d842bf"/>
    <w:pPr>
      <w:spacing w:lineRule="auto" w:line="240" w:before="0" w:after="0"/>
      <w:jc w:val="center"/>
    </w:pPr>
    <w:rPr>
      <w:rFonts w:ascii="Arial Narrow" w:hAnsi="Arial Narrow" w:eastAsia="Times New Roman"/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LibreOffice/7.5.1.2$Windows_X86_64 LibreOffice_project/fcbaee479e84c6cd81291587d2ee68cba099e129</Application>
  <AppVersion>15.0000</AppVersion>
  <Pages>5</Pages>
  <Words>2085</Words>
  <Characters>12785</Characters>
  <CharactersWithSpaces>14769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2023-03-17T19:00:00Z</dcterms:created>
  <dc:creator>Uzivatel</dc:creator>
  <dc:description/>
  <dc:language>sk-SK</dc:language>
  <cp:lastModifiedBy/>
  <dcterms:modified xsi:type="dcterms:W3CDTF">2025-06-10T11:32:36Z</dcterms:modified>
  <cp:revision>4</cp:revision>
  <dc:subject/>
  <dc:title>Poznámky k účtovnej závierke za rok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