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57BD04" w14:textId="77777777" w:rsidR="00C679D3" w:rsidRDefault="00C679D3" w:rsidP="00C679D3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Poznámky </w:t>
      </w:r>
    </w:p>
    <w:p w14:paraId="2DFB25CF" w14:textId="28089740" w:rsidR="00C679D3" w:rsidRDefault="00C679D3" w:rsidP="00C679D3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konsolidovanej účtovnej závierky zostavenej k 31.12.202</w:t>
      </w:r>
      <w:r>
        <w:rPr>
          <w:b/>
          <w:bCs/>
          <w:sz w:val="24"/>
          <w:szCs w:val="24"/>
        </w:rPr>
        <w:t>4</w:t>
      </w:r>
    </w:p>
    <w:p w14:paraId="16E64A7F" w14:textId="77777777" w:rsidR="00C679D3" w:rsidRDefault="00C679D3" w:rsidP="00C679D3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14:paraId="62DC2AD1" w14:textId="7EBC27A2" w:rsidR="00C679D3" w:rsidRDefault="00C679D3" w:rsidP="00126B71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obce </w:t>
      </w:r>
      <w:r w:rsidR="00126B71">
        <w:rPr>
          <w:b/>
          <w:bCs/>
          <w:sz w:val="24"/>
          <w:szCs w:val="24"/>
        </w:rPr>
        <w:t>TEKOVSKÉ NEMCE</w:t>
      </w:r>
    </w:p>
    <w:p w14:paraId="134970C8" w14:textId="77777777" w:rsidR="00126B71" w:rsidRDefault="00126B71" w:rsidP="00126B71">
      <w:pPr>
        <w:spacing w:line="360" w:lineRule="auto"/>
        <w:jc w:val="center"/>
        <w:rPr>
          <w:sz w:val="24"/>
          <w:szCs w:val="24"/>
        </w:rPr>
      </w:pPr>
      <w:bookmarkStart w:id="0" w:name="_GoBack"/>
      <w:bookmarkEnd w:id="0"/>
    </w:p>
    <w:p w14:paraId="33636CCB" w14:textId="77777777" w:rsidR="00C679D3" w:rsidRDefault="00C679D3" w:rsidP="00C679D3">
      <w:pPr>
        <w:spacing w:line="360" w:lineRule="auto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Všeobecné údaje</w:t>
      </w:r>
    </w:p>
    <w:p w14:paraId="08516B8F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679D3" w14:paraId="39FFD7EB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80F30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B6DCC" w14:textId="36368EDC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Tekovské Nemce</w:t>
            </w:r>
          </w:p>
        </w:tc>
      </w:tr>
      <w:tr w:rsidR="00C679D3" w14:paraId="399E5AC8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B1DAE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E5561" w14:textId="603171A0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Tekovská 245, 966 54  Tekovské Nemce</w:t>
            </w:r>
          </w:p>
        </w:tc>
      </w:tr>
      <w:tr w:rsidR="00C679D3" w14:paraId="6BCFF135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D7DE8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08EA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</w:p>
          <w:p w14:paraId="1FA3D931" w14:textId="31178131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C679D3" w14:paraId="7057E2CF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5783D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28AEA" w14:textId="0933A9FD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Starostka Mária </w:t>
            </w:r>
            <w:proofErr w:type="spellStart"/>
            <w:r>
              <w:rPr>
                <w:sz w:val="24"/>
                <w:szCs w:val="24"/>
              </w:rPr>
              <w:t>Rudzanová</w:t>
            </w:r>
            <w:proofErr w:type="spellEnd"/>
          </w:p>
        </w:tc>
      </w:tr>
    </w:tbl>
    <w:p w14:paraId="76A51B0D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</w:p>
    <w:p w14:paraId="370BCBAB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679D3" w14:paraId="2647517B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12208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36E9E" w14:textId="00F3563B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Tekovské Nemce</w:t>
            </w:r>
          </w:p>
        </w:tc>
      </w:tr>
      <w:tr w:rsidR="00C679D3" w14:paraId="7E9A5F5F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DAA5C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D5A9F" w14:textId="51AE79F3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416, 966 54  Tekovské Nemce</w:t>
            </w:r>
          </w:p>
        </w:tc>
      </w:tr>
      <w:tr w:rsidR="00C679D3" w14:paraId="63ED58DF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9C902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A7CD6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</w:p>
          <w:p w14:paraId="40B11131" w14:textId="494F7542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01.07.2003</w:t>
            </w:r>
          </w:p>
        </w:tc>
      </w:tr>
    </w:tbl>
    <w:p w14:paraId="520E167C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</w:p>
    <w:p w14:paraId="01817E33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679D3" w14:paraId="4087AB79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31443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2ED9" w14:textId="6D4A9F71" w:rsidR="00C679D3" w:rsidRDefault="00C679D3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 xml:space="preserve"> </w:t>
            </w:r>
            <w:r w:rsidR="00BB382D">
              <w:rPr>
                <w:i/>
                <w:color w:val="000000"/>
                <w:sz w:val="24"/>
                <w:szCs w:val="24"/>
              </w:rPr>
              <w:t xml:space="preserve">30   </w:t>
            </w:r>
            <w:r>
              <w:rPr>
                <w:i/>
                <w:color w:val="000000"/>
                <w:sz w:val="24"/>
                <w:szCs w:val="24"/>
              </w:rPr>
              <w:t xml:space="preserve"> (v roku 202</w:t>
            </w:r>
            <w:r w:rsidR="00BB382D">
              <w:rPr>
                <w:i/>
                <w:color w:val="000000"/>
                <w:sz w:val="24"/>
                <w:szCs w:val="24"/>
              </w:rPr>
              <w:t>3</w:t>
            </w:r>
            <w:r>
              <w:rPr>
                <w:i/>
                <w:color w:val="000000"/>
                <w:sz w:val="24"/>
                <w:szCs w:val="24"/>
              </w:rPr>
              <w:t xml:space="preserve">  to bolo </w:t>
            </w:r>
            <w:r w:rsidR="00BB382D">
              <w:rPr>
                <w:i/>
                <w:color w:val="000000"/>
                <w:sz w:val="24"/>
                <w:szCs w:val="24"/>
              </w:rPr>
              <w:t>31</w:t>
            </w:r>
            <w:r>
              <w:rPr>
                <w:i/>
                <w:color w:val="000000"/>
                <w:sz w:val="24"/>
                <w:szCs w:val="24"/>
              </w:rPr>
              <w:t>)</w:t>
            </w:r>
          </w:p>
          <w:p w14:paraId="57BB1E56" w14:textId="77777777" w:rsidR="00C679D3" w:rsidRDefault="00C679D3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C679D3" w14:paraId="2D2C1F2C" w14:textId="77777777" w:rsidTr="00C679D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A1FD1" w14:textId="77777777" w:rsidR="00C679D3" w:rsidRDefault="00C679D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36D1D" w14:textId="5A6DD54D" w:rsidR="00C679D3" w:rsidRDefault="00BB382D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4</w:t>
            </w:r>
            <w:r w:rsidR="00C679D3">
              <w:rPr>
                <w:i/>
                <w:color w:val="000000"/>
                <w:sz w:val="24"/>
                <w:szCs w:val="24"/>
              </w:rPr>
              <w:t xml:space="preserve"> (v roku 202</w:t>
            </w:r>
            <w:r>
              <w:rPr>
                <w:i/>
                <w:color w:val="000000"/>
                <w:sz w:val="24"/>
                <w:szCs w:val="24"/>
              </w:rPr>
              <w:t>3</w:t>
            </w:r>
            <w:r w:rsidR="00C679D3">
              <w:rPr>
                <w:i/>
                <w:color w:val="000000"/>
                <w:sz w:val="24"/>
                <w:szCs w:val="24"/>
              </w:rPr>
              <w:t xml:space="preserve"> to bolo </w:t>
            </w:r>
            <w:r>
              <w:rPr>
                <w:i/>
                <w:color w:val="000000"/>
                <w:sz w:val="24"/>
                <w:szCs w:val="24"/>
              </w:rPr>
              <w:t>5</w:t>
            </w:r>
            <w:r w:rsidR="00C679D3">
              <w:rPr>
                <w:i/>
                <w:color w:val="000000"/>
                <w:sz w:val="24"/>
                <w:szCs w:val="24"/>
              </w:rPr>
              <w:t>)</w:t>
            </w:r>
          </w:p>
          <w:p w14:paraId="67EDE9B8" w14:textId="77777777" w:rsidR="00C679D3" w:rsidRDefault="00C679D3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0B4A0F8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</w:p>
    <w:p w14:paraId="7C901698" w14:textId="15E91233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 sa v roku 202</w:t>
      </w:r>
      <w:r w:rsidR="00BB382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3EBFB084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395FD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 v prílohe,  v tabuľkovej časti </w:t>
      </w:r>
      <w:r>
        <w:rPr>
          <w:rFonts w:ascii="Times New Roman" w:hAnsi="Times New Roman" w:cs="Times New Roman"/>
          <w:i/>
          <w:sz w:val="24"/>
          <w:szCs w:val="24"/>
        </w:rPr>
        <w:t>Poznámok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7FDE32C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2010E24" w14:textId="483AA003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Konsolidovaná účtovná závierka k 31. decembru 202</w:t>
      </w:r>
      <w:r w:rsidR="00BB382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202</w:t>
      </w:r>
      <w:r w:rsidR="00BB382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BB382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D8837EB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DD61F17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1A73A4B4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</w:p>
    <w:p w14:paraId="61823DDE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5C8C5B7E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F9ED58E" w14:textId="77777777" w:rsidR="00C679D3" w:rsidRDefault="00C679D3" w:rsidP="00C679D3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metódy a všeobecné účtovné zásady boli účtovnou jednotkou konzistentne aplikované.  </w:t>
      </w:r>
    </w:p>
    <w:p w14:paraId="5B7367D3" w14:textId="77777777" w:rsidR="00C679D3" w:rsidRDefault="00C679D3" w:rsidP="00C679D3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7562EF2D" w14:textId="77777777" w:rsidR="00C679D3" w:rsidRDefault="00C679D3" w:rsidP="00C679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Medzi účtovnými jednotkami konsolidovaného celku neboli uskutočnené transakcie z dôvodu predaja majetku.</w:t>
      </w:r>
    </w:p>
    <w:p w14:paraId="6F7E9645" w14:textId="77777777" w:rsidR="00C679D3" w:rsidRDefault="00C679D3" w:rsidP="00C679D3">
      <w:pPr>
        <w:spacing w:line="360" w:lineRule="auto"/>
        <w:rPr>
          <w:b/>
          <w:i/>
          <w:sz w:val="24"/>
          <w:szCs w:val="24"/>
        </w:rPr>
      </w:pPr>
    </w:p>
    <w:p w14:paraId="6657B7E5" w14:textId="77777777" w:rsidR="00C679D3" w:rsidRDefault="00C679D3" w:rsidP="00C679D3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E36BC82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EAABC8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  <w:r>
        <w:rPr>
          <w:i/>
          <w:iCs/>
          <w:sz w:val="24"/>
          <w:szCs w:val="24"/>
          <w:u w:val="single"/>
        </w:rPr>
        <w:t>Spôsob oceňovania jednotlivých položiek aktív a pasív v súlade so zákonom č. 431/2002 Z. z. o účtovníctve v znení neskorších predpisov</w:t>
      </w:r>
      <w:r>
        <w:rPr>
          <w:sz w:val="24"/>
          <w:szCs w:val="24"/>
        </w:rPr>
        <w:t xml:space="preserve"> </w:t>
      </w:r>
    </w:p>
    <w:p w14:paraId="59CCE85A" w14:textId="77777777" w:rsidR="00C679D3" w:rsidRDefault="00C679D3" w:rsidP="00C679D3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24FAB697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413B75EE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pri ich nadobudnutí obstarávacími cenami.  </w:t>
      </w:r>
    </w:p>
    <w:p w14:paraId="2127F258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nakupované sa oceňujú obstarávacou cenou. </w:t>
      </w:r>
    </w:p>
    <w:p w14:paraId="1488ED5E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 sa oceňujú vlastnými nákladmi. </w:t>
      </w:r>
    </w:p>
    <w:p w14:paraId="6406E8FE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nadobudnuté bezodplatne sa oceňujú reálnou hodnotou.</w:t>
      </w:r>
    </w:p>
    <w:p w14:paraId="78253ACD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Pohľadávky pri ich vzniku sa oceňujú menovitou hodnotou. </w:t>
      </w:r>
    </w:p>
    <w:p w14:paraId="474DC535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odplatnom nadobudnutí sa oceňujú obstarávacou cenou. </w:t>
      </w:r>
    </w:p>
    <w:p w14:paraId="0D934A1D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menovitou hodnotou.</w:t>
      </w:r>
    </w:p>
    <w:p w14:paraId="668EF56D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156A4DF6" w14:textId="77777777" w:rsidR="00C679D3" w:rsidRDefault="00C679D3" w:rsidP="00C679D3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2A3D9768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17E63DBC" w14:textId="77777777" w:rsidR="00C679D3" w:rsidRDefault="00C679D3" w:rsidP="00C679D3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>
        <w:rPr>
          <w:i/>
          <w:iCs/>
          <w:sz w:val="24"/>
          <w:szCs w:val="24"/>
          <w:u w:val="single"/>
        </w:rPr>
        <w:t>Spôsob prepočtu na menu euro</w:t>
      </w:r>
    </w:p>
    <w:p w14:paraId="76DB1DAD" w14:textId="77777777" w:rsidR="00C679D3" w:rsidRDefault="00C679D3" w:rsidP="00C679D3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F0E6185" w14:textId="77777777" w:rsidR="00C679D3" w:rsidRDefault="00C679D3" w:rsidP="00C679D3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75C005E7" w14:textId="77777777" w:rsidR="00C679D3" w:rsidRDefault="00C679D3" w:rsidP="00C679D3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2AF5FE8" w14:textId="77777777" w:rsidR="00C679D3" w:rsidRDefault="00C679D3" w:rsidP="00C679D3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CFF442F" w14:textId="77777777" w:rsidR="00C679D3" w:rsidRDefault="00C679D3" w:rsidP="00C679D3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7E7B768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3F740632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  <w:bookmarkStart w:id="1" w:name="_Hlk162918807"/>
      <w:r>
        <w:rPr>
          <w:i/>
          <w:iCs/>
          <w:sz w:val="24"/>
          <w:szCs w:val="24"/>
          <w:u w:val="single"/>
        </w:rPr>
        <w:t>Spôsob účtovania transferov</w:t>
      </w:r>
    </w:p>
    <w:p w14:paraId="611E77D7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68E85E7A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357D5353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bežný transfer poskytnutý iným subjektom ako zriadeným organizáciám -sa  zúčtuje </w:t>
      </w:r>
      <w:r>
        <w:rPr>
          <w:bCs/>
          <w:color w:val="000000"/>
          <w:sz w:val="24"/>
          <w:szCs w:val="24"/>
        </w:rPr>
        <w:lastRenderedPageBreak/>
        <w:t>do nákladov po splnení podmienok</w:t>
      </w:r>
    </w:p>
    <w:p w14:paraId="23F26B4D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260B1BC7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13355A9E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00E21128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7BB8D005" w14:textId="77777777" w:rsidR="00C679D3" w:rsidRDefault="00C679D3" w:rsidP="00C679D3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1"/>
    <w:p w14:paraId="7C113B43" w14:textId="77777777" w:rsidR="00C679D3" w:rsidRDefault="00C679D3" w:rsidP="00C679D3">
      <w:pPr>
        <w:spacing w:line="360" w:lineRule="auto"/>
        <w:jc w:val="both"/>
        <w:rPr>
          <w:b/>
          <w:sz w:val="24"/>
          <w:szCs w:val="24"/>
        </w:rPr>
      </w:pPr>
    </w:p>
    <w:p w14:paraId="3C1B70DA" w14:textId="77777777" w:rsidR="00C679D3" w:rsidRDefault="00C679D3" w:rsidP="00C679D3">
      <w:pPr>
        <w:spacing w:line="360" w:lineRule="auto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Informácie o metódach a postupoch konsolidácie</w:t>
      </w:r>
    </w:p>
    <w:p w14:paraId="03C52A40" w14:textId="3DA8FFE7" w:rsidR="00C679D3" w:rsidRDefault="00C679D3" w:rsidP="00C679D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 účtovná  závierka  Obce </w:t>
      </w:r>
      <w:r w:rsidR="00BB382D">
        <w:rPr>
          <w:sz w:val="24"/>
          <w:szCs w:val="24"/>
        </w:rPr>
        <w:t>Tekovské Nemce</w:t>
      </w:r>
      <w:r>
        <w:rPr>
          <w:sz w:val="24"/>
          <w:szCs w:val="24"/>
        </w:rPr>
        <w:t xml:space="preserve">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3DF27E91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1AEE45B0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41F42F94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4FD214E9" w14:textId="77777777" w:rsidR="00C679D3" w:rsidRDefault="00C679D3" w:rsidP="00C679D3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497907CF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432D6FE2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úplnej konsolidácie bola použitá pri dcérskych účtovných jednotkách.</w:t>
      </w:r>
    </w:p>
    <w:p w14:paraId="412A0938" w14:textId="77777777" w:rsidR="00C679D3" w:rsidRDefault="00C679D3" w:rsidP="00C679D3">
      <w:pPr>
        <w:spacing w:line="360" w:lineRule="auto"/>
        <w:rPr>
          <w:b/>
          <w:caps/>
          <w:sz w:val="24"/>
          <w:szCs w:val="24"/>
        </w:rPr>
      </w:pPr>
    </w:p>
    <w:p w14:paraId="04B07433" w14:textId="77777777" w:rsidR="00C679D3" w:rsidRDefault="00C679D3" w:rsidP="00C679D3">
      <w:pPr>
        <w:spacing w:line="360" w:lineRule="auto"/>
        <w:rPr>
          <w:b/>
          <w:caps/>
          <w:sz w:val="24"/>
          <w:szCs w:val="24"/>
        </w:rPr>
      </w:pPr>
      <w:r>
        <w:rPr>
          <w:b/>
          <w:caps/>
          <w:sz w:val="24"/>
          <w:szCs w:val="24"/>
        </w:rPr>
        <w:t>Informácie o údajoch aktív a pasív</w:t>
      </w:r>
    </w:p>
    <w:p w14:paraId="00668D9E" w14:textId="2DA9ECC1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pohybu dlhodobého nehmotného a dlhodobého hmotného majetku od 1. januára 202</w:t>
      </w:r>
      <w:r w:rsidR="00BB382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do  31. decembra 202</w:t>
      </w:r>
      <w:r w:rsidR="00BB382D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uvedený v  tabuľkovej časti </w:t>
      </w:r>
      <w:r>
        <w:rPr>
          <w:rFonts w:ascii="Times New Roman" w:hAnsi="Times New Roman" w:cs="Times New Roman"/>
          <w:i/>
          <w:sz w:val="24"/>
          <w:szCs w:val="24"/>
        </w:rPr>
        <w:t>Poznámok.</w:t>
      </w:r>
    </w:p>
    <w:p w14:paraId="795385A4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14:paraId="143ADAF8" w14:textId="2BECD64C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Najvýznamnejšou položkou pohľadávok sú pohľadávky z  daňových príjmov obce vo výške                                                                                    </w:t>
      </w:r>
      <w:r w:rsidR="00FD600B">
        <w:rPr>
          <w:rFonts w:ascii="Times New Roman" w:hAnsi="Times New Roman" w:cs="Times New Roman"/>
          <w:sz w:val="24"/>
          <w:szCs w:val="24"/>
        </w:rPr>
        <w:t>7 381,05</w:t>
      </w:r>
      <w:r>
        <w:rPr>
          <w:rFonts w:ascii="Times New Roman" w:hAnsi="Times New Roman" w:cs="Times New Roman"/>
          <w:sz w:val="24"/>
          <w:szCs w:val="24"/>
        </w:rPr>
        <w:t xml:space="preserve"> eur (v roku 202</w:t>
      </w:r>
      <w:r w:rsidR="00FD600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to bolo </w:t>
      </w:r>
      <w:r w:rsidR="00FD600B">
        <w:rPr>
          <w:rFonts w:ascii="Times New Roman" w:hAnsi="Times New Roman" w:cs="Times New Roman"/>
          <w:sz w:val="24"/>
          <w:szCs w:val="24"/>
        </w:rPr>
        <w:t>6996,22</w:t>
      </w:r>
      <w:r>
        <w:rPr>
          <w:rFonts w:ascii="Times New Roman" w:hAnsi="Times New Roman" w:cs="Times New Roman"/>
          <w:sz w:val="24"/>
          <w:szCs w:val="24"/>
        </w:rPr>
        <w:t xml:space="preserve"> eur).</w:t>
      </w:r>
    </w:p>
    <w:p w14:paraId="30EF1DA8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0518D65" w14:textId="63D5478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FD600B">
        <w:rPr>
          <w:rFonts w:ascii="Times New Roman" w:hAnsi="Times New Roman" w:cs="Times New Roman"/>
          <w:sz w:val="24"/>
          <w:szCs w:val="24"/>
        </w:rPr>
        <w:t>471 080,14</w:t>
      </w:r>
      <w:r>
        <w:rPr>
          <w:rFonts w:ascii="Times New Roman" w:hAnsi="Times New Roman" w:cs="Times New Roman"/>
          <w:sz w:val="24"/>
          <w:szCs w:val="24"/>
        </w:rPr>
        <w:t xml:space="preserve"> eur (v roku 202</w:t>
      </w:r>
      <w:r w:rsidR="00FD600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to bolo      </w:t>
      </w:r>
      <w:r w:rsidR="00FD600B">
        <w:rPr>
          <w:rFonts w:ascii="Times New Roman" w:hAnsi="Times New Roman" w:cs="Times New Roman"/>
          <w:sz w:val="24"/>
          <w:szCs w:val="24"/>
        </w:rPr>
        <w:t xml:space="preserve">580 823,12 </w:t>
      </w:r>
      <w:r>
        <w:rPr>
          <w:rFonts w:ascii="Times New Roman" w:hAnsi="Times New Roman" w:cs="Times New Roman"/>
          <w:sz w:val="24"/>
          <w:szCs w:val="24"/>
        </w:rPr>
        <w:t>eur).</w:t>
      </w:r>
    </w:p>
    <w:p w14:paraId="33AA53F4" w14:textId="77777777" w:rsidR="00C679D3" w:rsidRDefault="00C679D3" w:rsidP="00C679D3">
      <w:pPr>
        <w:spacing w:line="360" w:lineRule="auto"/>
        <w:ind w:left="426"/>
        <w:jc w:val="both"/>
        <w:rPr>
          <w:sz w:val="24"/>
          <w:szCs w:val="24"/>
        </w:rPr>
      </w:pPr>
    </w:p>
    <w:p w14:paraId="28637F93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záväzkov podľa splatnosti je uvedený v tabuľkovej časti </w:t>
      </w:r>
      <w:r>
        <w:rPr>
          <w:i/>
          <w:sz w:val="24"/>
          <w:szCs w:val="24"/>
        </w:rPr>
        <w:t>Poznámok</w:t>
      </w:r>
      <w:r>
        <w:rPr>
          <w:sz w:val="24"/>
          <w:szCs w:val="24"/>
        </w:rPr>
        <w:t>.</w:t>
      </w:r>
    </w:p>
    <w:p w14:paraId="0C21EC45" w14:textId="77777777" w:rsidR="00C679D3" w:rsidRDefault="00C679D3" w:rsidP="00C679D3">
      <w:pPr>
        <w:spacing w:line="360" w:lineRule="auto"/>
        <w:jc w:val="both"/>
        <w:rPr>
          <w:sz w:val="24"/>
          <w:szCs w:val="24"/>
        </w:rPr>
      </w:pPr>
    </w:p>
    <w:p w14:paraId="0C71B995" w14:textId="5D051B78" w:rsidR="00C679D3" w:rsidRDefault="00C679D3" w:rsidP="00C679D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úvery vo výške </w:t>
      </w:r>
      <w:r w:rsidR="00FD600B">
        <w:rPr>
          <w:sz w:val="24"/>
          <w:szCs w:val="24"/>
        </w:rPr>
        <w:t xml:space="preserve"> 813 600,29</w:t>
      </w:r>
      <w:r>
        <w:rPr>
          <w:sz w:val="24"/>
          <w:szCs w:val="24"/>
        </w:rPr>
        <w:t xml:space="preserve"> eur (v roku 202</w:t>
      </w:r>
      <w:r w:rsidR="00FD600B">
        <w:rPr>
          <w:sz w:val="24"/>
          <w:szCs w:val="24"/>
        </w:rPr>
        <w:t>3</w:t>
      </w:r>
      <w:r>
        <w:rPr>
          <w:sz w:val="24"/>
          <w:szCs w:val="24"/>
        </w:rPr>
        <w:t xml:space="preserve"> to bolo  </w:t>
      </w:r>
      <w:r w:rsidR="00FD600B">
        <w:rPr>
          <w:sz w:val="24"/>
          <w:szCs w:val="24"/>
        </w:rPr>
        <w:t>842 587,54</w:t>
      </w:r>
      <w:r>
        <w:rPr>
          <w:sz w:val="24"/>
          <w:szCs w:val="24"/>
        </w:rPr>
        <w:t xml:space="preserve"> eur).</w:t>
      </w:r>
    </w:p>
    <w:p w14:paraId="01E94A8C" w14:textId="77777777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DDD7FEC" w14:textId="77777777" w:rsidR="00C679D3" w:rsidRDefault="00C679D3" w:rsidP="00C679D3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>
        <w:rPr>
          <w:rFonts w:eastAsia="Calibri"/>
          <w:b/>
          <w:caps/>
          <w:sz w:val="24"/>
          <w:szCs w:val="24"/>
        </w:rPr>
        <w:t>Informácie o výnosoch a nákladoch</w:t>
      </w:r>
    </w:p>
    <w:p w14:paraId="6581813D" w14:textId="12BF1718" w:rsidR="00C679D3" w:rsidRDefault="00C679D3" w:rsidP="00C679D3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126B71">
        <w:rPr>
          <w:rFonts w:eastAsia="Calibri"/>
          <w:sz w:val="24"/>
          <w:szCs w:val="24"/>
        </w:rPr>
        <w:t>77 297,19</w:t>
      </w:r>
      <w:r>
        <w:rPr>
          <w:rFonts w:eastAsia="Calibri"/>
          <w:sz w:val="24"/>
          <w:szCs w:val="24"/>
        </w:rPr>
        <w:t xml:space="preserve"> eur (v roku 202</w:t>
      </w:r>
      <w:r w:rsidR="00126B71">
        <w:rPr>
          <w:rFonts w:eastAsia="Calibri"/>
          <w:sz w:val="24"/>
          <w:szCs w:val="24"/>
        </w:rPr>
        <w:t>3</w:t>
      </w:r>
      <w:r>
        <w:rPr>
          <w:rFonts w:eastAsia="Calibri"/>
          <w:sz w:val="24"/>
          <w:szCs w:val="24"/>
        </w:rPr>
        <w:t xml:space="preserve"> to bolo </w:t>
      </w:r>
      <w:r w:rsidR="00126B71">
        <w:rPr>
          <w:rFonts w:eastAsia="Calibri"/>
          <w:sz w:val="24"/>
          <w:szCs w:val="24"/>
        </w:rPr>
        <w:t>64 424,98</w:t>
      </w:r>
      <w:r>
        <w:rPr>
          <w:rFonts w:eastAsia="Calibri"/>
          <w:sz w:val="24"/>
          <w:szCs w:val="24"/>
        </w:rPr>
        <w:t xml:space="preserve"> eur).</w:t>
      </w:r>
    </w:p>
    <w:p w14:paraId="3447DF59" w14:textId="77777777" w:rsidR="00C679D3" w:rsidRDefault="00C679D3" w:rsidP="00C679D3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4450192C" w14:textId="101707F8" w:rsidR="00C679D3" w:rsidRDefault="00C679D3" w:rsidP="00C679D3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Najvýznamnejšími výnosmi sú daňové výnosy vo v</w:t>
      </w:r>
      <w:r>
        <w:rPr>
          <w:sz w:val="24"/>
          <w:szCs w:val="24"/>
        </w:rPr>
        <w:t xml:space="preserve">ýške </w:t>
      </w:r>
      <w:r w:rsidR="00126B71">
        <w:rPr>
          <w:sz w:val="24"/>
          <w:szCs w:val="24"/>
        </w:rPr>
        <w:t>567 741,47</w:t>
      </w:r>
      <w:r>
        <w:rPr>
          <w:sz w:val="24"/>
          <w:szCs w:val="24"/>
        </w:rPr>
        <w:t xml:space="preserve"> eur (v roku 202</w:t>
      </w:r>
      <w:r w:rsidR="00126B71">
        <w:rPr>
          <w:sz w:val="24"/>
          <w:szCs w:val="24"/>
        </w:rPr>
        <w:t>3</w:t>
      </w:r>
      <w:r>
        <w:rPr>
          <w:sz w:val="24"/>
          <w:szCs w:val="24"/>
        </w:rPr>
        <w:t xml:space="preserve"> to bolo  </w:t>
      </w:r>
      <w:r w:rsidR="00126B71">
        <w:rPr>
          <w:sz w:val="24"/>
          <w:szCs w:val="24"/>
        </w:rPr>
        <w:t>575 856,54</w:t>
      </w:r>
      <w:r>
        <w:rPr>
          <w:sz w:val="24"/>
          <w:szCs w:val="24"/>
        </w:rPr>
        <w:t xml:space="preserve"> eur) a výnosy zo </w:t>
      </w:r>
      <w:r>
        <w:rPr>
          <w:rFonts w:eastAsia="Calibri"/>
          <w:sz w:val="24"/>
          <w:szCs w:val="24"/>
        </w:rPr>
        <w:t>zúčtovania</w:t>
      </w:r>
      <w:r>
        <w:rPr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>transferov bežných aj kapitálových od subjektov verejnej</w:t>
      </w:r>
      <w:r>
        <w:rPr>
          <w:sz w:val="24"/>
          <w:szCs w:val="24"/>
        </w:rPr>
        <w:t xml:space="preserve"> správy vrátane štátneho </w:t>
      </w:r>
      <w:r>
        <w:rPr>
          <w:rFonts w:eastAsia="Calibri"/>
          <w:sz w:val="24"/>
          <w:szCs w:val="24"/>
        </w:rPr>
        <w:t>rozpočtu, a to vo</w:t>
      </w:r>
      <w:r>
        <w:rPr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 xml:space="preserve">výške </w:t>
      </w:r>
      <w:r w:rsidR="00126B71">
        <w:rPr>
          <w:rFonts w:eastAsia="Calibri"/>
          <w:sz w:val="24"/>
          <w:szCs w:val="24"/>
        </w:rPr>
        <w:t>568 178,77</w:t>
      </w:r>
      <w:r>
        <w:rPr>
          <w:rFonts w:eastAsia="Calibri"/>
          <w:sz w:val="24"/>
          <w:szCs w:val="24"/>
        </w:rPr>
        <w:t xml:space="preserve"> eur (v roku 202</w:t>
      </w:r>
      <w:r w:rsidR="00126B71">
        <w:rPr>
          <w:rFonts w:eastAsia="Calibri"/>
          <w:sz w:val="24"/>
          <w:szCs w:val="24"/>
        </w:rPr>
        <w:t>3</w:t>
      </w:r>
      <w:r>
        <w:rPr>
          <w:rFonts w:eastAsia="Calibri"/>
          <w:sz w:val="24"/>
          <w:szCs w:val="24"/>
        </w:rPr>
        <w:t xml:space="preserve"> to bolo  </w:t>
      </w:r>
      <w:r w:rsidR="00126B71">
        <w:rPr>
          <w:rFonts w:eastAsia="Calibri"/>
          <w:sz w:val="24"/>
          <w:szCs w:val="24"/>
        </w:rPr>
        <w:t>553 970,23</w:t>
      </w:r>
      <w:r>
        <w:rPr>
          <w:rFonts w:eastAsia="Calibri"/>
          <w:sz w:val="24"/>
          <w:szCs w:val="24"/>
        </w:rPr>
        <w:t xml:space="preserve"> eur). </w:t>
      </w:r>
    </w:p>
    <w:p w14:paraId="4FE27D88" w14:textId="77777777" w:rsidR="00C679D3" w:rsidRDefault="00C679D3" w:rsidP="00C679D3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3EF6AE5C" w14:textId="77777777" w:rsidR="00C679D3" w:rsidRDefault="00C679D3" w:rsidP="00C679D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>
        <w:rPr>
          <w:rFonts w:eastAsia="Calibri"/>
          <w:b/>
          <w:sz w:val="24"/>
          <w:szCs w:val="24"/>
        </w:rPr>
        <w:t>SKUTOČNOSTI, KTORÉ NASTALI PO DNI, KU KTORÉMU SA ZOSTAVUJE</w:t>
      </w:r>
      <w:r>
        <w:rPr>
          <w:b/>
          <w:sz w:val="24"/>
          <w:szCs w:val="24"/>
        </w:rPr>
        <w:t xml:space="preserve"> KONSOLIDOVANA  </w:t>
      </w:r>
      <w:r>
        <w:rPr>
          <w:rFonts w:eastAsia="Calibri"/>
          <w:b/>
          <w:sz w:val="24"/>
          <w:szCs w:val="24"/>
        </w:rPr>
        <w:t>ÚČTOVNÁ ZÁVIERKA, DO DŇA JEJ ZOSTAVENIA</w:t>
      </w:r>
    </w:p>
    <w:p w14:paraId="188BE51A" w14:textId="77777777" w:rsidR="00C679D3" w:rsidRDefault="00C679D3" w:rsidP="00C679D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49E0DC94" w14:textId="3EE8B3BA" w:rsidR="00C679D3" w:rsidRDefault="00C679D3" w:rsidP="00C679D3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dni, ku ktorému sa zostavuje konsolidovaná účtovná závierka nenastali také udalosti, ktoré by si vyžadovali zverejnenie alebo vykázanie v konsolidovanej účtovnej závierke za rok 202</w:t>
      </w:r>
      <w:r w:rsidR="00126B7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7AF434" w14:textId="77777777" w:rsidR="00C679D3" w:rsidRDefault="00C679D3" w:rsidP="00C679D3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6EF7AFF0" w14:textId="77777777" w:rsidR="00F27E76" w:rsidRDefault="00F27E76"/>
    <w:sectPr w:rsidR="00F27E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0D"/>
    <w:rsid w:val="00126B71"/>
    <w:rsid w:val="00254A0D"/>
    <w:rsid w:val="00BB382D"/>
    <w:rsid w:val="00C679D3"/>
    <w:rsid w:val="00F27E76"/>
    <w:rsid w:val="00FD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751F2"/>
  <w15:chartTrackingRefBased/>
  <w15:docId w15:val="{944F12E0-9CCE-4622-A6EC-B94E36228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679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679D3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odstavec">
    <w:name w:val="odstavec"/>
    <w:basedOn w:val="Normlny"/>
    <w:autoRedefine/>
    <w:rsid w:val="00C679D3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6B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B71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871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1272</Words>
  <Characters>7252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VALOVÁ Janka</dc:creator>
  <cp:keywords/>
  <dc:description/>
  <cp:lastModifiedBy>VALOVÁ Janka</cp:lastModifiedBy>
  <cp:revision>3</cp:revision>
  <cp:lastPrinted>2025-06-11T07:18:00Z</cp:lastPrinted>
  <dcterms:created xsi:type="dcterms:W3CDTF">2025-06-11T06:35:00Z</dcterms:created>
  <dcterms:modified xsi:type="dcterms:W3CDTF">2025-06-11T07:30:00Z</dcterms:modified>
</cp:coreProperties>
</file>